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42"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960" w:right="1600" w:hanging="3939"/>
        <w:spacing w:after="0" w:line="375"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DRILLING TOOLS INTERNATIONAL CORPORATION</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10370 Richmond Ave.</w:t>
      </w:r>
    </w:p>
    <w:p>
      <w:pPr>
        <w:spacing w:after="0" w:line="1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#1000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77042</w:t>
      </w:r>
    </w:p>
    <w:p>
      <w:pPr>
        <w:spacing w:after="0" w:line="27"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right="5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4" w:lineRule="exact"/>
        <w:rPr>
          <w:sz w:val="24"/>
          <w:szCs w:val="24"/>
          <w:color w:val="auto"/>
        </w:rPr>
      </w:pPr>
    </w:p>
    <w:p>
      <w:pPr>
        <w:jc w:val="both"/>
        <w:ind w:right="8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7640" w:val="left"/>
          <w:tab w:leader="none" w:pos="82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ind w:right="4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May 14, 2025, the registrant had 35,592,737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Income (loss) and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Changes in Redeemable Convertible Preferred Stock and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243"/>
        </w:trPr>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16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contained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include, but are not limited to:</w:t>
      </w:r>
    </w:p>
    <w:p>
      <w:pPr>
        <w:spacing w:after="0" w:line="158" w:lineRule="exact"/>
        <w:rPr>
          <w:sz w:val="20"/>
          <w:szCs w:val="20"/>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117"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7" w:lineRule="exact"/>
        <w:rPr>
          <w:rFonts w:ascii="Times New Roman" w:cs="Times New Roman" w:eastAsia="Times New Roman" w:hAnsi="Times New Roman"/>
          <w:sz w:val="18"/>
          <w:szCs w:val="18"/>
          <w:color w:val="auto"/>
        </w:rPr>
      </w:pPr>
    </w:p>
    <w:p>
      <w:pPr>
        <w:jc w:val="both"/>
        <w:ind w:left="660" w:hanging="143"/>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Amended and Restated Revolving Credit, Security and Guaranty Agreement among Drilling Tools International, Inc., certain of its subsidiaries, Drilling Tools International Corporation and PNC Bank, National Association, dated as of March 15, 2024 (the “Credit Facility Agreement”);</w:t>
      </w:r>
    </w:p>
    <w:p>
      <w:pPr>
        <w:spacing w:after="0" w:line="6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117"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3" w:lineRule="exact"/>
        <w:rPr>
          <w:rFonts w:ascii="Times New Roman" w:cs="Times New Roman" w:eastAsia="Times New Roman" w:hAnsi="Times New Roman"/>
          <w:sz w:val="18"/>
          <w:szCs w:val="18"/>
          <w:color w:val="auto"/>
        </w:rPr>
      </w:pPr>
    </w:p>
    <w:p>
      <w:pPr>
        <w:ind w:left="660" w:right="2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53"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17" w:lineRule="exact"/>
        <w:rPr>
          <w:rFonts w:ascii="Times New Roman" w:cs="Times New Roman" w:eastAsia="Times New Roman" w:hAnsi="Times New Roman"/>
          <w:sz w:val="18"/>
          <w:szCs w:val="18"/>
          <w:color w:val="auto"/>
        </w:rPr>
      </w:pPr>
    </w:p>
    <w:p>
      <w:pPr>
        <w:ind w:left="660" w:hanging="14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53"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43"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price per share of Common Stock paid by certain Selling Stockholders is less than the price of such shares as of the date of this prospectus;</w:t>
      </w:r>
    </w:p>
    <w:p>
      <w:pPr>
        <w:spacing w:after="0" w:line="53" w:lineRule="exact"/>
        <w:rPr>
          <w:rFonts w:ascii="Times New Roman" w:cs="Times New Roman" w:eastAsia="Times New Roman" w:hAnsi="Times New Roman"/>
          <w:sz w:val="18"/>
          <w:szCs w:val="18"/>
          <w:color w:val="auto"/>
        </w:rPr>
      </w:pPr>
    </w:p>
    <w:p>
      <w:pPr>
        <w:ind w:left="143" w:hanging="143"/>
        <w:spacing w:after="0" w:line="282" w:lineRule="auto"/>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53"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Common Stock on Nasdaq;</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Common Stock; and</w:t>
      </w:r>
    </w:p>
    <w:p>
      <w:pPr>
        <w:spacing w:after="0" w:line="117" w:lineRule="exact"/>
        <w:rPr>
          <w:rFonts w:ascii="Times New Roman" w:cs="Times New Roman" w:eastAsia="Times New Roman" w:hAnsi="Times New Roman"/>
          <w:sz w:val="18"/>
          <w:szCs w:val="18"/>
          <w:color w:val="auto"/>
        </w:rPr>
      </w:pPr>
    </w:p>
    <w:p>
      <w:pPr>
        <w:ind w:left="143" w:hanging="143"/>
        <w:spacing w:after="0"/>
        <w:tabs>
          <w:tab w:leader="none" w:pos="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the section entitled “Risk Factors.”</w:t>
      </w:r>
    </w:p>
    <w:p>
      <w:pPr>
        <w:spacing w:after="0" w:line="211"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current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note receivable, less current portion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233,169</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15)</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shares authorized 500,000,000 as of March 31, 2025 and</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 35,592,737 issued and outstanding as of March 31, 2024 and 34,704,696 shares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December 31, 2024</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(3,582)</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(1,877)</w:t>
            </w: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233,169</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-4354195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8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Tool rental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2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120" w:type="dxa"/>
            <w:vAlign w:val="bottom"/>
          </w:tcPr>
          <w:p>
            <w:pPr>
              <w:spacing w:after="0"/>
              <w:rPr>
                <w:sz w:val="18"/>
                <w:szCs w:val="18"/>
                <w:color w:val="auto"/>
              </w:rPr>
            </w:pP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2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2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20" w:type="dxa"/>
            <w:vAlign w:val="bottom"/>
          </w:tcPr>
          <w:p>
            <w:pPr>
              <w:spacing w:after="0"/>
              <w:rPr>
                <w:sz w:val="18"/>
                <w:szCs w:val="18"/>
                <w:color w:val="auto"/>
              </w:rPr>
            </w:pP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20" w:type="dxa"/>
            <w:vAlign w:val="bottom"/>
          </w:tcPr>
          <w:p>
            <w:pPr>
              <w:spacing w:after="0"/>
              <w:rPr>
                <w:sz w:val="18"/>
                <w:szCs w:val="18"/>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property</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remeasurement of previously held equity interest</w:t>
            </w:r>
          </w:p>
        </w:tc>
        <w:tc>
          <w:tcPr>
            <w:tcW w:w="42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w:t>
            </w:r>
          </w:p>
        </w:tc>
      </w:tr>
      <w:tr>
        <w:trPr>
          <w:trHeight w:val="20"/>
        </w:trPr>
        <w:tc>
          <w:tcPr>
            <w:tcW w:w="7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(5,131)</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r>
      <w:tr>
        <w:trPr>
          <w:trHeight w:val="20"/>
        </w:trPr>
        <w:tc>
          <w:tcPr>
            <w:tcW w:w="70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42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(937)</w:t>
            </w:r>
          </w:p>
        </w:tc>
      </w:tr>
      <w:tr>
        <w:trPr>
          <w:trHeight w:val="20"/>
        </w:trPr>
        <w:tc>
          <w:tcPr>
            <w:tcW w:w="70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(1,669)</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FF0FC"/>
          </w:tcPr>
          <w:p>
            <w:pPr>
              <w:spacing w:after="0"/>
              <w:rPr>
                <w:sz w:val="19"/>
                <w:szCs w:val="19"/>
                <w:color w:val="auto"/>
              </w:rPr>
            </w:pPr>
          </w:p>
        </w:tc>
      </w:tr>
      <w:tr>
        <w:trPr>
          <w:trHeight w:val="20"/>
        </w:trPr>
        <w:tc>
          <w:tcPr>
            <w:tcW w:w="7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56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35,592,737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29,768,568</w:t>
            </w:r>
          </w:p>
        </w:tc>
        <w:tc>
          <w:tcPr>
            <w:tcW w:w="120" w:type="dxa"/>
            <w:vAlign w:val="bottom"/>
            <w:shd w:val="clear" w:color="auto" w:fill="CFF0FC"/>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35,592,737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120" w:type="dxa"/>
            <w:vAlign w:val="bottom"/>
          </w:tcPr>
          <w:p>
            <w:pPr>
              <w:spacing w:after="0"/>
              <w:rPr>
                <w:sz w:val="18"/>
                <w:szCs w:val="18"/>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(1,669)</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18"/>
                <w:szCs w:val="18"/>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70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comprehensive income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(727)</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-3856990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-3856990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-3025140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-3025140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-1628140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-1345565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-1345565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-1053465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-1036320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per share data)</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7"/>
        </w:trPr>
        <w:tc>
          <w:tcPr>
            <w:tcW w:w="23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13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12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(6,306)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net of tax</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29,768,568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95,426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per share data)</w:t>
            </w: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7"/>
        </w:trPr>
        <w:tc>
          <w:tcPr>
            <w:tcW w:w="23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1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34,704,696</w:t>
            </w:r>
          </w:p>
        </w:tc>
        <w:tc>
          <w:tcPr>
            <w:tcW w:w="12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related to business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888,041</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net of tax</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35,592,737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(5,251)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UNAUDITED CONDENSED CONSOLIDATED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on currency translation</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excess and obsolete property and equipment</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expense</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property</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asset disposal</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(gain) on equity securities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 from sale of lost-in-hole equipment</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(2,799)</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on related party note receivable</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(2,848)</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(2,517)</w:t>
            </w:r>
          </w:p>
        </w:tc>
      </w:tr>
      <w:tr>
        <w:trPr>
          <w:trHeight w:val="210"/>
        </w:trPr>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10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top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a business, net of cash acquired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(18,261)</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(5,043)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(6,228)</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lost-in-hole equipment</w:t>
            </w: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(7,280)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(19,585)</w:t>
            </w:r>
          </w:p>
        </w:tc>
      </w:tr>
      <w:tr>
        <w:trPr>
          <w:trHeight w:val="209"/>
        </w:trPr>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Term Loan</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Promissory Note</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on revolving line of credit</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(16,491)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10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tcPr>
          <w:p>
            <w:pPr>
              <w:spacing w:after="0"/>
              <w:rPr>
                <w:sz w:val="18"/>
                <w:szCs w:val="18"/>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shd w:val="clear" w:color="auto" w:fill="CFF0FC"/>
          </w:tcPr>
          <w:p>
            <w:pPr>
              <w:spacing w:after="0"/>
              <w:rPr>
                <w:sz w:val="19"/>
                <w:szCs w:val="19"/>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-2828290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-1704975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-590550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5"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 Refer to Note 18 for</w:t>
      </w:r>
    </w:p>
    <w:p>
      <w:pPr>
        <w:spacing w:after="0" w:line="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15, 2024 (the “CTG Acquisition Date”), the Company entered into a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$20.9 million. For further details regarding the acquisition, refer to </w:t>
      </w:r>
      <w:r>
        <w:rPr>
          <w:rFonts w:ascii="Times New Roman" w:cs="Times New Roman" w:eastAsia="Times New Roman" w:hAnsi="Times New Roman"/>
          <w:sz w:val="18"/>
          <w:szCs w:val="18"/>
          <w:i w:val="1"/>
          <w:iCs w:val="1"/>
          <w:color w:val="auto"/>
        </w:rPr>
        <w:t>Note 3, “Business Combinations.”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6, 2024, the Company entered into an agreement and plan of merger by and among the Company, Superior Drilling Products, Inc., a Utah corporation (“SDPI”), DTI Merger Sub I, Inc., a Delaware corporation and directly wholly owned subsidiary of the Company (“Merger Sub I”), and Merger DTI Merger Sub II, LLC, a Delaware limited liability company and wholly owned subsidiary of the Company (“Merger Sub II”), pursuant to which Merger Sub I merged with and into SDPI (the “First Merger”), with SDPI surviving as a wholly owned subsidiary of DTI and upon the effective time of the First Merger (the “First Effective Time”), SDPI, as the surviving corporation of the First Merger, merged with and into Merger Sub II (the “Second Merger,” and together with the First Merger, the “Merger”), with Merger Sub II surviving as a wholly owned subsidiary of the Company. In accordance with the terms of the Merger Agreement, the closing of the Merger occurred on July 31, 2024 (the “SDPI Closing Date” or “SDPI Closing”) for total consideration of $47.9 million. For further details regarding the acquisition, refer to </w:t>
      </w:r>
      <w:r>
        <w:rPr>
          <w:rFonts w:ascii="Times New Roman" w:cs="Times New Roman" w:eastAsia="Times New Roman" w:hAnsi="Times New Roman"/>
          <w:sz w:val="18"/>
          <w:szCs w:val="18"/>
          <w:i w:val="1"/>
          <w:iCs w:val="1"/>
          <w:color w:val="auto"/>
        </w:rPr>
        <w:t>Note 3 - "Business Combinations."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30, 2024, the Company’s wholly owned subsidiary, Drilling Tools International, Inc., entered into a Share Purchase Agreement with European Drilling Projects B.V. (“EDP”), and the sole shareholder of EDP, to acquire 100% of the shares of EDP. The closing of the acquisition occurred on October 3, 2024 for total consideration of $13.9 million. For further details regarding the acquisition, refer to </w:t>
      </w:r>
      <w:r>
        <w:rPr>
          <w:rFonts w:ascii="Times New Roman" w:cs="Times New Roman" w:eastAsia="Times New Roman" w:hAnsi="Times New Roman"/>
          <w:sz w:val="18"/>
          <w:szCs w:val="18"/>
          <w:i w:val="1"/>
          <w:iCs w:val="1"/>
          <w:color w:val="auto"/>
        </w:rPr>
        <w:t>Note 3 – “Business Combinations.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2025, the Company’s wholly owned subsidiary, Drilling Tools International, Inc., completed the acquisition of 100% of the shares of Titan Tools Group Limited (“Titan”) for a total consideration of $10.8 million. For further details regarding the acquisition, refer to Note 3 – “Business Combinations.”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Louisiana, Oklahoma, Pennsylvania, North Dakota, New Mexico, Utah, and Wyoming. The Company’s international operations are located in Canada, the United Kingdom,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 (“ASC”) and Accounting Standards Update (“ASU”).</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March 31, 2025, and its results of operations for the three months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ended March 31, 2025 and 2024, and cash flows for the three months ended March 31, 2025 and 2024. The condensed consolidated balance sheet at December 31, 2024, was derived from the audited annual consolidated financial statements but does not contain all of the footnote disclosures from the annual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these estimates require increased judgment and carry a higher degree of variability and volatility. As events continue to evolve and additional information becomes available, these estimates may change materially in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entities, Casing Technologies Group Limited and Titan Tools Services,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unaudited condensed consolidated statements of income and comprehensive income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unaudited condensed consolidated statements of income and comprehensive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the amounts billed to customers in excess of recognizable revenue as deferred revenue on its unaudited condensed consolidated balance sheet.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March 31, 2025 and December 31, 2024, the Company had contract assets of $7.7 million and $5.5 million, respectively. Contract assets were recorded in accounts receivable, net in the accompanying unaudited condensed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March 31, 2025 and December 31, 2024, the Company did not have any material contract liabilities. All deferred revenues are expected to be recognized during the following 12 months, and they were recorded in accrued expenses and other current liabilities in the accompanying unaudited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March 31, 2025 and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doubtful accounts and are classified as accounts receivable, net on the unaudited condensed consolidated balance sheets.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allowance for credit losses totaled $2.0 million and $1.7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generated approximately 29.0% and 30.0%, respectively, of its revenue from 2 customers. Amounts due from these customers included in accounts receivable as of March 31, 2025 and December 31, 2024 were approximately $5.3 million and $5.4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three months ended March 31, 2025, the Company did not have any single vendor make up more than 10% of total vendor purchases. During the three months ended March 31, 2024, the Company had 2 vendors that represented approximately 30% of its vendor purchases.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operating costs section of the unaudited condensed consolidated statements of income and comprehensive income and establish a new cost basis for the inventory. Inventory includes raw material and finished goods.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management determined that there were no triggering events necessitating impairment testing of property, plant, and equipment or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unaudited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at least annually for impairment. Goodwill is considered impaired if the carrying amount of the reporting unit exceeds its estimated fair value. To align with our change in reporting segments and reporting units referenced in </w:t>
      </w:r>
      <w:r>
        <w:rPr>
          <w:rFonts w:ascii="Times New Roman" w:cs="Times New Roman" w:eastAsia="Times New Roman" w:hAnsi="Times New Roman"/>
          <w:sz w:val="18"/>
          <w:szCs w:val="18"/>
          <w:i w:val="1"/>
          <w:iCs w:val="1"/>
          <w:color w:val="auto"/>
        </w:rPr>
        <w:t>Note 7 – Goodwill</w:t>
      </w:r>
      <w:r>
        <w:rPr>
          <w:rFonts w:ascii="Times New Roman" w:cs="Times New Roman" w:eastAsia="Times New Roman" w:hAnsi="Times New Roman"/>
          <w:sz w:val="18"/>
          <w:szCs w:val="18"/>
          <w:color w:val="auto"/>
        </w:rPr>
        <w:t xml:space="preserve">, the Company has changed its annual goodwill impairment assessment date from December 31 to October 31 starting in 2025. This change will not have a material impact on the annual assessment.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 Refer to </w:t>
      </w:r>
      <w:r>
        <w:rPr>
          <w:rFonts w:ascii="Times New Roman" w:cs="Times New Roman" w:eastAsia="Times New Roman" w:hAnsi="Times New Roman"/>
          <w:sz w:val="18"/>
          <w:szCs w:val="18"/>
          <w:i w:val="1"/>
          <w:iCs w:val="1"/>
          <w:color w:val="auto"/>
        </w:rPr>
        <w:t>Note 7 - Goodwill</w:t>
      </w:r>
      <w:r>
        <w:rPr>
          <w:rFonts w:ascii="Times New Roman" w:cs="Times New Roman" w:eastAsia="Times New Roman" w:hAnsi="Times New Roman"/>
          <w:sz w:val="18"/>
          <w:szCs w:val="18"/>
          <w:color w:val="auto"/>
        </w:rPr>
        <w:t xml:space="preserve"> for discussion around segment realignment and the Company's impairment analysis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225"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active markets and other observable inputs directly or indirectly related to the assets or liabilities being measured.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The valuation of assets and liabilities recognized in business combinations are considered level 3 fair value measurements on the closing date of the acquisition. These assets and liabilities are not remeasured at each reporting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did not have any Level 1, 2 or 3 assets or liabilities measured on a 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financial instruments consist of cash, accounts receivable, and accounts payable. The carrying amount of such instruments approximates fair value due to their short-term nature. Additionally, the Company carries long-term debt at its amortized cost, which approximates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administrative expense in the unaudited condensed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 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 For any stock options granted prior to the Company’s common stock being publicly traded on June 21, 2023, the Company estimated the fair value of its common stock as of the grant date and used these estimates as inputs into the Black-Scholes model. The Board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units, the grant date fair value is determined based on quoted market price for the Company's common stock as of the grant date and the grant date fair value of the awards are recognized as compensation cost as awards vest over the requisite service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restricted stock units are considered potential dilutive common stock and are excluded from the computation of net loss per share if their effect is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unaudited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March 31, 2025 and December 31, 2024. The Company believes there are no tax positions taken or expected to be taken that would significantly increase or decrease unrecognized tax benefits within twelve months of the reporting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income and comprehensive income for the three months ended March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operating segment for the purposes of making operations decisions, allocating resources and evaluating financial performance.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coinciding with the closing of the Company’s acquisition of Titan Tools Services Limited, the Company has realigned its operations to support its strategic initiatives to expand its global operations and reach new markets, particularly in the Eastern Hemisphere. As a result, the Company realigned its reportable segments to correspond with changes to its operating model, management structure, and organizational responsibilities. Consequently, the Company has determined it operates in two operating and reportable segments: Eastern Hemisphere and Western Hemisphere. This realignment is reflected within the Company's unaudited condensed consolidated financial statements and prior periods are retrospectively revised to reflect this change in reportable segments.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Adoption of Segment Reporting Standard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FASB issued Accounting Standard Update (“ASU”) 2023-07, Segment Reporting (Topic 280) - Improvements to Reportable Segment Disclosures, which includes requirements for more robust disclosures of significant segment expenses and information used in assessing segment performance on an annual and interim basis. The guidance also requires that a public entity that has a single reportable segment provide all the disclosures required by the guidance and all existing segment disclosures under the FASB Accounting Standards Codification (“ASC”) Topic 280, Segment Reporting. This standard was effective for the Company’s annual period beginning January 1, 2024 and is effective for the Company's interim periods beginning January 1, 2025. The Company applied the standard retrospectively to all comparative periods. Effective with this Report, the Company adopted this ASU. Refer to </w:t>
      </w:r>
      <w:r>
        <w:rPr>
          <w:rFonts w:ascii="Times New Roman" w:cs="Times New Roman" w:eastAsia="Times New Roman" w:hAnsi="Times New Roman"/>
          <w:sz w:val="18"/>
          <w:szCs w:val="18"/>
          <w:i w:val="1"/>
          <w:iCs w:val="1"/>
          <w:color w:val="auto"/>
        </w:rPr>
        <w:t>Note 17 - Segment Information</w:t>
      </w:r>
      <w:r>
        <w:rPr>
          <w:rFonts w:ascii="Times New Roman" w:cs="Times New Roman" w:eastAsia="Times New Roman" w:hAnsi="Times New Roman"/>
          <w:sz w:val="18"/>
          <w:szCs w:val="18"/>
          <w:color w:val="auto"/>
        </w:rPr>
        <w:t xml:space="preserve"> for the required segment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Adoption of Income Taxes - Improvements to Income Tax Disclosures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does not intend to early adopt this ASU.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Accounting Standards Issued But Not Yet Effective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REVISIONS OF PREVIOUSLY ISSUED FINANCIAL STATEMENTS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Company identified certain errors in its previously issued December 31, 2023 audited consolidated financial statements related to the presentation between cost of tool rental revenue and cost of product sale revenue. Through management's review of classification within the consolidated statements of income and comprehensive income, the Company identified that the cost of revenue for the sale of accessories was historically presented within cost of tool rental revenue, as opposed to correctly presented within cost of product sale revenue, whereas the associated accessory revenue is presented in product sale revenue.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Management evaluated these errors in accordance with SEC Staff Accounting Bulletin Number 99, Materiality (“SAB 99”), which is since codified in Accounting Standards Codification 250, Accounting Changes and Error Corrections (“ASC 250”). The Company performed a quantitative and qualitative assessment of the errors and determine that the errors did not have a material impact to previously issued financial statements. Management noted that the presentation errors identified resulted in a net zero impact to total operating costs and expenses, income from operations, or net income. Therefore, these immaterial errors have been corrected in the current period in accordance with the guidance under SAB 99 and ASC 250.</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audited consolidated financial statements presented herein for the three months ended March 31, 2024 have been revised to correct the errors described above in accordance with SEC SAB Topic 1.M, as codified in ASC 250.</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6"/>
                <w:szCs w:val="16"/>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920" w:type="dxa"/>
            <w:vAlign w:val="bottom"/>
            <w:gridSpan w:val="2"/>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CTG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On the CTG Acquisition Date, the Company’s wholly owned subsidiary, Drilling Tools International, Inc., entered into and consummated the Share Purchase Agreement with CTG, the shareholders of CTG, and a representative of CTG, to acquire 100% of the shares of CTG for a gross cash purchase consideration of $20.9 million.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CTG Acquisition has been accounted for as a business combination in accordance with ASC 805, </w:t>
      </w:r>
      <w:r>
        <w:rPr>
          <w:rFonts w:ascii="Times New Roman" w:cs="Times New Roman" w:eastAsia="Times New Roman" w:hAnsi="Times New Roman"/>
          <w:sz w:val="18"/>
          <w:szCs w:val="18"/>
          <w:b w:val="1"/>
          <w:bCs w:val="1"/>
          <w:i w:val="1"/>
          <w:iCs w:val="1"/>
          <w:color w:val="auto"/>
        </w:rPr>
        <w:t>Business Combinations (“</w:t>
      </w:r>
      <w:r>
        <w:rPr>
          <w:rFonts w:ascii="Times New Roman" w:cs="Times New Roman" w:eastAsia="Times New Roman" w:hAnsi="Times New Roman"/>
          <w:sz w:val="18"/>
          <w:szCs w:val="18"/>
          <w:b w:val="1"/>
          <w:bCs w:val="1"/>
          <w:color w:val="auto"/>
        </w:rPr>
        <w:t>ASC 805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allocation of the purchase is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Preliminary March</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Measurement Period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378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15, 2024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As adjusted March 15, 2024</w:t>
            </w:r>
          </w:p>
        </w:tc>
        <w:tc>
          <w:tcPr>
            <w:tcW w:w="100" w:type="dxa"/>
            <w:vAlign w:val="bottom"/>
          </w:tcPr>
          <w:p>
            <w:pPr>
              <w:spacing w:after="0"/>
              <w:rPr>
                <w:sz w:val="14"/>
                <w:szCs w:val="14"/>
                <w:color w:val="auto"/>
              </w:rPr>
            </w:pPr>
          </w:p>
        </w:tc>
      </w:tr>
      <w:tr>
        <w:trPr>
          <w:trHeight w:val="142"/>
        </w:trPr>
        <w:tc>
          <w:tcPr>
            <w:tcW w:w="416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2,674</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2,674</w:t>
            </w:r>
          </w:p>
        </w:tc>
        <w:tc>
          <w:tcPr>
            <w:tcW w:w="100" w:type="dxa"/>
            <w:vAlign w:val="bottom"/>
            <w:shd w:val="clear" w:color="auto" w:fill="CFF0FC"/>
          </w:tcPr>
          <w:p>
            <w:pPr>
              <w:spacing w:after="0"/>
              <w:rPr>
                <w:sz w:val="12"/>
                <w:szCs w:val="12"/>
                <w:color w:val="auto"/>
              </w:rPr>
            </w:pPr>
          </w:p>
        </w:tc>
      </w:tr>
      <w:tr>
        <w:trPr>
          <w:trHeight w:val="148"/>
        </w:trPr>
        <w:tc>
          <w:tcPr>
            <w:tcW w:w="4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3,781</w:t>
            </w:r>
          </w:p>
        </w:tc>
        <w:tc>
          <w:tcPr>
            <w:tcW w:w="100" w:type="dxa"/>
            <w:vAlign w:val="bottom"/>
          </w:tcPr>
          <w:p>
            <w:pPr>
              <w:spacing w:after="0"/>
              <w:rPr>
                <w:sz w:val="12"/>
                <w:szCs w:val="12"/>
                <w:color w:val="auto"/>
              </w:rPr>
            </w:pPr>
          </w:p>
        </w:tc>
      </w:tr>
      <w:tr>
        <w:trPr>
          <w:trHeight w:val="149"/>
        </w:trPr>
        <w:tc>
          <w:tcPr>
            <w:tcW w:w="41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4,282</w:t>
            </w:r>
          </w:p>
        </w:tc>
        <w:tc>
          <w:tcPr>
            <w:tcW w:w="100" w:type="dxa"/>
            <w:vAlign w:val="bottom"/>
            <w:shd w:val="clear" w:color="auto" w:fill="CFF0FC"/>
          </w:tcPr>
          <w:p>
            <w:pPr>
              <w:spacing w:after="0"/>
              <w:rPr>
                <w:sz w:val="12"/>
                <w:szCs w:val="12"/>
                <w:color w:val="auto"/>
              </w:rPr>
            </w:pPr>
          </w:p>
        </w:tc>
      </w:tr>
      <w:tr>
        <w:trPr>
          <w:trHeight w:val="148"/>
        </w:trPr>
        <w:tc>
          <w:tcPr>
            <w:tcW w:w="4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2"/>
                <w:szCs w:val="12"/>
                <w:color w:val="auto"/>
              </w:rPr>
            </w:pPr>
          </w:p>
        </w:tc>
      </w:tr>
      <w:tr>
        <w:trPr>
          <w:trHeight w:val="148"/>
        </w:trPr>
        <w:tc>
          <w:tcPr>
            <w:tcW w:w="41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 net</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100" w:type="dxa"/>
            <w:vAlign w:val="bottom"/>
            <w:shd w:val="clear" w:color="auto" w:fill="CFF0FC"/>
          </w:tcPr>
          <w:p>
            <w:pPr>
              <w:spacing w:after="0"/>
              <w:rPr>
                <w:sz w:val="12"/>
                <w:szCs w:val="12"/>
                <w:color w:val="auto"/>
              </w:rPr>
            </w:pPr>
          </w:p>
        </w:tc>
      </w:tr>
      <w:tr>
        <w:trPr>
          <w:trHeight w:val="149"/>
        </w:trPr>
        <w:tc>
          <w:tcPr>
            <w:tcW w:w="4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Operating lease ROU asset</w:t>
            </w:r>
          </w:p>
        </w:tc>
        <w:tc>
          <w:tcPr>
            <w:tcW w:w="2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2"/>
                <w:szCs w:val="12"/>
                <w:color w:val="auto"/>
              </w:rPr>
            </w:pPr>
          </w:p>
        </w:tc>
      </w:tr>
      <w:tr>
        <w:trPr>
          <w:trHeight w:val="148"/>
        </w:trPr>
        <w:tc>
          <w:tcPr>
            <w:tcW w:w="41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8,065</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8,065</w:t>
            </w:r>
          </w:p>
        </w:tc>
        <w:tc>
          <w:tcPr>
            <w:tcW w:w="100" w:type="dxa"/>
            <w:vAlign w:val="bottom"/>
            <w:shd w:val="clear" w:color="auto" w:fill="CFF0FC"/>
          </w:tcPr>
          <w:p>
            <w:pPr>
              <w:spacing w:after="0"/>
              <w:rPr>
                <w:sz w:val="12"/>
                <w:szCs w:val="12"/>
                <w:color w:val="auto"/>
              </w:rPr>
            </w:pPr>
          </w:p>
        </w:tc>
      </w:tr>
      <w:tr>
        <w:trPr>
          <w:trHeight w:val="149"/>
        </w:trPr>
        <w:tc>
          <w:tcPr>
            <w:tcW w:w="4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3,144</w:t>
            </w:r>
          </w:p>
        </w:tc>
        <w:tc>
          <w:tcPr>
            <w:tcW w:w="100" w:type="dxa"/>
            <w:vAlign w:val="bottom"/>
          </w:tcPr>
          <w:p>
            <w:pPr>
              <w:spacing w:after="0"/>
              <w:rPr>
                <w:sz w:val="12"/>
                <w:szCs w:val="12"/>
                <w:color w:val="auto"/>
              </w:rPr>
            </w:pPr>
          </w:p>
        </w:tc>
      </w:tr>
      <w:tr>
        <w:trPr>
          <w:trHeight w:val="142"/>
        </w:trPr>
        <w:tc>
          <w:tcPr>
            <w:tcW w:w="416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23,571</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72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24,097</w:t>
            </w:r>
          </w:p>
        </w:tc>
        <w:tc>
          <w:tcPr>
            <w:tcW w:w="100" w:type="dxa"/>
            <w:vAlign w:val="bottom"/>
            <w:shd w:val="clear" w:color="auto" w:fill="CFF0FC"/>
          </w:tcPr>
          <w:p>
            <w:pPr>
              <w:spacing w:after="0"/>
              <w:rPr>
                <w:sz w:val="12"/>
                <w:szCs w:val="12"/>
                <w:color w:val="auto"/>
              </w:rPr>
            </w:pPr>
          </w:p>
        </w:tc>
      </w:tr>
      <w:tr>
        <w:trPr>
          <w:trHeight w:val="284"/>
        </w:trPr>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16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2,656</w:t>
            </w:r>
          </w:p>
        </w:tc>
        <w:tc>
          <w:tcPr>
            <w:tcW w:w="100" w:type="dxa"/>
            <w:vAlign w:val="bottom"/>
            <w:shd w:val="clear" w:color="auto" w:fill="CFF0FC"/>
          </w:tcPr>
          <w:p>
            <w:pPr>
              <w:spacing w:after="0"/>
              <w:rPr>
                <w:sz w:val="12"/>
                <w:szCs w:val="12"/>
                <w:color w:val="auto"/>
              </w:rPr>
            </w:pPr>
          </w:p>
        </w:tc>
      </w:tr>
      <w:tr>
        <w:trPr>
          <w:trHeight w:val="149"/>
        </w:trPr>
        <w:tc>
          <w:tcPr>
            <w:tcW w:w="4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2"/>
                <w:szCs w:val="12"/>
                <w:color w:val="auto"/>
              </w:rPr>
            </w:pPr>
          </w:p>
        </w:tc>
      </w:tr>
      <w:tr>
        <w:trPr>
          <w:trHeight w:val="148"/>
        </w:trPr>
        <w:tc>
          <w:tcPr>
            <w:tcW w:w="416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2"/>
                <w:szCs w:val="12"/>
                <w:color w:val="auto"/>
              </w:rPr>
            </w:pPr>
          </w:p>
        </w:tc>
      </w:tr>
      <w:tr>
        <w:trPr>
          <w:trHeight w:val="149"/>
        </w:trPr>
        <w:tc>
          <w:tcPr>
            <w:tcW w:w="4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2"/>
                <w:szCs w:val="12"/>
                <w:color w:val="auto"/>
              </w:rPr>
            </w:pPr>
          </w:p>
        </w:tc>
      </w:tr>
      <w:tr>
        <w:trPr>
          <w:trHeight w:val="142"/>
        </w:trPr>
        <w:tc>
          <w:tcPr>
            <w:tcW w:w="4160" w:type="dxa"/>
            <w:vAlign w:val="bottom"/>
            <w:tcBorders>
              <w:bottom w:val="single" w:sz="8" w:color="CFF0FC"/>
            </w:tcBorders>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2,636</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3,162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consideration transferred</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20,935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20,935</w:t>
            </w:r>
          </w:p>
        </w:tc>
        <w:tc>
          <w:tcPr>
            <w:tcW w:w="100" w:type="dxa"/>
            <w:vAlign w:val="bottom"/>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-128270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-128270</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-128270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During the year ended December 31, 2024, a measurement period adjustment was identified as it relates to assumed accrued liabilities. The total measurement period adjustment was $0.5 million. The measurement period adjustment impacted the goodwill recognized on March 15, 2024. As of March 31, 2024, the Company is complete with the process of allocating the purchase price and valuing the acquired assets and liabilities assumed.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table sets forth the amounts allocated to the identified intangible assets, the estimated useful lives of those intangible assets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CTG Acquisition Date, and the methodologies used to determine the fair values of those intangible assets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130175</wp:posOffset>
            </wp:positionV>
            <wp:extent cx="85725" cy="231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23114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39"/>
        </w:trPr>
        <w:tc>
          <w:tcPr>
            <w:tcW w:w="5420" w:type="dxa"/>
            <w:vAlign w:val="bottom"/>
          </w:tcPr>
          <w:p>
            <w:pPr>
              <w:spacing w:after="0"/>
              <w:rPr>
                <w:sz w:val="12"/>
                <w:szCs w:val="12"/>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Fair value</w:t>
            </w: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Useful life</w:t>
            </w:r>
          </w:p>
        </w:tc>
        <w:tc>
          <w:tcPr>
            <w:tcW w:w="240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2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Intangible assets</w:t>
            </w:r>
          </w:p>
        </w:tc>
        <w:tc>
          <w:tcPr>
            <w:tcW w:w="10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names</w:t>
            </w:r>
          </w:p>
        </w:tc>
        <w:tc>
          <w:tcPr>
            <w:tcW w:w="1040" w:type="dxa"/>
            <w:vAlign w:val="bottom"/>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8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24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48"/>
        </w:trPr>
        <w:tc>
          <w:tcPr>
            <w:tcW w:w="5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0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w:t>
            </w:r>
          </w:p>
        </w:tc>
        <w:tc>
          <w:tcPr>
            <w:tcW w:w="86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w:t>
            </w:r>
          </w:p>
        </w:tc>
        <w:tc>
          <w:tcPr>
            <w:tcW w:w="24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26"/>
        </w:trPr>
        <w:tc>
          <w:tcPr>
            <w:tcW w:w="54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Customer relationships</w:t>
            </w:r>
          </w:p>
        </w:tc>
        <w:tc>
          <w:tcPr>
            <w:tcW w:w="10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860" w:type="dxa"/>
            <w:vAlign w:val="bottom"/>
            <w:gridSpan w:val="2"/>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w w:val="99"/>
              </w:rPr>
              <w:t>20</w:t>
            </w:r>
          </w:p>
        </w:tc>
        <w:tc>
          <w:tcPr>
            <w:tcW w:w="240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Multi-period excess earnings method of</w:t>
            </w:r>
          </w:p>
        </w:tc>
        <w:tc>
          <w:tcPr>
            <w:tcW w:w="0" w:type="dxa"/>
            <w:vAlign w:val="bottom"/>
          </w:tcPr>
          <w:p>
            <w:pPr>
              <w:spacing w:after="0"/>
              <w:rPr>
                <w:sz w:val="1"/>
                <w:szCs w:val="1"/>
                <w:color w:val="auto"/>
              </w:rPr>
            </w:pPr>
          </w:p>
        </w:tc>
      </w:tr>
      <w:tr>
        <w:trPr>
          <w:trHeight w:val="158"/>
        </w:trPr>
        <w:tc>
          <w:tcPr>
            <w:tcW w:w="54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the income approach</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040" w:type="dxa"/>
            <w:vAlign w:val="bottom"/>
            <w:tcBorders>
              <w:bottom w:val="single" w:sz="8" w:color="auto"/>
            </w:tcBorders>
            <w:shd w:val="clear" w:color="auto" w:fill="CFF0FC"/>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8,065</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intangible assets acquired are expected to be amortized over their useful lives on a straight-line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Superior Drilling Products, Inc.</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On March 6, 2024, the Company entered into the Merger Agreement by and among the Company, SDPI, Merger Sub, Merger Sub II, pursuant to the First Merger, with SDPI surviving as a wholly owned subsidiary of DTI and upon the effective time of the First Merger, SDPI, as the surviving corporation of the First Merger, merged with and into Merger Sub II, with Merger Sub II surviving as a wholly owned subsidiary of the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accordance with the terms of the Merger Agreement, the closing of the Merger occurred on July 31, 2024 (the “SDPI Closing Date” or “SDPI Closing”) for total consideration of $47.9 million.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SDPI is an innovative drilling and completion tool technology company providing cost saving solutions that drive production efficiencies for the oil and natural gas drilling industry. In addition, SDPI is a manufacturer and refurbisher of polycrystalline diamond compact drill bits for leading oil field services companies. The acquisition furthers the Company's growth strategy as a premier provider of technologically differentiated solutions and services for the global oil &amp; gas drilling industry. The SDPI acquisition allows the company to vertically integrate around our proven and successful Drill-N-Ream® tool, gain global rights to run this tool, continue the Vernal, UT bit repair business supporting major OEMs of PDC drill bits, and leverage their high-spec machine shop. In addition, we acquired over 30 patents and patents pending, the majority of which have been granted.</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acquisition of SDPI has been accounted for as a business combination in accordance with ASC 805, Business Combinations. The Company has been treated as the accounting acquirer. Accordingly, SDPI's tangible and identifiable intangible assets acquired and its liabilities assumed were recorded at their estimated fair values on the SDPI Closing Date. The purchase price allocation for the Merger is preliminary and subject to revision, primarily relating to information pertaining to inventory. Additional information that existed as of the SDPI Closing Date may become known during the remainder of the measurement period, which will not extend beyond one year from the SDPI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preliminary allocation of the purchase is as follows (in thousands):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tbl>
      <w:tblPr>
        <w:tblLayout w:type="fixed"/>
        <w:tblInd w:w="1700" w:type="dxa"/>
        <w:tblCellMar>
          <w:top w:w="0" w:type="dxa"/>
          <w:left w:w="0" w:type="dxa"/>
          <w:bottom w:w="0" w:type="dxa"/>
          <w:right w:w="0" w:type="dxa"/>
        </w:tblCellMar>
      </w:tblPr>
      <w:tr>
        <w:trPr>
          <w:trHeight w:val="173"/>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Related party note receivable, current</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1,231</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10,213</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Related party note receivable, noncurrent</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22,850</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 and other long-term assets</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47,687</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assumed: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income</w:t>
            </w:r>
          </w:p>
        </w:tc>
        <w:tc>
          <w:tcPr>
            <w:tcW w:w="2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2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6,245</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41,442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Goodwill</w:t>
            </w:r>
          </w:p>
        </w:tc>
        <w:tc>
          <w:tcPr>
            <w:tcW w:w="2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7,718</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6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 acquired and goodwill</w:t>
            </w: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49,160</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-333375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excess of the fair value of the consideration transferred and the fair value of DTI’s previously held investment in SDPI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acquisition of SDPI is not deductible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table sets forth the amounts allocated to the identified intangible assets, the estimated useful lives of those intangible assets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SDPI Closing Date, and the methodologies used to determine the fair values of those intangible assets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130175</wp:posOffset>
            </wp:positionV>
            <wp:extent cx="85725"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23114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130175</wp:posOffset>
            </wp:positionV>
            <wp:extent cx="85090"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090" cy="23114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39"/>
        </w:trPr>
        <w:tc>
          <w:tcPr>
            <w:tcW w:w="34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Borders>
              <w:top w:val="single" w:sz="8" w:color="auto"/>
            </w:tcBorders>
          </w:tcPr>
          <w:p>
            <w:pPr>
              <w:jc w:val="right"/>
              <w:ind w:right="528"/>
              <w:spacing w:after="0" w:line="139" w:lineRule="exact"/>
              <w:rPr>
                <w:sz w:val="20"/>
                <w:szCs w:val="20"/>
                <w:color w:val="auto"/>
              </w:rPr>
            </w:pPr>
            <w:r>
              <w:rPr>
                <w:rFonts w:ascii="Times New Roman" w:cs="Times New Roman" w:eastAsia="Times New Roman" w:hAnsi="Times New Roman"/>
                <w:sz w:val="14"/>
                <w:szCs w:val="14"/>
                <w:color w:val="auto"/>
              </w:rPr>
              <w:t>Useful life</w:t>
            </w:r>
          </w:p>
        </w:tc>
        <w:tc>
          <w:tcPr>
            <w:tcW w:w="100" w:type="dxa"/>
            <w:vAlign w:val="bottom"/>
          </w:tcPr>
          <w:p>
            <w:pPr>
              <w:spacing w:after="0"/>
              <w:rPr>
                <w:sz w:val="12"/>
                <w:szCs w:val="12"/>
                <w:color w:val="auto"/>
              </w:rPr>
            </w:pPr>
          </w:p>
        </w:tc>
        <w:tc>
          <w:tcPr>
            <w:tcW w:w="292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124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Fair value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(in years)</w:t>
            </w:r>
          </w:p>
        </w:tc>
        <w:tc>
          <w:tcPr>
            <w:tcW w:w="10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460" w:type="dxa"/>
            <w:vAlign w:val="bottom"/>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240" w:type="dxa"/>
            <w:vAlign w:val="bottom"/>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2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8,600</w:t>
            </w:r>
          </w:p>
        </w:tc>
        <w:tc>
          <w:tcPr>
            <w:tcW w:w="1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2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names</w:t>
            </w:r>
          </w:p>
        </w:tc>
        <w:tc>
          <w:tcPr>
            <w:tcW w:w="1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Backlog</w:t>
            </w:r>
          </w:p>
        </w:tc>
        <w:tc>
          <w:tcPr>
            <w:tcW w:w="12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8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FF0FC"/>
            </w:tcBorders>
            <w:shd w:val="clear" w:color="auto" w:fill="CFF0FC"/>
          </w:tcPr>
          <w:p>
            <w:pPr>
              <w:spacing w:after="0"/>
              <w:rPr>
                <w:sz w:val="12"/>
                <w:szCs w:val="12"/>
                <w:color w:val="auto"/>
              </w:rPr>
            </w:pPr>
          </w:p>
        </w:tc>
        <w:tc>
          <w:tcPr>
            <w:tcW w:w="29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240" w:type="dxa"/>
            <w:vAlign w:val="bottom"/>
            <w:tcBorders>
              <w:bottom w:val="single" w:sz="8" w:color="auto"/>
            </w:tcBorders>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22,850</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-128270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intangible assets acquired are expected to be amortized over their useful lives on a straight-line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European Drilling Projects B.V.</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On September 30, 2024, the Company’s wholly owned subsidiary, Drilling Tools International, Inc., entered the Share Purchase Agreement with European Drilling Projects B.V. (“EDP”), and the sole shareholder of EDP, to acquire 100% of the shares of EDP. European Drilling Products is a global provider of next-generation stabilizers, specialty reamers, and wellbore optimization technology for the drilling industry. EDP designs and manufactures bespoke drilling equipment tailored to address specific industry challenges. The integration of EDP's expertise aligns seamlessly with DTI's international growth strategy and commitment to technological differentiation.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 accordance with the terms of the Merger Agreement, the closing of the acquisition occurred on October 3, 2024 (the “EDP Closing Date” or “EDP Closing”) for total consideration of $13.9 million, including a Promissory Note payable to parent company of EDP for $5.2 million. On April 22, 2025, the First Amendment to the Promissory Note was entered into, reducing the balance owed on the Promissory Note by $0.3 million. The conditions that resulted in the amendment existed as of the balance sheet date. Since the amendment was signed prior to the report date, the impact of the amendment is reflected in the condensed balance sheet as of March 31, 2024. Refer to </w:t>
      </w:r>
      <w:r>
        <w:rPr>
          <w:rFonts w:ascii="Times New Roman" w:cs="Times New Roman" w:eastAsia="Times New Roman" w:hAnsi="Times New Roman"/>
          <w:sz w:val="18"/>
          <w:szCs w:val="18"/>
          <w:b w:val="1"/>
          <w:bCs w:val="1"/>
          <w:i w:val="1"/>
          <w:iCs w:val="1"/>
          <w:color w:val="auto"/>
        </w:rPr>
        <w:t>Note 19 - Subsequent Events</w:t>
      </w:r>
      <w:r>
        <w:rPr>
          <w:rFonts w:ascii="Times New Roman" w:cs="Times New Roman" w:eastAsia="Times New Roman" w:hAnsi="Times New Roman"/>
          <w:sz w:val="18"/>
          <w:szCs w:val="18"/>
          <w:b w:val="1"/>
          <w:bCs w:val="1"/>
          <w:color w:val="auto"/>
        </w:rPr>
        <w:t xml:space="preserve"> for further information. As the amendment was signed within a year of the acquisition date of September 30, 2024 and related to additional information about matters which existed as of the acquisition date ,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accounted for the amendment as a measurement period adjustment. Please refer to the table below for the impact of the reduction. Additionally, refer to </w:t>
      </w:r>
      <w:r>
        <w:rPr>
          <w:rFonts w:ascii="Times New Roman" w:cs="Times New Roman" w:eastAsia="Times New Roman" w:hAnsi="Times New Roman"/>
          <w:sz w:val="18"/>
          <w:szCs w:val="18"/>
          <w:b w:val="1"/>
          <w:bCs w:val="1"/>
          <w:i w:val="1"/>
          <w:iCs w:val="1"/>
          <w:color w:val="auto"/>
        </w:rPr>
        <w:t>Note 8 - Long-Term Debt</w:t>
      </w:r>
      <w:r>
        <w:rPr>
          <w:rFonts w:ascii="Times New Roman" w:cs="Times New Roman" w:eastAsia="Times New Roman" w:hAnsi="Times New Roman"/>
          <w:sz w:val="18"/>
          <w:szCs w:val="18"/>
          <w:b w:val="1"/>
          <w:bCs w:val="1"/>
          <w:color w:val="auto"/>
        </w:rPr>
        <w:t xml:space="preserve"> for further information regarding the Promissory Note.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acquisition of EDP has been accounted for as a business combination in accordance with ASC 805, Business Combinations (“ASC 805”). Drilling Tools International, Inc. has been treated as the accounting acquirer. Accordingly, EDP’s tangible and identifiable intangible assets acquired, and its liabilities assumed were recorded at their estimated fair values on the EDP Closing Date. The purchase price allocation for the Merger is preliminary and subject to revision. Additional information that existed as of the EDP Closing Date may become known during the remainder of the measurement period, which will not extend beyond one year from the EDP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preliminary allocation of the purchase is as follows (in thousands):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Preliminary</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Measurement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As adjusted</w:t>
            </w:r>
          </w:p>
        </w:tc>
      </w:tr>
      <w:tr>
        <w:trPr>
          <w:trHeight w:val="148"/>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8"/>
              </w:rPr>
              <w:t>Period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2024</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4"/>
                <w:szCs w:val="14"/>
                <w:color w:val="auto"/>
              </w:rPr>
            </w:pPr>
          </w:p>
        </w:tc>
      </w:tr>
      <w:tr>
        <w:trPr>
          <w:trHeight w:val="142"/>
        </w:trPr>
        <w:tc>
          <w:tcPr>
            <w:tcW w:w="5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 acquired:</w:t>
            </w: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Revenue</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w:t>
            </w:r>
          </w:p>
        </w:tc>
        <w:tc>
          <w:tcPr>
            <w:tcW w:w="100" w:type="dxa"/>
            <w:vAlign w:val="bottom"/>
          </w:tcPr>
          <w:p>
            <w:pPr>
              <w:spacing w:after="0"/>
              <w:rPr>
                <w:sz w:val="12"/>
                <w:szCs w:val="12"/>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2"/>
                <w:szCs w:val="12"/>
                <w:color w:val="auto"/>
              </w:rPr>
            </w:pPr>
          </w:p>
        </w:tc>
      </w:tr>
      <w:tr>
        <w:trPr>
          <w:trHeight w:val="148"/>
        </w:trPr>
        <w:tc>
          <w:tcPr>
            <w:tcW w:w="56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8,197</w:t>
            </w: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8,197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 acquired</w:t>
            </w: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14,153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14,125</w:t>
            </w:r>
          </w:p>
        </w:tc>
        <w:tc>
          <w:tcPr>
            <w:tcW w:w="100" w:type="dxa"/>
            <w:vAlign w:val="bottom"/>
          </w:tcPr>
          <w:p>
            <w:pPr>
              <w:spacing w:after="0"/>
              <w:rPr>
                <w:sz w:val="12"/>
                <w:szCs w:val="12"/>
                <w:color w:val="auto"/>
              </w:rPr>
            </w:pPr>
          </w:p>
        </w:tc>
      </w:tr>
      <w:tr>
        <w:trPr>
          <w:trHeight w:val="149"/>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assumed:</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100" w:type="dxa"/>
            <w:vAlign w:val="bottom"/>
            <w:shd w:val="clear" w:color="auto" w:fill="CFF0FC"/>
          </w:tcPr>
          <w:p>
            <w:pPr>
              <w:spacing w:after="0"/>
              <w:rPr>
                <w:sz w:val="12"/>
                <w:szCs w:val="12"/>
                <w:color w:val="auto"/>
              </w:rPr>
            </w:pPr>
          </w:p>
        </w:tc>
      </w:tr>
      <w:tr>
        <w:trPr>
          <w:trHeight w:val="148"/>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noncurrent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2"/>
                <w:szCs w:val="12"/>
                <w:color w:val="auto"/>
              </w:rPr>
            </w:pPr>
          </w:p>
        </w:tc>
      </w:tr>
      <w:tr>
        <w:trPr>
          <w:trHeight w:val="148"/>
        </w:trPr>
        <w:tc>
          <w:tcPr>
            <w:tcW w:w="5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FF0FC"/>
          </w:tcPr>
          <w:p>
            <w:pPr>
              <w:spacing w:after="0"/>
              <w:rPr>
                <w:sz w:val="12"/>
                <w:szCs w:val="12"/>
                <w:color w:val="auto"/>
              </w:rPr>
            </w:pPr>
          </w:p>
        </w:tc>
      </w:tr>
      <w:tr>
        <w:trPr>
          <w:trHeight w:val="149"/>
        </w:trPr>
        <w:tc>
          <w:tcPr>
            <w:tcW w:w="5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0" w:type="dxa"/>
            <w:vAlign w:val="bottom"/>
          </w:tcPr>
          <w:p>
            <w:pPr>
              <w:spacing w:after="0"/>
              <w:rPr>
                <w:sz w:val="12"/>
                <w:szCs w:val="12"/>
                <w:color w:val="auto"/>
              </w:rPr>
            </w:pPr>
          </w:p>
        </w:tc>
      </w:tr>
      <w:tr>
        <w:trPr>
          <w:trHeight w:val="142"/>
        </w:trPr>
        <w:tc>
          <w:tcPr>
            <w:tcW w:w="5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1,769</w:t>
            </w: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1,908</w:t>
            </w:r>
          </w:p>
        </w:tc>
        <w:tc>
          <w:tcPr>
            <w:tcW w:w="2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12,384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(1,936)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10,448</w:t>
            </w:r>
          </w:p>
        </w:tc>
        <w:tc>
          <w:tcPr>
            <w:tcW w:w="100" w:type="dxa"/>
            <w:vAlign w:val="bottom"/>
          </w:tcPr>
          <w:p>
            <w:pPr>
              <w:spacing w:after="0"/>
              <w:rPr>
                <w:sz w:val="12"/>
                <w:szCs w:val="12"/>
                <w:color w:val="auto"/>
              </w:rPr>
            </w:pPr>
          </w:p>
        </w:tc>
      </w:tr>
      <w:tr>
        <w:trPr>
          <w:trHeight w:val="142"/>
        </w:trPr>
        <w:tc>
          <w:tcPr>
            <w:tcW w:w="5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1,516</w:t>
            </w:r>
          </w:p>
        </w:tc>
        <w:tc>
          <w:tcPr>
            <w:tcW w:w="5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1,670</w:t>
            </w:r>
          </w:p>
        </w:tc>
        <w:tc>
          <w:tcPr>
            <w:tcW w:w="2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 acquired and goodwill</w:t>
            </w: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13,900</w:t>
            </w:r>
          </w:p>
        </w:tc>
        <w:tc>
          <w:tcPr>
            <w:tcW w:w="5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13,634</w:t>
            </w:r>
          </w:p>
        </w:tc>
        <w:tc>
          <w:tcPr>
            <w:tcW w:w="100" w:type="dxa"/>
            <w:vAlign w:val="bottom"/>
          </w:tcPr>
          <w:p>
            <w:pPr>
              <w:spacing w:after="0"/>
              <w:rPr>
                <w:sz w:val="12"/>
                <w:szCs w:val="12"/>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-1104900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-1104900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-1104900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-333375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-333375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-128270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-128270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excess of the fair value of the consideration transferred over the fair values of the net identifiable tangible and intangible assets acquired has been assigned to goodwill. Goodwill represents the future benefits of acquiring EDP as the acquisition not only enhances DTI's competitive edge, but also reinforces its position as a leader in providing innovative drilling solutions to the global oil and gas industry. Goodwill will be evaluated for impairment at least annually. Goodwill attributable to the acquisition of EDP is not deductible for tax purposes.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During the three months ended March 31, 2025, a measurement period adjustment was identified as it relates to the consideration transferred and the recognition of deferred tax assets and liabilities. The total measurement period adjustment was $1.7 million. The measurement period adjustment impacted the goodwill recognized on September 30, 2024. As of March 31, 2025, the Company is substantially complete with the process of allocating the purchase price and valuing the acquired assets and liabilities assumed.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table sets forth the amounts allocated to the identified intangible assets, the estimated useful lives of those intangible assets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EDP Closing Date, and the methodologies used to determine the fair values of those intangible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130175</wp:posOffset>
            </wp:positionV>
            <wp:extent cx="93980" cy="231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130175</wp:posOffset>
            </wp:positionV>
            <wp:extent cx="85725" cy="2311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23114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39"/>
        </w:trPr>
        <w:tc>
          <w:tcPr>
            <w:tcW w:w="4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Fair value</w:t>
            </w:r>
          </w:p>
        </w:tc>
        <w:tc>
          <w:tcPr>
            <w:tcW w:w="400" w:type="dxa"/>
            <w:vAlign w:val="bottom"/>
          </w:tcPr>
          <w:p>
            <w:pPr>
              <w:spacing w:after="0"/>
              <w:rPr>
                <w:sz w:val="12"/>
                <w:szCs w:val="12"/>
                <w:color w:val="auto"/>
              </w:rPr>
            </w:pPr>
          </w:p>
        </w:tc>
        <w:tc>
          <w:tcPr>
            <w:tcW w:w="1000" w:type="dxa"/>
            <w:vAlign w:val="bottom"/>
            <w:tcBorders>
              <w:top w:val="single" w:sz="8" w:color="auto"/>
            </w:tcBorders>
          </w:tcPr>
          <w:p>
            <w:pPr>
              <w:jc w:val="right"/>
              <w:ind w:right="128"/>
              <w:spacing w:after="0" w:line="139" w:lineRule="exact"/>
              <w:rPr>
                <w:sz w:val="20"/>
                <w:szCs w:val="20"/>
                <w:color w:val="auto"/>
              </w:rPr>
            </w:pPr>
            <w:r>
              <w:rPr>
                <w:rFonts w:ascii="Times New Roman" w:cs="Times New Roman" w:eastAsia="Times New Roman" w:hAnsi="Times New Roman"/>
                <w:sz w:val="14"/>
                <w:szCs w:val="14"/>
                <w:color w:val="auto"/>
              </w:rPr>
              <w:t>Useful life</w:t>
            </w:r>
          </w:p>
        </w:tc>
        <w:tc>
          <w:tcPr>
            <w:tcW w:w="200" w:type="dxa"/>
            <w:vAlign w:val="bottom"/>
          </w:tcPr>
          <w:p>
            <w:pPr>
              <w:spacing w:after="0"/>
              <w:rPr>
                <w:sz w:val="12"/>
                <w:szCs w:val="12"/>
                <w:color w:val="auto"/>
              </w:rPr>
            </w:pPr>
          </w:p>
        </w:tc>
        <w:tc>
          <w:tcPr>
            <w:tcW w:w="2700" w:type="dxa"/>
            <w:vAlign w:val="bottom"/>
            <w:tcBorders>
              <w:top w:val="single" w:sz="8" w:color="auto"/>
            </w:tcBorders>
            <w:vMerge w:val="restart"/>
          </w:tcPr>
          <w:p>
            <w:pPr>
              <w:ind w:left="66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(in years)</w:t>
            </w:r>
          </w:p>
        </w:tc>
        <w:tc>
          <w:tcPr>
            <w:tcW w:w="200" w:type="dxa"/>
            <w:vAlign w:val="bottom"/>
          </w:tcPr>
          <w:p>
            <w:pPr>
              <w:spacing w:after="0"/>
              <w:rPr>
                <w:sz w:val="14"/>
                <w:szCs w:val="14"/>
                <w:color w:val="auto"/>
              </w:rPr>
            </w:pPr>
          </w:p>
        </w:tc>
        <w:tc>
          <w:tcPr>
            <w:tcW w:w="2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4,135</w:t>
            </w:r>
          </w:p>
        </w:tc>
        <w:tc>
          <w:tcPr>
            <w:tcW w:w="14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2900" w:type="dxa"/>
            <w:vAlign w:val="bottom"/>
            <w:gridSpan w:val="2"/>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3,721</w:t>
            </w: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9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48"/>
        </w:trPr>
        <w:tc>
          <w:tcPr>
            <w:tcW w:w="48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40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900" w:type="dxa"/>
            <w:vAlign w:val="bottom"/>
            <w:tcBorders>
              <w:bottom w:val="single" w:sz="8" w:color="CFF0FC"/>
            </w:tcBorders>
            <w:gridSpan w:val="2"/>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Relief-From-Royalty Method</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8,197</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-128270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intangible assets acquired are expected to be amortized over their useful lives on a straight-line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Tools Group Limited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On January 2, 2025, the Company’s wholly owned subsidiary, Drilling Tools International, Inc., completed the acquisition of 100% of the shares of Titan Tools Group Limited (“Titan”). Titan is a full-service, down-hole tool rental company for land and offshore operations focused on wellbore construction rental items for both traditional hydrocarbon extraction and geothermal industries. Titan's primary operations are located in the United Kingdom, Europe, and Africa.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to Titan shareholders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80" w:type="dxa"/>
            <w:vAlign w:val="bottom"/>
            <w:shd w:val="clear" w:color="auto" w:fill="CFF0FC"/>
          </w:tcPr>
          <w:p>
            <w:pPr>
              <w:spacing w:after="0"/>
              <w:rPr>
                <w:sz w:val="17"/>
                <w:szCs w:val="17"/>
                <w:color w:val="auto"/>
              </w:rPr>
            </w:pPr>
          </w:p>
        </w:tc>
      </w:tr>
      <w:tr>
        <w:trPr>
          <w:trHeight w:val="203"/>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Titan transaction costs to be paid by DTI</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r>
      <w:tr>
        <w:trPr>
          <w:trHeight w:val="203"/>
        </w:trPr>
        <w:tc>
          <w:tcPr>
            <w:tcW w:w="66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Closing date equity consideration</w:t>
            </w:r>
            <w:r>
              <w:rPr>
                <w:rFonts w:ascii="Times New Roman" w:cs="Times New Roman" w:eastAsia="Times New Roman" w:hAnsi="Times New Roman"/>
                <w:sz w:val="21"/>
                <w:szCs w:val="21"/>
                <w:color w:val="auto"/>
                <w:vertAlign w:val="superscript"/>
              </w:rPr>
              <w:t>(1)</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80" w:type="dxa"/>
            <w:vAlign w:val="bottom"/>
            <w:shd w:val="clear" w:color="auto" w:fill="CFF0FC"/>
          </w:tcPr>
          <w:p>
            <w:pPr>
              <w:spacing w:after="0"/>
              <w:rPr>
                <w:sz w:val="17"/>
                <w:szCs w:val="17"/>
                <w:color w:val="auto"/>
              </w:rPr>
            </w:pPr>
          </w:p>
        </w:tc>
      </w:tr>
      <w:tr>
        <w:trPr>
          <w:trHeight w:val="203"/>
        </w:trPr>
        <w:tc>
          <w:tcPr>
            <w:tcW w:w="66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Effective settlement of preexisting relationship between DTI and Titan </w:t>
            </w:r>
            <w:r>
              <w:rPr>
                <w:rFonts w:ascii="Times New Roman" w:cs="Times New Roman" w:eastAsia="Times New Roman" w:hAnsi="Times New Roman"/>
                <w:sz w:val="21"/>
                <w:szCs w:val="21"/>
                <w:color w:val="auto"/>
                <w:vertAlign w:val="superscript"/>
              </w:rPr>
              <w:t>(2)</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80" w:type="dxa"/>
            <w:vAlign w:val="bottom"/>
          </w:tcPr>
          <w:p>
            <w:pPr>
              <w:spacing w:after="0"/>
              <w:rPr>
                <w:sz w:val="17"/>
                <w:szCs w:val="17"/>
                <w:color w:val="auto"/>
              </w:rPr>
            </w:pPr>
          </w:p>
        </w:tc>
      </w:tr>
      <w:tr>
        <w:trPr>
          <w:trHeight w:val="23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Fair value of consideration transferred</w:t>
            </w: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67" w:lineRule="exact"/>
        <w:rPr>
          <w:sz w:val="20"/>
          <w:szCs w:val="20"/>
          <w:color w:val="auto"/>
        </w:rPr>
      </w:pPr>
    </w:p>
    <w:p>
      <w:pPr>
        <w:ind w:left="2440" w:hanging="186"/>
        <w:spacing w:after="0"/>
        <w:tabs>
          <w:tab w:leader="none" w:pos="24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value, as of the Titan Closing Date, of the DTI common stock transferred as purchase consideration.</w:t>
      </w:r>
    </w:p>
    <w:p>
      <w:pPr>
        <w:spacing w:after="0" w:line="120" w:lineRule="exact"/>
        <w:rPr>
          <w:rFonts w:ascii="Times New Roman" w:cs="Times New Roman" w:eastAsia="Times New Roman" w:hAnsi="Times New Roman"/>
          <w:sz w:val="13"/>
          <w:szCs w:val="13"/>
          <w:color w:val="auto"/>
        </w:rPr>
      </w:pPr>
    </w:p>
    <w:p>
      <w:pPr>
        <w:ind w:left="2260" w:right="2480" w:hanging="6"/>
        <w:spacing w:after="0"/>
        <w:tabs>
          <w:tab w:leader="none" w:pos="243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effective settlement of DTI’s accounts receivable from Titan and DTI’s accounts payable to Titan as Titan and DTI were customers of each other prior to the Titan Closing.</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Titan Closing Date. The purchase price allocation for the acquisition is preliminary and subject to revision. Additional information that existed as of the Titan Closing Date may become known during the remainder of the measurement period, which will not extend beyond one year from the Titan Closing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preliminary allocation of the purchase is as follows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net assets acquired and goodwill</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10,774</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-1482090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-436245</wp:posOffset>
            </wp:positionV>
            <wp:extent cx="43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-161925</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industry. Goodwill will be evaluated for impairment at least annually. Goodwill attributable to the acquisition of Titan is not deductible for tax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table sets forth the amounts allocated to the identified intangible assets, the estimated useful lives of those intangible assets as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Titan Closing Date, and the methodologies used to determine the fair values of those intangible assets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130175</wp:posOffset>
            </wp:positionV>
            <wp:extent cx="85725" cy="2311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23114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39"/>
        </w:trPr>
        <w:tc>
          <w:tcPr>
            <w:tcW w:w="6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28"/>
              <w:spacing w:after="0" w:line="139" w:lineRule="exact"/>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Useful life</w:t>
            </w:r>
          </w:p>
        </w:tc>
        <w:tc>
          <w:tcPr>
            <w:tcW w:w="224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2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Customer Relationship</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740" w:type="dxa"/>
            <w:vAlign w:val="bottom"/>
            <w:gridSpan w:val="2"/>
            <w:shd w:val="clear" w:color="auto" w:fill="CFF0FC"/>
          </w:tcPr>
          <w:p>
            <w:pPr>
              <w:jc w:val="center"/>
              <w:ind w:left="33"/>
              <w:spacing w:after="0" w:line="119" w:lineRule="exact"/>
              <w:rPr>
                <w:sz w:val="20"/>
                <w:szCs w:val="20"/>
                <w:color w:val="auto"/>
              </w:rPr>
            </w:pPr>
            <w:r>
              <w:rPr>
                <w:rFonts w:ascii="Times New Roman" w:cs="Times New Roman" w:eastAsia="Times New Roman" w:hAnsi="Times New Roman"/>
                <w:sz w:val="13"/>
                <w:szCs w:val="13"/>
                <w:color w:val="auto"/>
              </w:rPr>
              <w:t>25</w:t>
            </w:r>
          </w:p>
        </w:tc>
        <w:tc>
          <w:tcPr>
            <w:tcW w:w="224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Multi-period Excess Earnings</w:t>
            </w:r>
          </w:p>
        </w:tc>
        <w:tc>
          <w:tcPr>
            <w:tcW w:w="0" w:type="dxa"/>
            <w:vAlign w:val="bottom"/>
          </w:tcPr>
          <w:p>
            <w:pPr>
              <w:spacing w:after="0"/>
              <w:rPr>
                <w:sz w:val="1"/>
                <w:szCs w:val="1"/>
                <w:color w:val="auto"/>
              </w:rPr>
            </w:pPr>
          </w:p>
        </w:tc>
      </w:tr>
      <w:tr>
        <w:trPr>
          <w:trHeight w:val="158"/>
        </w:trPr>
        <w:tc>
          <w:tcPr>
            <w:tcW w:w="65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4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2240" w:type="dxa"/>
            <w:vAlign w:val="bottom"/>
            <w:tcBorders>
              <w:bottom w:val="single" w:sz="8" w:color="CFF0FC"/>
            </w:tcBorders>
            <w:shd w:val="clear" w:color="auto" w:fill="CFF0FC"/>
          </w:tcPr>
          <w:p>
            <w:pPr>
              <w:ind w:left="20"/>
              <w:spacing w:after="0" w:line="158" w:lineRule="exact"/>
              <w:rPr>
                <w:sz w:val="20"/>
                <w:szCs w:val="20"/>
                <w:color w:val="auto"/>
              </w:rPr>
            </w:pPr>
            <w:r>
              <w:rPr>
                <w:rFonts w:ascii="Times New Roman" w:cs="Times New Roman" w:eastAsia="Times New Roman" w:hAnsi="Times New Roman"/>
                <w:sz w:val="14"/>
                <w:szCs w:val="14"/>
                <w:color w:val="auto"/>
              </w:rPr>
              <w:t>Method</w:t>
            </w:r>
          </w:p>
        </w:tc>
        <w:tc>
          <w:tcPr>
            <w:tcW w:w="0" w:type="dxa"/>
            <w:vAlign w:val="bottom"/>
          </w:tcPr>
          <w:p>
            <w:pPr>
              <w:spacing w:after="0"/>
              <w:rPr>
                <w:sz w:val="1"/>
                <w:szCs w:val="1"/>
                <w:color w:val="auto"/>
              </w:rPr>
            </w:pPr>
          </w:p>
        </w:tc>
      </w:t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intangible assets</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-128270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intangible assets acquired are expected to be amortized over their useful lives on a straight-line basis.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incurred acquisition-related costs of $0.3 million during the three months ended March 31, 2025, which is included in other expense, net in the consolidated statements of income and comprehensive income.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consolidated statements of income and comprehensive income for the three months ended March 31, 2025, include Titan’s revenues of $2.6 million and net income of $0.1 million from the Titan Closing Date to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 (unaudited)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unaudited supplemental pro forma financial results below for the three months ended March 31, 2025 and 2024, combine the consolidated results of the Company, SDPI and CTG, giving effect to the mergers as if they had been completed on January 1, 2023. The unaudited supplemental pro forma financial results to not give effect to the impact of the Titan or EDP Acquisition as these were not considered significant individually or in the aggregate. This unaudited supplemental pro forma financial information is presented for informational purposes only and is not indicative of future operations or results had the acquisition been completed as of January 1, 2024, or any other date.</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580" w:type="dxa"/>
            <w:vAlign w:val="bottom"/>
            <w:vMerge w:val="restart"/>
          </w:tcPr>
          <w:p>
            <w:pPr>
              <w:jc w:val="right"/>
              <w:ind w:right="102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 forma revenue</w:t>
            </w:r>
          </w:p>
        </w:tc>
        <w:tc>
          <w:tcPr>
            <w:tcW w:w="1200" w:type="dxa"/>
            <w:vAlign w:val="bottom"/>
            <w:gridSpan w:val="2"/>
            <w:shd w:val="clear" w:color="auto" w:fill="CFF0FC"/>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42,880</w:t>
            </w:r>
          </w:p>
        </w:tc>
        <w:tc>
          <w:tcPr>
            <w:tcW w:w="3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43,008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(1,669)</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DETAILS - CURRENT ASSETS AND CURRENT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Raw materials</w:t>
            </w: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13,349</w:t>
            </w: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12,928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Work in progress</w:t>
            </w: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2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w:t>
            </w:r>
          </w:p>
        </w:tc>
        <w:tc>
          <w:tcPr>
            <w:tcW w:w="16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2,897</w:t>
            </w: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inventories</w:t>
            </w:r>
          </w:p>
        </w:tc>
        <w:tc>
          <w:tcPr>
            <w:tcW w:w="22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18,381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Allowance for obsolete inventory</w:t>
            </w:r>
          </w:p>
        </w:tc>
        <w:tc>
          <w:tcPr>
            <w:tcW w:w="220" w:type="dxa"/>
            <w:vAlign w:val="bottom"/>
            <w:shd w:val="clear" w:color="auto" w:fill="CFF0FC"/>
          </w:tcPr>
          <w:p>
            <w:pPr>
              <w:spacing w:after="0"/>
              <w:rPr>
                <w:sz w:val="12"/>
                <w:szCs w:val="12"/>
                <w:color w:val="auto"/>
              </w:rPr>
            </w:pPr>
          </w:p>
        </w:tc>
        <w:tc>
          <w:tcPr>
            <w:tcW w:w="160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Inventories, net</w:t>
            </w:r>
          </w:p>
        </w:tc>
        <w:tc>
          <w:tcPr>
            <w:tcW w:w="2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18,250</w:t>
            </w:r>
          </w:p>
        </w:tc>
        <w:tc>
          <w:tcPr>
            <w:tcW w:w="1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-325120</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-325120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-128270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20" w:type="dxa"/>
            <w:vAlign w:val="bottom"/>
          </w:tcPr>
          <w:p>
            <w:pPr>
              <w:spacing w:after="0"/>
              <w:rPr>
                <w:sz w:val="12"/>
                <w:szCs w:val="12"/>
                <w:color w:val="auto"/>
              </w:rPr>
            </w:pPr>
          </w:p>
        </w:tc>
        <w:tc>
          <w:tcPr>
            <w:tcW w:w="4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Prepaid expenses:</w:t>
            </w:r>
          </w:p>
        </w:tc>
        <w:tc>
          <w:tcPr>
            <w:tcW w:w="14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Deposits on inventory</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Prepaid income tax</w:t>
            </w: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1,293</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Prepaid insurance</w:t>
            </w: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8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Prepaid rent</w:t>
            </w: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8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8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Prepaid equipment</w:t>
            </w: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Prepaid other</w:t>
            </w:r>
          </w:p>
        </w:tc>
        <w:tc>
          <w:tcPr>
            <w:tcW w:w="1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3,045</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3,874</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-127635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-127635</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Accrued expenses:</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compensation and related benefits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insurance</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professional services</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property taxes</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monitoring fees</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current liabilities:</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Sales tax payable</w:t>
            </w: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accrued expenses and other current liabilities</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9,031</w:t>
            </w: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7,864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p>
      <w:pPr>
        <w:spacing w:after="0" w:line="23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Rental tools and equipment</w:t>
            </w:r>
          </w:p>
        </w:tc>
        <w:tc>
          <w:tcPr>
            <w:tcW w:w="400" w:type="dxa"/>
            <w:vAlign w:val="bottom"/>
            <w:tcBorders>
              <w:right w:val="single" w:sz="8" w:color="CFF0FC"/>
            </w:tcBorders>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5-10</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214,251</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205,939</w:t>
            </w:r>
          </w:p>
        </w:tc>
        <w:tc>
          <w:tcPr>
            <w:tcW w:w="0" w:type="dxa"/>
            <w:vAlign w:val="bottom"/>
          </w:tcPr>
          <w:p>
            <w:pPr>
              <w:spacing w:after="0"/>
              <w:rPr>
                <w:sz w:val="1"/>
                <w:szCs w:val="1"/>
                <w:color w:val="auto"/>
              </w:rPr>
            </w:pPr>
          </w:p>
        </w:tc>
      </w:tr>
      <w:tr>
        <w:trPr>
          <w:trHeight w:val="148"/>
        </w:trPr>
        <w:tc>
          <w:tcPr>
            <w:tcW w:w="5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Buildings and improvements</w:t>
            </w: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260" w:type="dxa"/>
            <w:vAlign w:val="bottom"/>
          </w:tcPr>
          <w:p>
            <w:pPr>
              <w:spacing w:after="0"/>
              <w:rPr>
                <w:sz w:val="12"/>
                <w:szCs w:val="12"/>
                <w:color w:val="auto"/>
              </w:rPr>
            </w:pPr>
          </w:p>
        </w:tc>
        <w:tc>
          <w:tcPr>
            <w:tcW w:w="1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7,273</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7,074</w:t>
            </w:r>
          </w:p>
        </w:tc>
        <w:tc>
          <w:tcPr>
            <w:tcW w:w="0" w:type="dxa"/>
            <w:vAlign w:val="bottom"/>
          </w:tcPr>
          <w:p>
            <w:pPr>
              <w:spacing w:after="0"/>
              <w:rPr>
                <w:sz w:val="1"/>
                <w:szCs w:val="1"/>
                <w:color w:val="auto"/>
              </w:rPr>
            </w:pPr>
          </w:p>
        </w:tc>
      </w:tr>
      <w:tr>
        <w:trPr>
          <w:trHeight w:val="149"/>
        </w:trPr>
        <w:tc>
          <w:tcPr>
            <w:tcW w:w="56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Office furniture, fixtures and equipment</w:t>
            </w:r>
          </w:p>
        </w:tc>
        <w:tc>
          <w:tcPr>
            <w:tcW w:w="4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148"/>
        </w:trPr>
        <w:tc>
          <w:tcPr>
            <w:tcW w:w="5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Transportation and equipment</w:t>
            </w: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spacing w:after="0"/>
              <w:rPr>
                <w:sz w:val="12"/>
                <w:szCs w:val="12"/>
                <w:color w:val="auto"/>
              </w:rPr>
            </w:pPr>
          </w:p>
        </w:tc>
        <w:tc>
          <w:tcPr>
            <w:tcW w:w="1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property, plant and equipment</w:t>
            </w: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225,405</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216,234</w:t>
            </w:r>
          </w:p>
        </w:tc>
        <w:tc>
          <w:tcPr>
            <w:tcW w:w="0" w:type="dxa"/>
            <w:vAlign w:val="bottom"/>
          </w:tcPr>
          <w:p>
            <w:pPr>
              <w:spacing w:after="0"/>
              <w:rPr>
                <w:sz w:val="1"/>
                <w:szCs w:val="1"/>
                <w:color w:val="auto"/>
              </w:rPr>
            </w:pPr>
          </w:p>
        </w:tc>
      </w:tr>
      <w:tr>
        <w:trPr>
          <w:trHeight w:val="148"/>
        </w:trPr>
        <w:tc>
          <w:tcPr>
            <w:tcW w:w="5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Less: accumulated deprecation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(145,969)</w:t>
            </w: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(142,203)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600" w:type="dxa"/>
            <w:vAlign w:val="bottom"/>
            <w:gridSpan w:val="2"/>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Property, plant and equipment, net (excluding construction in</w:t>
            </w:r>
          </w:p>
        </w:tc>
        <w:tc>
          <w:tcPr>
            <w:tcW w:w="28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79,436</w:t>
            </w:r>
          </w:p>
        </w:tc>
        <w:tc>
          <w:tcPr>
            <w:tcW w:w="8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74,031</w:t>
            </w:r>
          </w:p>
        </w:tc>
        <w:tc>
          <w:tcPr>
            <w:tcW w:w="0" w:type="dxa"/>
            <w:vAlign w:val="bottom"/>
          </w:tcPr>
          <w:p>
            <w:pPr>
              <w:spacing w:after="0"/>
              <w:rPr>
                <w:sz w:val="1"/>
                <w:szCs w:val="1"/>
                <w:color w:val="auto"/>
              </w:rPr>
            </w:pPr>
          </w:p>
        </w:tc>
      </w:tr>
      <w:tr>
        <w:trPr>
          <w:trHeight w:val="173"/>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28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2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Construction in progress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28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80,863</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75,571</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three months ended March 31, 2025 and 2024 was approximately $6.1 million and $5.3 million, respectively. The Company has not acquired any property, plant and equipment under financing leases.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Useful Lives (in Years)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vMerge w:val="restart"/>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Trade name</w:t>
            </w:r>
          </w:p>
        </w:tc>
        <w:tc>
          <w:tcPr>
            <w:tcW w:w="14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3,996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Developed Technology</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Customer Relationships</w:t>
            </w:r>
          </w:p>
        </w:tc>
        <w:tc>
          <w:tcPr>
            <w:tcW w:w="14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21,081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Patents</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43,352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39,714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accumulated amortization</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(3,125)</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(2,482)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Intangible assets, net</w:t>
            </w:r>
          </w:p>
        </w:tc>
        <w:tc>
          <w:tcPr>
            <w:tcW w:w="14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40,227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37,232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2025 and 2024 was approximately $632 thousand and $31 thousand,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carrying amount of goodwill for the years ended December 31, 2024 was as follows (in thousands):</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0" w:type="dxa"/>
            <w:vAlign w:val="bottom"/>
          </w:tcPr>
          <w:p>
            <w:pPr>
              <w:spacing w:after="0"/>
              <w:rPr>
                <w:sz w:val="17"/>
                <w:szCs w:val="17"/>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balance as of December 31, 2024</w:t>
            </w: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due to business combinations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Measurement period adjustments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Impairments</w:t>
            </w:r>
          </w:p>
        </w:tc>
        <w:tc>
          <w:tcPr>
            <w:tcW w:w="2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(1,901)</w:t>
            </w:r>
          </w:p>
        </w:tc>
      </w:tr>
      <w:tr>
        <w:trPr>
          <w:trHeight w:val="203"/>
        </w:trPr>
        <w:tc>
          <w:tcPr>
            <w:tcW w:w="20" w:type="dxa"/>
            <w:vAlign w:val="bottom"/>
          </w:tcPr>
          <w:p>
            <w:pPr>
              <w:spacing w:after="0"/>
              <w:rPr>
                <w:sz w:val="17"/>
                <w:szCs w:val="17"/>
                <w:color w:val="auto"/>
              </w:rPr>
            </w:pPr>
          </w:p>
        </w:tc>
        <w:tc>
          <w:tcPr>
            <w:tcW w:w="6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balance as of March 31, 2025</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14,401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-162560</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Reporting Units and Goodwill Impairment</w:t>
      </w:r>
    </w:p>
    <w:p>
      <w:pPr>
        <w:spacing w:after="0" w:line="3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1, 2025, the Company realigned its reportable segments to correspond with changes to its operating model, management structure, and organizational responsibilities. We bifurcated results into two segments: Eastern Hemisphere and Western Hemisphere. As a result, we split into four reporting units and reallocated goodwill among our affected reporting units on a relative fair value basis. We performed a goodwill impairment assessment immediately before and after our business reorganization. We concluded based on our pre-reorganization impairment test that goodwill was not impaired. As a result of the post-reorganization impairment test, we recognized a non-cash goodwill impairment loss of $1.9 million in the three months ended March 31, 2025, related to our Diamond Products and Deep Casing reporting units as the estimated fair values of the new reporting units was lower than the related carrying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"Credit Facility"). The facility provided for a revolving line of credit with a maximum borrowing amount totaling $60.0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(the "Term Loan") in a 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we are required to make an annual payment of up to $5,000,000, to be determined based on the Excess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generated each fiscal year commencing with the year ended December 31, 2024, as defined in the Credit Facility. Based on the calculation for Excess Cash Flows laid forth in the agreement, no payment was owed in April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interest on the Revolving Line of Credit and Term Loan was based on the Secured Overnight Financing Rate ("SOFR") or the bank’s base lending rate plus applicable margin (approximately 6.8% and 8.30% at March 31, 2025). The Credit Facility is collateralized by substantially all the assets of the Company and matures March 15,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there was $30.0 million drawn against the line of credit.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 of EDP, the Company issued an unsecured Promissory Note to the former parent company of EDP, totaling $5.2 million. On April 22, 2025, the First Amendment to the note was signed, reducing the balance by $0.3 million. The note bears an interest rate of 8% per annum. The note matures in December 2029 and payments are made quarterly. The note is a foreign currency denominated monetary liability (issuance and payments are denominated Euro), and as such, is measured at the end of each reporting unit based on the exchange rate that date. The remaining balance on the Promissory Note was $4.4 million as of March 31, 2025. For the three months ended March 31, 2025, the Company recognized a gain of $0.1 million on the condensed consolidated statements of income and comprehensive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future maturities of long-term debt consisted of the following (in thousands):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80" w:type="dxa"/>
            <w:vAlign w:val="bottom"/>
            <w:shd w:val="clear" w:color="auto" w:fill="CFF0FC"/>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8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5,910</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8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5,985</w:t>
            </w:r>
          </w:p>
        </w:tc>
        <w:tc>
          <w:tcPr>
            <w:tcW w:w="8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8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6,066</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8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32,523</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long term debt</w:t>
            </w:r>
          </w:p>
        </w:tc>
        <w:tc>
          <w:tcPr>
            <w:tcW w:w="880" w:type="dxa"/>
            <w:vAlign w:val="bottom"/>
            <w:tcBorders>
              <w:bottom w:val="single" w:sz="8" w:color="auto"/>
            </w:tcBorders>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54,869</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-128270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March 31, 2025 and December 31, 2024 and therefore no amounts were recorded as of March 31, 2025 or December 31, 2024.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income tax benefit of $0.2 million and income tax expense of $0.9 million for the three months ended March 31, 2025 and 2024, respectively, on the unaudited condensed consolidated statements of income and comprehensive income.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expense/benefit for the three months ended March 31, 2025 and 2024 was calculated using a discrete approach. This methodology was used because changes in the Company's results of operations and acquisitions can materially impact the estimated annual effective tax rate. The Company’s effective tax rate for the three months ended March 31, 2025 and 2024 were provisions of 8.7% and 23.1%, respectively. Such rates differed from the Federal Statutory rate of 21.0% primarily due to the state taxes, foreign income taxes on the Company’s international operations, and permanent differences.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significant change to the valuation allowance during the three months ended March 31, 2025 and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still evaluating the tax impact of the Titan Acquisition, including the impact of the transaction costs. Additionally, the Company continues to evaluate the deferred tax assets and liabilities and corresponding valuation allowance in connection with the Titan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which also occurred on . The 2023 Plan provides for the issuance of shares of Common Stock up to ten percent (10%) of the shares of outstanding Common Stock as of the closing of the Merger (which equated to 2,976,854 shares as of December 31,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March 31, 2025, there were 1,188,356 shares of Common Stock available for issuance under the 2023 Plan.</w:t>
      </w:r>
    </w:p>
    <w:p>
      <w:pPr>
        <w:spacing w:after="0" w:line="192"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The Company used the quoted market price as of the grant date as an input into the Black-Scholes model.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options outstanding as well as activity for the three months ended March 31, 2025: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December 31, 2024</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4,963,626</w:t>
            </w:r>
          </w:p>
        </w:tc>
        <w:tc>
          <w:tcPr>
            <w:tcW w:w="2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1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6.46</w:t>
            </w:r>
          </w:p>
        </w:tc>
        <w:tc>
          <w:tcPr>
            <w:tcW w:w="2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Exercised</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0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March 31, 2025</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4,963,626</w:t>
            </w:r>
          </w:p>
        </w:tc>
        <w:tc>
          <w:tcPr>
            <w:tcW w:w="2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3.50</w:t>
            </w:r>
          </w:p>
        </w:tc>
        <w:tc>
          <w:tcPr>
            <w:tcW w:w="1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5.72</w:t>
            </w:r>
          </w:p>
        </w:tc>
        <w:tc>
          <w:tcPr>
            <w:tcW w:w="2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45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UNVESTED, March 31, 2025</w:t>
            </w:r>
          </w:p>
        </w:tc>
        <w:tc>
          <w:tcPr>
            <w:tcW w:w="10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1,656,666</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3.02</w:t>
            </w:r>
          </w:p>
        </w:tc>
        <w:tc>
          <w:tcPr>
            <w:tcW w:w="1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8.88</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EXERCISABLE, March 31, 2025</w:t>
            </w:r>
          </w:p>
        </w:tc>
        <w:tc>
          <w:tcPr>
            <w:tcW w:w="10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3,306,960</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2.93</w:t>
            </w:r>
          </w:p>
        </w:tc>
        <w:tc>
          <w:tcPr>
            <w:tcW w:w="1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4.14</w:t>
            </w: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ind w:left="6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-264795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-248285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-264795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-248285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-264795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-248285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-264795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-248285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there was $0.4 million and $0.2 million of stock based compensation related to Stock Options within selling, general, and administrative expenses on the consolidated statements of income and comprehensive income, respectively. As of March 31, 2025 and March 31, 2024, there was $2.7 million and $4.4 million, respectively, of unrecognized compensation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the Company issued an aggregate 143,000 restricted stock units (“RSUs”) to five members of the Board (the “Directors”). Of the awards, 74,440 RSUs were deemed to be related to services performed during the year ended December 31, 2023, and were to vest immediately, while the remaining 68,560 RSUs are subject to a vesting term of one year. The Directors are considered to be employees of the Company under ASC 718. Additionally, on February 28, 2025, the Company issued 909,321 RSU's to employees of the Company. These RSUs will vest equally over 4 years and have a grant date price of $3.23.</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three months ended March 31, 2025, the Company recognized $0.2 million of stock based compensation related to RSUs within selling, general, and administrative expenses on the consolidated statements of income and comprehensive income. As of March 31, 2025, unrecognized compensation expense related to the RSUs totaled $2.9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three months ended March 31, 2025 and 2024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73"/>
        </w:trPr>
        <w:tc>
          <w:tcPr>
            <w:tcW w:w="2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Pr>
          <w:p>
            <w:pPr>
              <w:spacing w:after="0"/>
              <w:rPr>
                <w:sz w:val="15"/>
                <w:szCs w:val="15"/>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Transaction fees</w:t>
            </w:r>
          </w:p>
        </w:tc>
        <w:tc>
          <w:tcPr>
            <w:tcW w:w="1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(732)</w:t>
            </w:r>
          </w:p>
        </w:tc>
        <w:tc>
          <w:tcPr>
            <w:tcW w:w="460" w:type="dxa"/>
            <w:vAlign w:val="bottom"/>
            <w:gridSpan w:val="2"/>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(889)</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(247)</w:t>
            </w:r>
          </w:p>
        </w:tc>
      </w:tr>
      <w:tr>
        <w:trPr>
          <w:trHeight w:val="149"/>
        </w:trPr>
        <w:tc>
          <w:tcPr>
            <w:tcW w:w="2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Software Implementation</w:t>
            </w: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r>
      <w:tr>
        <w:trPr>
          <w:trHeight w:val="16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expense, net</w:t>
            </w:r>
          </w:p>
        </w:tc>
        <w:tc>
          <w:tcPr>
            <w:tcW w:w="1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(1,934)</w:t>
            </w:r>
          </w:p>
        </w:tc>
        <w:tc>
          <w:tcPr>
            <w:tcW w:w="460" w:type="dxa"/>
            <w:vAlign w:val="bottom"/>
            <w:gridSpan w:val="2"/>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(1,125)</w:t>
            </w: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and 2024, management fees paid to Hicks Holdings Operating LLC, a shareholder of the Company, were approximately $0.2 million and $0.2 million, respectively. Management fees paid to a shareholder are included in selling, general and administrative expense in the accompanying unaudited condensed consolidated statements of income and comprehensive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and 2024, director fees paid to Board of Directors were approximately $114 thousand and $85 thousand , respectively. Management fees paid to a shareholder are included in selling, general and administrative expense in the accompanying unaudited condensed consolidated statements of income and comprehensive income.</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the three months ended March 31, 2025 and 2024, the Company paid rent expense to Cree Investments, LLC, a shareholder of the Company, of approximately nil and $13 thousand, respectively, relating to the lease of a building. Future minimum lease payments related to this lease are included in the future minimum lease schedule in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July 31, 2024 ("Closing Date"), the Company entered into the Sixth Amendment and Restated Promissory Note with Tronco Energy Corporation ("Tronco"), an entity owned by employees of the Company. Pursuant to the Sixth Amendment and Restated Promissory Note, Tronco will make payments to the Company of $1.3 million annually, commencing on the first anniversary of the Closing Date through the fifth anniversary of the Closing Date. Per the agreement, if the 20-day volume-weighted average price of DTI falls below $3.20 per share, the principal that otherwise would have been due shall be deferred and apportioned over the remaining payment dates under specified in the agreement. Any payments due and not received by the Company before the fifth date following the anniversary date will bear interest from the date of nonpayment until paid equal to 3%. In accordance with ASC 805, the receivables fair value was measured at the present value of future cash flows upon the Closing Date. The carrying value of the note as of March 31, 2025 was $5.3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components of the Company’s lease expense were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1,739</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1,482</w:t>
            </w:r>
          </w:p>
        </w:tc>
        <w:tc>
          <w:tcPr>
            <w:tcW w:w="8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Lease Cost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8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Variable Lease Cost</w:t>
            </w:r>
          </w:p>
        </w:tc>
        <w:tc>
          <w:tcPr>
            <w:tcW w:w="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Lease Cost</w:t>
            </w:r>
          </w:p>
        </w:tc>
        <w:tc>
          <w:tcPr>
            <w:tcW w:w="1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1,879</w:t>
            </w:r>
          </w:p>
        </w:tc>
        <w:tc>
          <w:tcPr>
            <w:tcW w:w="3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1,605</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-128270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-128270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04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320" w:type="dxa"/>
            <w:vAlign w:val="bottom"/>
          </w:tcPr>
          <w:p>
            <w:pPr>
              <w:spacing w:after="0"/>
              <w:rPr>
                <w:sz w:val="15"/>
                <w:szCs w:val="15"/>
                <w:color w:val="auto"/>
              </w:rPr>
            </w:pPr>
          </w:p>
        </w:tc>
        <w:tc>
          <w:tcPr>
            <w:tcW w:w="3040" w:type="dxa"/>
            <w:vAlign w:val="bottom"/>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49"/>
        </w:trPr>
        <w:tc>
          <w:tcPr>
            <w:tcW w:w="4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3040" w:type="dxa"/>
            <w:vAlign w:val="bottom"/>
            <w:shd w:val="clear" w:color="auto" w:fill="CFF0FC"/>
          </w:tcPr>
          <w:p>
            <w:pPr>
              <w:ind w:left="256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1620" w:type="dxa"/>
            <w:vAlign w:val="bottom"/>
            <w:shd w:val="clear" w:color="auto" w:fill="CFF0FC"/>
          </w:tcPr>
          <w:p>
            <w:pPr>
              <w:ind w:left="1220"/>
              <w:spacing w:after="0" w:line="149" w:lineRule="exact"/>
              <w:rPr>
                <w:sz w:val="20"/>
                <w:szCs w:val="20"/>
                <w:color w:val="auto"/>
              </w:rPr>
            </w:pPr>
            <w:r>
              <w:rPr>
                <w:rFonts w:ascii="Times New Roman" w:cs="Times New Roman" w:eastAsia="Times New Roman" w:hAnsi="Times New Roman"/>
                <w:sz w:val="14"/>
                <w:szCs w:val="14"/>
                <w:color w:val="auto"/>
              </w:rPr>
              <w:t>6.45</w:t>
            </w:r>
          </w:p>
        </w:tc>
      </w:tr>
      <w:tr>
        <w:trPr>
          <w:trHeight w:val="188"/>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30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7.73%</w:t>
            </w:r>
          </w:p>
        </w:tc>
        <w:tc>
          <w:tcPr>
            <w:tcW w:w="16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5.86%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March 31, 2025 were as follows (in thousands):</w:t>
      </w:r>
    </w:p>
    <w:p>
      <w:pPr>
        <w:spacing w:after="0" w:line="3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w:t>
            </w:r>
          </w:p>
        </w:tc>
        <w:tc>
          <w:tcPr>
            <w:tcW w:w="33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shd w:val="clear" w:color="auto" w:fill="CFF0FC"/>
          </w:tcPr>
          <w:p>
            <w:pPr>
              <w:spacing w:after="0"/>
              <w:rPr>
                <w:sz w:val="13"/>
                <w:szCs w:val="13"/>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5,416</w:t>
            </w:r>
          </w:p>
        </w:tc>
        <w:tc>
          <w:tcPr>
            <w:tcW w:w="100" w:type="dxa"/>
            <w:vAlign w:val="bottom"/>
          </w:tcPr>
          <w:p>
            <w:pPr>
              <w:spacing w:after="0"/>
              <w:rPr>
                <w:sz w:val="12"/>
                <w:szCs w:val="12"/>
                <w:color w:val="auto"/>
              </w:rPr>
            </w:pPr>
          </w:p>
        </w:tc>
      </w:tr>
      <w:tr>
        <w:trPr>
          <w:trHeight w:val="148"/>
        </w:trPr>
        <w:tc>
          <w:tcPr>
            <w:tcW w:w="4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7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4,354</w:t>
            </w:r>
          </w:p>
        </w:tc>
        <w:tc>
          <w:tcPr>
            <w:tcW w:w="100" w:type="dxa"/>
            <w:vAlign w:val="bottom"/>
            <w:shd w:val="clear" w:color="auto" w:fill="CFF0FC"/>
          </w:tcPr>
          <w:p>
            <w:pPr>
              <w:spacing w:after="0"/>
              <w:rPr>
                <w:sz w:val="12"/>
                <w:szCs w:val="12"/>
                <w:color w:val="auto"/>
              </w:rPr>
            </w:pPr>
          </w:p>
        </w:tc>
      </w:tr>
      <w:tr>
        <w:trPr>
          <w:trHeight w:val="149"/>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2"/>
                <w:szCs w:val="12"/>
                <w:color w:val="auto"/>
              </w:rPr>
            </w:pPr>
          </w:p>
        </w:tc>
      </w:tr>
      <w:tr>
        <w:trPr>
          <w:trHeight w:val="148"/>
        </w:trPr>
        <w:tc>
          <w:tcPr>
            <w:tcW w:w="4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7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3,025</w:t>
            </w:r>
          </w:p>
        </w:tc>
        <w:tc>
          <w:tcPr>
            <w:tcW w:w="100" w:type="dxa"/>
            <w:vAlign w:val="bottom"/>
            <w:shd w:val="clear" w:color="auto" w:fill="CFF0FC"/>
          </w:tcPr>
          <w:p>
            <w:pPr>
              <w:spacing w:after="0"/>
              <w:rPr>
                <w:sz w:val="12"/>
                <w:szCs w:val="12"/>
                <w:color w:val="auto"/>
              </w:rPr>
            </w:pPr>
          </w:p>
        </w:tc>
      </w:tr>
      <w:tr>
        <w:trPr>
          <w:trHeight w:val="148"/>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7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10,595</w:t>
            </w:r>
          </w:p>
        </w:tc>
        <w:tc>
          <w:tcPr>
            <w:tcW w:w="100" w:type="dxa"/>
            <w:vAlign w:val="bottom"/>
          </w:tcPr>
          <w:p>
            <w:pPr>
              <w:spacing w:after="0"/>
              <w:rPr>
                <w:sz w:val="12"/>
                <w:szCs w:val="12"/>
                <w:color w:val="auto"/>
              </w:rPr>
            </w:pPr>
          </w:p>
        </w:tc>
      </w:tr>
      <w:tr>
        <w:trPr>
          <w:trHeight w:val="142"/>
        </w:trPr>
        <w:tc>
          <w:tcPr>
            <w:tcW w:w="4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lease payments</w:t>
            </w:r>
          </w:p>
        </w:tc>
        <w:tc>
          <w:tcPr>
            <w:tcW w:w="3320" w:type="dxa"/>
            <w:vAlign w:val="bottom"/>
            <w:gridSpan w:val="2"/>
            <w:shd w:val="clear" w:color="auto" w:fill="CFF0FC"/>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31,363</w:t>
            </w:r>
          </w:p>
        </w:tc>
        <w:tc>
          <w:tcPr>
            <w:tcW w:w="100" w:type="dxa"/>
            <w:vAlign w:val="bottom"/>
            <w:shd w:val="clear" w:color="auto" w:fill="CFF0FC"/>
          </w:tcPr>
          <w:p>
            <w:pPr>
              <w:spacing w:after="0"/>
              <w:rPr>
                <w:sz w:val="12"/>
                <w:szCs w:val="12"/>
                <w:color w:val="auto"/>
              </w:rPr>
            </w:pPr>
          </w:p>
        </w:tc>
      </w:tr>
      <w:tr>
        <w:trPr>
          <w:trHeight w:val="149"/>
        </w:trPr>
        <w:tc>
          <w:tcPr>
            <w:tcW w:w="4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imputed interest</w:t>
            </w: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(7,461)</w:t>
            </w:r>
          </w:p>
        </w:tc>
      </w:tr>
      <w:tr>
        <w:trPr>
          <w:trHeight w:val="20"/>
        </w:trPr>
        <w:tc>
          <w:tcPr>
            <w:tcW w:w="4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4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Present value of lease liabilities</w:t>
            </w:r>
          </w:p>
        </w:tc>
        <w:tc>
          <w:tcPr>
            <w:tcW w:w="3320" w:type="dxa"/>
            <w:vAlign w:val="bottom"/>
            <w:gridSpan w:val="2"/>
            <w:shd w:val="clear" w:color="auto" w:fill="CFF0FC"/>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23,902</w:t>
            </w:r>
          </w:p>
        </w:tc>
        <w:tc>
          <w:tcPr>
            <w:tcW w:w="100" w:type="dxa"/>
            <w:vAlign w:val="bottom"/>
            <w:shd w:val="clear" w:color="auto" w:fill="CFF0FC"/>
          </w:tcPr>
          <w:p>
            <w:pPr>
              <w:spacing w:after="0"/>
              <w:rPr>
                <w:sz w:val="14"/>
                <w:szCs w:val="14"/>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months ended March 31, 2025 and 2024, tool rental revenue for leases of downhole drilling tools was approximately $34.5 million and $30.0 million, respectively. Our lease contract periods are short-term in nature and are typically daily, monthly, per well, or footage based. Due to the short-term nature of the contracts, no maturity table is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expenses related to the defined contribution plans for the three months ended March 31, 2025 and 2024 was approximately $0.3 million and $0.3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probably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215"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The Company is required to pay a monthly management fee to a shareholder. The fee is based upon a percentage of the Company’s trailing twelve months, earnings before interest, taxes and accumulated depreciation amount, as defined in the management agreement. See Note 12 – Related Party Transactions,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earnings per share for the three months ended March 31, 2025 and 2024 (in thousands except share and per share data):</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(1,669)</w:t>
            </w:r>
          </w:p>
        </w:tc>
        <w:tc>
          <w:tcPr>
            <w:tcW w:w="5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Redeemable Convertible Preferred Stock dividends</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common shareholders — basic</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(1,669)</w:t>
            </w:r>
          </w:p>
        </w:tc>
        <w:tc>
          <w:tcPr>
            <w:tcW w:w="5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Add: Redeemable Convertible Preferred Stock dividends</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common shareholders — diluted</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(1,669)</w:t>
            </w:r>
          </w:p>
        </w:tc>
        <w:tc>
          <w:tcPr>
            <w:tcW w:w="5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2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Weighted-average common shares used in computing</w:t>
            </w:r>
          </w:p>
        </w:tc>
        <w:tc>
          <w:tcPr>
            <w:tcW w:w="28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35,592,737</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29,768,568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Weighted-average effect of potentially dilutive securities:</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potentially dilutive time-based stock options</w:t>
            </w:r>
          </w:p>
        </w:tc>
        <w:tc>
          <w:tcPr>
            <w:tcW w:w="28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Effect of potentially dilutive performance-based stock options</w:t>
            </w:r>
          </w:p>
        </w:tc>
        <w:tc>
          <w:tcPr>
            <w:tcW w:w="2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potentially dilutive restricted stock units</w:t>
            </w:r>
          </w:p>
        </w:tc>
        <w:tc>
          <w:tcPr>
            <w:tcW w:w="2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Weighted-average common shares outstanding — diluted</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35,592,737</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29,768,568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73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Earnings per share — basic</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50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Earnings per share — diluted</w:t>
            </w: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50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-1379220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-1379220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-1156335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-1156335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-264795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-264795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March 31, 2024, the Company’s potentially dilutive securities consisted of options to purchase common stock. Based on the amounts outstanding for the three months ended March 31, 2025 and 2024, the Company excluded the following potential common shares from the computation of diluted earnings per share because including them would have had an anti-dilutive effect. The options excluded from the diluted earnings per share calculations were as follows:</w:t>
      </w:r>
    </w:p>
    <w:p>
      <w:pPr>
        <w:spacing w:after="0" w:line="20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8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Time-based options outstanding</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4,396,855</w:t>
            </w:r>
          </w:p>
        </w:tc>
        <w:tc>
          <w:tcPr>
            <w:tcW w:w="1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4,427,659</w:t>
            </w:r>
          </w:p>
        </w:tc>
        <w:tc>
          <w:tcPr>
            <w:tcW w:w="100" w:type="dxa"/>
            <w:vAlign w:val="bottom"/>
            <w:shd w:val="clear" w:color="auto" w:fill="CFF0FC"/>
          </w:tcPr>
          <w:p>
            <w:pPr>
              <w:spacing w:after="0"/>
              <w:rPr>
                <w:sz w:val="12"/>
                <w:szCs w:val="12"/>
                <w:color w:val="auto"/>
              </w:rPr>
            </w:pPr>
          </w:p>
        </w:tc>
      </w:tr>
      <w:tr>
        <w:trPr>
          <w:trHeight w:val="148"/>
        </w:trPr>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Performance-based options outstanding</w:t>
            </w: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534,063</w:t>
            </w: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534,063</w:t>
            </w:r>
          </w:p>
        </w:tc>
        <w:tc>
          <w:tcPr>
            <w:tcW w:w="100" w:type="dxa"/>
            <w:vAlign w:val="bottom"/>
          </w:tcPr>
          <w:p>
            <w:pPr>
              <w:spacing w:after="0"/>
              <w:rPr>
                <w:sz w:val="12"/>
                <w:szCs w:val="12"/>
                <w:color w:val="auto"/>
              </w:rPr>
            </w:pPr>
          </w:p>
        </w:tc>
      </w:tr>
      <w:tr>
        <w:trPr>
          <w:trHeight w:val="182"/>
        </w:trPr>
        <w:tc>
          <w:tcPr>
            <w:tcW w:w="59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4,930,918</w:t>
            </w:r>
          </w:p>
        </w:tc>
        <w:tc>
          <w:tcPr>
            <w:tcW w:w="1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4,961,722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Prior to the acquisition of Titan, we operated as a single operating segment which reflected how our business was managed. Upon completion of the acquisition,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two operating segments derives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income (expense), net; income tax benefit (expense); depreciation and amortization; and unallocated corporate general and administrative expenses, including stock-option expense and monitoring fees. Additionally, the Company’s CODM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segment for the three months ended March 31, 2025 and 2024 is summarized 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4840" w:type="dxa"/>
            <w:vAlign w:val="bottom"/>
            <w:tcBorders>
              <w:bottom w:val="single" w:sz="8" w:color="auto"/>
            </w:tcBorders>
            <w:gridSpan w:val="5"/>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820" w:type="dxa"/>
            <w:vAlign w:val="bottom"/>
          </w:tcPr>
          <w:p>
            <w:pPr>
              <w:spacing w:after="0"/>
              <w:rPr>
                <w:sz w:val="17"/>
                <w:szCs w:val="17"/>
                <w:color w:val="auto"/>
              </w:rPr>
            </w:pPr>
          </w:p>
        </w:tc>
        <w:tc>
          <w:tcPr>
            <w:tcW w:w="1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Western Hemisphere</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Eastern Hemisphere</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Tool Rental</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32,662</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37,186</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8,534</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9,061</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41,196</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46,248</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revenue</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Elimination of intersegment revenue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(3,368)</w:t>
            </w:r>
          </w:p>
        </w:tc>
      </w:tr>
      <w:tr>
        <w:trPr>
          <w:trHeight w:val="196"/>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Consolidated Revenue</w:t>
            </w:r>
          </w:p>
        </w:tc>
        <w:tc>
          <w:tcPr>
            <w:tcW w:w="19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9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42,880</w:t>
            </w:r>
          </w:p>
        </w:tc>
        <w:tc>
          <w:tcPr>
            <w:tcW w:w="120" w:type="dxa"/>
            <w:vAlign w:val="bottom"/>
            <w:tcBorders>
              <w:top w:val="single" w:sz="8" w:color="CFF0FC"/>
            </w:tcBorders>
          </w:tcPr>
          <w:p>
            <w:pPr>
              <w:spacing w:after="0"/>
              <w:rPr>
                <w:sz w:val="17"/>
                <w:szCs w:val="17"/>
                <w:color w:val="auto"/>
              </w:rPr>
            </w:pPr>
          </w:p>
        </w:tc>
      </w:tr>
      <w:tr>
        <w:trPr>
          <w:trHeight w:val="203"/>
        </w:trPr>
        <w:tc>
          <w:tcPr>
            <w:tcW w:w="3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Less:</w:t>
            </w:r>
            <w:r>
              <w:rPr>
                <w:rFonts w:ascii="Times New Roman" w:cs="Times New Roman" w:eastAsia="Times New Roman" w:hAnsi="Times New Roman"/>
                <w:sz w:val="21"/>
                <w:szCs w:val="21"/>
                <w:color w:val="auto"/>
                <w:vertAlign w:val="superscript"/>
              </w:rPr>
              <w:t>(1)</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Cost of Tool Rental</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10,341</w:t>
            </w:r>
          </w:p>
        </w:tc>
        <w:tc>
          <w:tcPr>
            <w:tcW w:w="120" w:type="dxa"/>
            <w:vAlign w:val="bottom"/>
          </w:tcPr>
          <w:p>
            <w:pPr>
              <w:spacing w:after="0"/>
              <w:rPr>
                <w:sz w:val="17"/>
                <w:szCs w:val="17"/>
                <w:color w:val="auto"/>
              </w:rPr>
            </w:pPr>
          </w:p>
        </w:tc>
      </w:tr>
      <w:tr>
        <w:trPr>
          <w:trHeight w:val="20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22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14,614</w:t>
            </w: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Reconciliation of cost of revenue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cost of revenue</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(3,368)</w:t>
            </w: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consolidated cost of revenue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administrative expenses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18,246</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13,576</w:t>
            </w:r>
          </w:p>
        </w:tc>
        <w:tc>
          <w:tcPr>
            <w:tcW w:w="23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(188)</w:t>
            </w: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20" w:type="dxa"/>
            <w:vAlign w:val="bottom"/>
            <w:shd w:val="clear" w:color="auto" w:fill="CFF0FC"/>
          </w:tcPr>
          <w:p>
            <w:pPr>
              <w:spacing w:after="0"/>
              <w:rPr>
                <w:sz w:val="17"/>
                <w:szCs w:val="17"/>
                <w:color w:val="auto"/>
              </w:rPr>
            </w:pPr>
          </w:p>
        </w:tc>
      </w:tr>
      <w:tr>
        <w:trPr>
          <w:trHeight w:val="196"/>
        </w:trPr>
        <w:tc>
          <w:tcPr>
            <w:tcW w:w="3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i w:val="1"/>
                <w:iCs w:val="1"/>
                <w:color w:val="auto"/>
              </w:rPr>
              <w:t>Reconciliation of segment profit</w:t>
            </w:r>
          </w:p>
        </w:tc>
        <w:tc>
          <w:tcPr>
            <w:tcW w:w="1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3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(2)</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6,722</w:t>
            </w: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 Expense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Monitoring fees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income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expenses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Pr>
          <w:p>
            <w:pPr>
              <w:spacing w:after="0"/>
              <w:rPr>
                <w:sz w:val="17"/>
                <w:szCs w:val="17"/>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income before taxes</w:t>
            </w: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(1,828)</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501"/>
        </w:trPr>
        <w:tc>
          <w:tcPr>
            <w:tcW w:w="3820" w:type="dxa"/>
            <w:vAlign w:val="bottom"/>
          </w:tcPr>
          <w:p>
            <w:pPr>
              <w:spacing w:after="0"/>
              <w:rPr>
                <w:sz w:val="24"/>
                <w:szCs w:val="24"/>
                <w:color w:val="auto"/>
              </w:rPr>
            </w:pPr>
          </w:p>
        </w:tc>
        <w:tc>
          <w:tcPr>
            <w:tcW w:w="4840" w:type="dxa"/>
            <w:vAlign w:val="bottom"/>
            <w:tcBorders>
              <w:bottom w:val="single" w:sz="8" w:color="auto"/>
            </w:tcBorders>
            <w:gridSpan w:val="5"/>
          </w:tcPr>
          <w:p>
            <w:pPr>
              <w:jc w:val="center"/>
              <w:ind w:left="12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3820" w:type="dxa"/>
            <w:vAlign w:val="bottom"/>
          </w:tcPr>
          <w:p>
            <w:pPr>
              <w:spacing w:after="0"/>
              <w:rPr>
                <w:sz w:val="17"/>
                <w:szCs w:val="17"/>
                <w:color w:val="auto"/>
              </w:rPr>
            </w:pPr>
          </w:p>
        </w:tc>
        <w:tc>
          <w:tcPr>
            <w:tcW w:w="1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Western Hemisphere</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Eastern Hemisphere</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Tool Rental</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32,102</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32,526</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7,027</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38,307</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39,554</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revenue</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Elimination of intersegment revenue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(2,580)</w:t>
            </w:r>
          </w:p>
        </w:tc>
      </w:tr>
      <w:tr>
        <w:trPr>
          <w:trHeight w:val="196"/>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Consolidated Revenue</w:t>
            </w:r>
          </w:p>
        </w:tc>
        <w:tc>
          <w:tcPr>
            <w:tcW w:w="19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9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36,974</w:t>
            </w:r>
          </w:p>
        </w:tc>
        <w:tc>
          <w:tcPr>
            <w:tcW w:w="120" w:type="dxa"/>
            <w:vAlign w:val="bottom"/>
            <w:tcBorders>
              <w:top w:val="single" w:sz="8" w:color="CFF0FC"/>
            </w:tcBorders>
          </w:tcPr>
          <w:p>
            <w:pPr>
              <w:spacing w:after="0"/>
              <w:rPr>
                <w:sz w:val="17"/>
                <w:szCs w:val="17"/>
                <w:color w:val="auto"/>
              </w:rPr>
            </w:pPr>
          </w:p>
        </w:tc>
      </w:tr>
      <w:tr>
        <w:trPr>
          <w:trHeight w:val="203"/>
        </w:trPr>
        <w:tc>
          <w:tcPr>
            <w:tcW w:w="3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Less:</w:t>
            </w:r>
            <w:r>
              <w:rPr>
                <w:rFonts w:ascii="Times New Roman" w:cs="Times New Roman" w:eastAsia="Times New Roman" w:hAnsi="Times New Roman"/>
                <w:sz w:val="21"/>
                <w:szCs w:val="21"/>
                <w:color w:val="auto"/>
                <w:vertAlign w:val="superscript"/>
              </w:rPr>
              <w:t>(1)</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Cost of Tool Rental</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c>
          <w:tcPr>
            <w:tcW w:w="120" w:type="dxa"/>
            <w:vAlign w:val="bottom"/>
          </w:tcPr>
          <w:p>
            <w:pPr>
              <w:spacing w:after="0"/>
              <w:rPr>
                <w:sz w:val="17"/>
                <w:szCs w:val="17"/>
                <w:color w:val="auto"/>
              </w:rPr>
            </w:pPr>
          </w:p>
        </w:tc>
      </w:tr>
      <w:tr>
        <w:trPr>
          <w:trHeight w:val="202"/>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22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Reconciliation of cost of revenue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cost of revenue</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(2,580)</w:t>
            </w: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consolidated cost of revenue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8,537</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administrative expenses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14,153</w:t>
            </w:r>
          </w:p>
        </w:tc>
        <w:tc>
          <w:tcPr>
            <w:tcW w:w="22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20" w:type="dxa"/>
            <w:vAlign w:val="bottom"/>
            <w:shd w:val="clear" w:color="auto" w:fill="CFF0FC"/>
          </w:tcPr>
          <w:p>
            <w:pPr>
              <w:spacing w:after="0"/>
              <w:rPr>
                <w:sz w:val="17"/>
                <w:szCs w:val="17"/>
                <w:color w:val="auto"/>
              </w:rPr>
            </w:pPr>
          </w:p>
        </w:tc>
      </w:tr>
      <w:tr>
        <w:trPr>
          <w:trHeight w:val="196"/>
        </w:trPr>
        <w:tc>
          <w:tcPr>
            <w:tcW w:w="3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i w:val="1"/>
                <w:iCs w:val="1"/>
                <w:color w:val="auto"/>
              </w:rPr>
              <w:t>Reconciliation of segment profit</w:t>
            </w:r>
          </w:p>
        </w:tc>
        <w:tc>
          <w:tcPr>
            <w:tcW w:w="1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3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(2)</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20" w:type="dxa"/>
            <w:vAlign w:val="bottom"/>
          </w:tcPr>
          <w:p>
            <w:pPr>
              <w:spacing w:after="0"/>
              <w:rPr>
                <w:sz w:val="17"/>
                <w:szCs w:val="17"/>
                <w:color w:val="auto"/>
              </w:rPr>
            </w:pPr>
          </w:p>
        </w:tc>
      </w:tr>
      <w:tr>
        <w:trPr>
          <w:trHeight w:val="20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 Expense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Monitoring fees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7"/>
                <w:szCs w:val="17"/>
                <w:color w:val="auto"/>
              </w:rPr>
            </w:pP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income</w:t>
            </w:r>
          </w:p>
        </w:tc>
        <w:tc>
          <w:tcPr>
            <w:tcW w:w="1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20" w:type="dxa"/>
            <w:vAlign w:val="bottom"/>
            <w:shd w:val="clear" w:color="auto" w:fill="CFF0FC"/>
          </w:tcPr>
          <w:p>
            <w:pPr>
              <w:spacing w:after="0"/>
              <w:rPr>
                <w:sz w:val="17"/>
                <w:szCs w:val="17"/>
                <w:color w:val="auto"/>
              </w:rPr>
            </w:pP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expenses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7"/>
                <w:szCs w:val="17"/>
                <w:color w:val="auto"/>
              </w:rPr>
            </w:pPr>
          </w:p>
        </w:tc>
      </w:tr>
      <w:tr>
        <w:trPr>
          <w:trHeight w:val="20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9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income before taxes</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4,063</w:t>
            </w:r>
          </w:p>
        </w:tc>
        <w:tc>
          <w:tcPr>
            <w:tcW w:w="12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-6316980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-5794375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-5794375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-5794375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-4996815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-4996815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-4996815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-3685540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-3668395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-2527935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-2005330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-2005330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-2005330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-1208405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-1208405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-1208405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-161925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ind w:left="1100" w:hanging="175"/>
        <w:spacing w:after="0"/>
        <w:tabs>
          <w:tab w:leader="none" w:pos="1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significant expense categories and amounts align with the segment-level information that is regularly provided to the chief operating decision maker</w:t>
      </w:r>
    </w:p>
    <w:p>
      <w:pPr>
        <w:spacing w:after="0" w:line="120" w:lineRule="exact"/>
        <w:rPr>
          <w:rFonts w:ascii="Times New Roman" w:cs="Times New Roman" w:eastAsia="Times New Roman" w:hAnsi="Times New Roman"/>
          <w:sz w:val="13"/>
          <w:szCs w:val="13"/>
          <w:color w:val="auto"/>
        </w:rPr>
      </w:pPr>
    </w:p>
    <w:p>
      <w:pPr>
        <w:ind w:left="1100" w:hanging="175"/>
        <w:spacing w:after="0"/>
        <w:tabs>
          <w:tab w:leader="none" w:pos="1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Comprised primarily of expenses not allocated to our general and administrative segments.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8" w:right="8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Additional financial information by operating segment for the three months ended March 31, 2025 and 2024 is summarized below:</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147"/>
        </w:trPr>
        <w:tc>
          <w:tcPr>
            <w:tcW w:w="72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Capital Expenditures</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Western Hemisphere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4,583</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6,228</w:t>
            </w:r>
          </w:p>
        </w:tc>
        <w:tc>
          <w:tcPr>
            <w:tcW w:w="120" w:type="dxa"/>
            <w:vAlign w:val="bottom"/>
          </w:tcPr>
          <w:p>
            <w:pPr>
              <w:spacing w:after="0"/>
              <w:rPr>
                <w:sz w:val="12"/>
                <w:szCs w:val="12"/>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Eastern Hemisphere</w:t>
            </w: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36"/>
        </w:trPr>
        <w:tc>
          <w:tcPr>
            <w:tcW w:w="72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Total capital expenditures</w:t>
            </w:r>
          </w:p>
        </w:tc>
        <w:tc>
          <w:tcPr>
            <w:tcW w:w="2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5,043</w:t>
            </w:r>
          </w:p>
        </w:tc>
        <w:tc>
          <w:tcPr>
            <w:tcW w:w="44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6,228</w:t>
            </w:r>
          </w:p>
        </w:tc>
        <w:tc>
          <w:tcPr>
            <w:tcW w:w="120" w:type="dxa"/>
            <w:vAlign w:val="bottom"/>
            <w:tcBorders>
              <w:top w:val="single" w:sz="8" w:color="CFF0FC"/>
            </w:tcBorders>
          </w:tcPr>
          <w:p>
            <w:pPr>
              <w:spacing w:after="0"/>
              <w:rPr>
                <w:sz w:val="11"/>
                <w:szCs w:val="11"/>
                <w:color w:val="auto"/>
              </w:rPr>
            </w:pPr>
          </w:p>
        </w:tc>
      </w:tr>
      <w:tr>
        <w:trPr>
          <w:trHeight w:val="126"/>
        </w:trPr>
        <w:tc>
          <w:tcPr>
            <w:tcW w:w="7280" w:type="dxa"/>
            <w:vAlign w:val="bottom"/>
          </w:tcPr>
          <w:p>
            <w:pPr>
              <w:spacing w:after="0" w:line="126" w:lineRule="exact"/>
              <w:rPr>
                <w:sz w:val="20"/>
                <w:szCs w:val="20"/>
                <w:color w:val="auto"/>
              </w:rPr>
            </w:pPr>
            <w:r>
              <w:rPr>
                <w:rFonts w:ascii="Times New Roman" w:cs="Times New Roman" w:eastAsia="Times New Roman" w:hAnsi="Times New Roman"/>
                <w:sz w:val="11"/>
                <w:szCs w:val="11"/>
                <w:b w:val="1"/>
                <w:bCs w:val="1"/>
                <w:color w:val="auto"/>
              </w:rPr>
              <w:t>Segment Assets</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Western Hemisphere</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159,598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135,835</w:t>
            </w:r>
          </w:p>
        </w:tc>
        <w:tc>
          <w:tcPr>
            <w:tcW w:w="120" w:type="dxa"/>
            <w:vAlign w:val="bottom"/>
          </w:tcPr>
          <w:p>
            <w:pPr>
              <w:spacing w:after="0"/>
              <w:rPr>
                <w:sz w:val="14"/>
                <w:szCs w:val="14"/>
                <w:color w:val="auto"/>
              </w:rPr>
            </w:pPr>
          </w:p>
        </w:tc>
      </w:tr>
      <w:tr>
        <w:trPr>
          <w:trHeight w:val="148"/>
        </w:trPr>
        <w:tc>
          <w:tcPr>
            <w:tcW w:w="7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Eastern Hemisphere</w:t>
            </w: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65,189</w:t>
            </w:r>
          </w:p>
        </w:tc>
        <w:tc>
          <w:tcPr>
            <w:tcW w:w="4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2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segment assets</w:t>
            </w:r>
          </w:p>
        </w:tc>
        <w:tc>
          <w:tcPr>
            <w:tcW w:w="20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224,787</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157,072</w:t>
            </w:r>
          </w:p>
        </w:tc>
        <w:tc>
          <w:tcPr>
            <w:tcW w:w="120" w:type="dxa"/>
            <w:vAlign w:val="bottom"/>
          </w:tcPr>
          <w:p>
            <w:pPr>
              <w:spacing w:after="0"/>
              <w:rPr>
                <w:sz w:val="12"/>
                <w:szCs w:val="12"/>
                <w:color w:val="auto"/>
              </w:rPr>
            </w:pPr>
          </w:p>
        </w:tc>
      </w:tr>
      <w:tr>
        <w:trPr>
          <w:trHeight w:val="148"/>
        </w:trPr>
        <w:tc>
          <w:tcPr>
            <w:tcW w:w="7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3"/>
                <w:szCs w:val="13"/>
                <w:color w:val="auto"/>
              </w:rPr>
              <w:t>Corporate and other</w:t>
            </w:r>
            <w:r>
              <w:rPr>
                <w:rFonts w:ascii="Times New Roman" w:cs="Times New Roman" w:eastAsia="Times New Roman" w:hAnsi="Times New Roman"/>
                <w:sz w:val="17"/>
                <w:szCs w:val="17"/>
                <w:color w:val="auto"/>
                <w:vertAlign w:val="superscript"/>
              </w:rPr>
              <w:t>(1)</w:t>
            </w: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8,382</w:t>
            </w:r>
          </w:p>
        </w:tc>
        <w:tc>
          <w:tcPr>
            <w:tcW w:w="4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9,880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233,169</w:t>
            </w:r>
          </w:p>
        </w:tc>
        <w:tc>
          <w:tcPr>
            <w:tcW w:w="6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166,952</w:t>
            </w:r>
          </w:p>
        </w:tc>
        <w:tc>
          <w:tcPr>
            <w:tcW w:w="120" w:type="dxa"/>
            <w:vAlign w:val="bottom"/>
          </w:tcPr>
          <w:p>
            <w:pPr>
              <w:spacing w:after="0"/>
              <w:rPr>
                <w:sz w:val="12"/>
                <w:szCs w:val="12"/>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-590550</wp:posOffset>
            </wp:positionV>
            <wp:extent cx="6412230" cy="93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12230" cy="9398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-702310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-702310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-307975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-307975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-110490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-110490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1680" w:hanging="175"/>
        <w:spacing w:after="0"/>
        <w:tabs>
          <w:tab w:leader="none" w:pos="16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assets consist of cash, related party note receivables, and deferred financing costs</w:t>
      </w:r>
    </w:p>
    <w:p>
      <w:pPr>
        <w:ind w:left="1500" w:right="1660" w:firstLine="5"/>
        <w:spacing w:after="0" w:line="224" w:lineRule="auto"/>
        <w:tabs>
          <w:tab w:leader="none" w:pos="167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goodwill allocated to the four reporting units is included within their respective segment asset totals. The goodwill amount included in segment assets is net of impairment losses of $0.9 million and $1.0 million at the Western Hemisphere and Eastern Hemisphere segments, respectively. Please refer to </w:t>
      </w:r>
      <w:r>
        <w:rPr>
          <w:rFonts w:ascii="Times New Roman" w:cs="Times New Roman" w:eastAsia="Times New Roman" w:hAnsi="Times New Roman"/>
          <w:sz w:val="13"/>
          <w:szCs w:val="13"/>
          <w:i w:val="1"/>
          <w:iCs w:val="1"/>
          <w:color w:val="auto"/>
        </w:rPr>
        <w:t>Note 7 -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Goodwill </w:t>
      </w:r>
      <w:r>
        <w:rPr>
          <w:rFonts w:ascii="Times New Roman" w:cs="Times New Roman" w:eastAsia="Times New Roman" w:hAnsi="Times New Roman"/>
          <w:sz w:val="13"/>
          <w:szCs w:val="13"/>
          <w:color w:val="auto"/>
        </w:rPr>
        <w:t>for further details.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SUPPLEMENTAL CASH FLOWS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Cash flows related to income taxes, interest, leases, inventory purchases and capital expenditures included in accounts payable, assumed liabilities acquired in a business combination and other non-cash investing and financing activities were as follows: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7"/>
        </w:trPr>
        <w:tc>
          <w:tcPr>
            <w:tcW w:w="20" w:type="dxa"/>
            <w:vAlign w:val="bottom"/>
          </w:tcPr>
          <w:p>
            <w:pPr>
              <w:spacing w:after="0"/>
              <w:rPr>
                <w:sz w:val="12"/>
                <w:szCs w:val="12"/>
                <w:color w:val="auto"/>
              </w:rPr>
            </w:pPr>
          </w:p>
        </w:tc>
        <w:tc>
          <w:tcPr>
            <w:tcW w:w="75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74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340" w:type="dxa"/>
            <w:vAlign w:val="bottom"/>
            <w:gridSpan w:val="2"/>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1,164</w:t>
            </w:r>
          </w:p>
        </w:tc>
        <w:tc>
          <w:tcPr>
            <w:tcW w:w="13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5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7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5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Measurement period adjustment related to EDP Acquisition</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1,671</w:t>
            </w:r>
          </w:p>
        </w:tc>
        <w:tc>
          <w:tcPr>
            <w:tcW w:w="7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0" w:type="dxa"/>
            <w:vAlign w:val="bottom"/>
          </w:tcPr>
          <w:p>
            <w:pPr>
              <w:spacing w:after="0"/>
              <w:rPr>
                <w:sz w:val="12"/>
                <w:szCs w:val="12"/>
                <w:color w:val="auto"/>
              </w:rPr>
            </w:pPr>
          </w:p>
        </w:tc>
        <w:tc>
          <w:tcPr>
            <w:tcW w:w="7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ROU assets obtained in exchange for lease liabilities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1,370</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5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Fair value of CTG liabilities assumed in CTG Acquisition</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2,636</w:t>
            </w:r>
          </w:p>
        </w:tc>
        <w:tc>
          <w:tcPr>
            <w:tcW w:w="100" w:type="dxa"/>
            <w:vAlign w:val="bottom"/>
            <w:shd w:val="clear" w:color="auto" w:fill="CFF0F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Fair value of Titan liabilities assumed in Titan Acquisition</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4,045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20" w:type="dxa"/>
            <w:vAlign w:val="bottom"/>
          </w:tcPr>
          <w:p>
            <w:pPr>
              <w:spacing w:after="0"/>
              <w:rPr>
                <w:sz w:val="12"/>
                <w:szCs w:val="12"/>
                <w:color w:val="auto"/>
              </w:rPr>
            </w:pPr>
          </w:p>
        </w:tc>
        <w:tc>
          <w:tcPr>
            <w:tcW w:w="75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inventory included in accounts payable and accrued expenses and other current liabilities</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2,691</w:t>
            </w:r>
          </w:p>
        </w:tc>
        <w:tc>
          <w:tcPr>
            <w:tcW w:w="7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5,018</w:t>
            </w:r>
          </w:p>
        </w:tc>
        <w:tc>
          <w:tcPr>
            <w:tcW w:w="100" w:type="dxa"/>
            <w:vAlign w:val="bottom"/>
            <w:shd w:val="clear" w:color="auto" w:fill="CFF0FC"/>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7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 and other current liabilities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3,247</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directors and officers insurance</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FF0FC"/>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financing fees included in accounts payable</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Promissory Note</w:t>
      </w:r>
    </w:p>
    <w:p>
      <w:pPr>
        <w:spacing w:after="0" w:line="14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April 22, 2025, the Company amended its Promissory Note payable to the parent company of EDP by entering into the First Amendment to the Promissory Note dated October 2, 2024. The Promissory Note’s principal balance of $5.7 million was reduced by $0.3 million as a result of the First Amendment. The maturity date and interest rate originally stated in the Promissory Note remain unchanged. As the adjustment was related to negotiations with the seller regarding conditions as of the acquisition date, this was reflected as a recognized subsequent event and an the consideration transferred and goodwill recorded was adjusted as of March 31, 2025. The impact of the First Amendment is reflected in the condensed consolidated balance sheet as of March 31, 2025, and the associated footnotes.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13, 2025, our Board of Directors unanimously approved a share repurchase program authorizing the Company to repurchase up to $10 million of our common stock. The plan will remain active until December 31, 2025. The timing and amount of repurchases will be determined by the Company based on its evaluation of market conditions and other factors.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Restricted Stock Units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13, 2025, the Company issued an aggregate 143,130 restricted stock units ("RSUs") to five members of the Board of Directors under the 2023 Omnibus Incentive Plan. All of the RSUs are subject to a vesting term of one year and have a grant date price of $2.62 per share.</w:t>
      </w: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March 31, 2025, and for the three months ended March 31, 2025 and 2024, included elsewhere herein. For additional information pertaining to our business, including risk factors which should be considered before investing in our common stock, refer to our Annual Report on Form 10-K for the fiscal year ended December 31, 2024. Our historical results are not necessarily indicative of the results that may be expected for any period in the future. All dollar amounts are expressed in thousands of United States dollars (“$”), unless otherwise indicated. Capitalized terms used in this section, but not otherwise defined, have the meanings ascribed to them in the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derived from two sources: tool rental and product sales. Tool rental revenues are derived from the rental of tools used in bottom hole assemblies (“BHA”), various wellbore optimization tools, and tubular goods for drilling, workover, and 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three months ending March 31, 2025, we derived 81% of total revenues from tool rentals and 19% from product sales. During the three months ending March 31, 2024, we derived 81% from tool rentals and 19% from product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out of 2 reporting segments, split by geography, consisting of the Western Hemisphere operations and the Eastern Hemisphere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with a specific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2025, the oil and gas market witnessed a dynamic interplay of geopolitical tensions, shifting demand dynamics, and evolving geopolitical and economic factors. U.S. oil production reached record highs, averaging 13.5 million barrels per day, driven by the Permian Basin and offshore developments. However, this surge in supply coincided with an increasing surplus in global oil supply over demand, leading to downward pressure on prices. Crude oil prices experienced declines, specially WTI, whose quarterly average decreased from $78.41 per barrel to $71.84 per barrel from the fourth quarter of 2024 to the first quarter of 2025. Despite the high volatility in spot oil prices described above, our customers tend to be more focused on medium-term and long term commodity prices when making investment decisions due to the longer lead times for offshore projects.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2025, U.S. natural gas prices experienced a notable rebound following the record lows of 2024. The Henry Hub spot price averaged approximately $4.15 per million British thermal units (MMBtu) during the first quarter, or a 70% increase compared to the fourth quarter of 2024, reflecting seasonal increases due to heightened heating demand during colder-than-average weather in January. This uptick in demand is expected to outpace any expected growth in U.S. production, leading to a tightening of inventories and supporting higher prices through the remainder of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both the Western and Eastern Hemisphere. During the three months ended March 31, 2025, the weekly average Western Hemisphere rig count, as reported by Baker Hughes, was 930 compared to 995 for the three months ended March 31, 2024. Additionally, during the three months ended March 31, 2025, the weekly average Eastern Hemisphere rig count, as reported by Baker Hughes, was 757 compared to 725 for the three months ended March 31, 2024. However, notwithstanding the impact of longer laterals, improved rig efficiencies have partially offset the impact of this reduction.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Increased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two operating segments consisting of the Western Hemisphere and Eastern Hemisphere. Our results of operations are evaluated by the Chief Executive Officer on a consolidated basis as well as at the segment level. The performance of our operating segments is primarily evaluated based on segment operating income (in addition to other measures), which is defined as income before taxes and before interest expense, net, other income (expense), net and corporate and other expenses not allocated to the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8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10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(3,368)</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 net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Western Hemisphere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Eastern Hemisphere</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(10,085)</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(8,802)</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(1,827)</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 on sale of property</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Loss on asset disposal</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(1,901)</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(1,934)</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(5,131)</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(5,891)</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(1,669)</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(4,795)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-2279650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-2279650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-2279650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-2279650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-1430655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-1430655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-1430655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-1430655</wp:posOffset>
            </wp:positionV>
            <wp:extent cx="1200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-599440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-599440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-599440</wp:posOffset>
            </wp:positionV>
            <wp:extent cx="1200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2540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Hemisphere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Western Hemisphere revenue was $41.2 million for the three months ended March 31, 2025, an increase of $2.9 million, or 8%, compared to the three months ended March 31, 2024. The increase in revenues was driven by the addition of our Diamond Products Division ("DPD") in August of 2024. The increase in Western Hemisphere operating income was not meaningful quarter over quarter due to higher personal related costs as a result of acquisitions.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Eastern Hemisphere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Eastern Hemisphere revenue was $5.1 million for the three months ended March 31, 2025, an increase of $3.8 million, or 305%, compared to the three months ended March 31, 2024. The increase was primarily a result of acquisitions to rental businesses located within the Eastern Hemisphere. Eastern Hemisphere operating loss was $0.2 million for the three months ended March 31, 2025, a decrease of $0.6 million, or 145% compared to the three months ended March 31, 2024. The decrease was driven by increased headcount as a result of the acquisitions and an activity decline seen in the Middle Eastern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Corporate and other represents various expenses not directly attributable to our segments as well as expenses not used in the measurement of segment profitability. Corporate and other expenses for the three months ended March 31, 2025 were $10.1 million, an increase of $1.3 million or 15%, compared to the three months ended March 31, 2024. The increase was primarily attributable to increased depreciation expense as a result of acquired property, plant, and equipment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Interest expense net was $1.3 million for the three months ended March 31, 2025, an increase of $1.1 million, or 619%, compared to the three months ended March 31, 2024. The increase was primarily a result of interest on the term loan, entered into in March 2024, interest on amounts drawn on the credit facility, and interest on the promissory note, entered into in September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represents various one time and non-recurring expenses Other income (expense), net was $1.9 million for the three months ended March 31, 2025, an increase of $0.8 million, or 72%, compared to three months ended March 31, 2024. This increase was driven by software implementation costs and additional transaction costs incurred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176" w:lineRule="exact"/>
        <w:rPr>
          <w:sz w:val="20"/>
          <w:szCs w:val="20"/>
          <w:color w:val="auto"/>
        </w:rPr>
      </w:pPr>
    </w:p>
    <w:p>
      <w:pPr>
        <w:ind w:left="540" w:hanging="158"/>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540" w:hanging="15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months ended March 31, 2025 and 2024 (non-recurring transaction expenses recorded to other (income) expense are presented separately within 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expense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Management fees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property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asset disposal</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expense</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March 31, 2025, we had $2.8 million of cash and cash equivalents. Our primary sources of liquidity and capital resources are cash on hand, cash flows generated by operating activities, the term loan,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the unaudited condensed consolidated financial statements included elsewhere in this Report (the ”Interim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leases agreements. See Note 15,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(19,585)</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24,611</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2025 was $2.4 million, the driver being a net loss of $1.7 million offset by non-cash charges of $7.2 million and a decrease in net working capital of $3.1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$3.3 million, the driver being net income of $3.1 million, including non-cash charges of $3.9 million, offset by a decrease in net working capital of $3.7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$7.3 million. Purchases of property, plant, and equipment of $5.0 million, purchases of intangible assets of $0.7 million, and the acquisition of Titan for $5.6 million were partially offset by proceeds from rental tool recovery sales of $4.0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$19.6 million. Purchases of property, plant, and equipment of $6.2 million and the acquisition of Deep Casing Tools for $18.3 million were partially offset by proceeds from rental tool recovery sales of $5.0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$1.4 million resulting from net proceeds on from the revolving line of credit of $2.9 million, offset by payments on the term loan of $1.3 million and payments on the Promissory Note of $0.2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$24.6 million resulting from proceeds on the term loan on $25.0 million, offset by payments of deferred financing fees of $0.3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Interim Financial Statements included elsewhere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$1.23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2025 and 2024, 29.0% and 30.0%, respectively of our total revenue was earned from two customers. Amounts due from these customers included in accounts receivable at March 31, 2025 and December 31, 2024 were approximately $5.3 million and $5.4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are primarily located in the United States, Canada and throughout Europe and the Middle East. Therefore, foreign exchange risk exposures arise from transactions denominated in currencies other than the United States dollar, which is our functional and reporting currency. To date, a majority of our sales have been denominated in United States, British pound sterling ("GBP")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trade practices. Foreign governments have imposed, and may impose in the future, retaliatory tariffs on goods that their countries import from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changes can make it difficult or costly for us to do business in, or import our products from, those countries.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recover a substantial portion of any increased tariff related costs, the recent or increased international tariffs could materially and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 risks. There is no assurance that these efforts will fully mitigate cybersecurity risk and mitigation efforts are not an assurance that no cybersecurity incidents will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has evaluated, with the participation of our Chief Executive Officer and Chief Financial Officer, the effectiveness of our disclosure controls and procedures in effect as of March 31, 2025, the end of the period covered by this Report. As a result of management’s evaluation, our Chief Executive Officer and Chief Financial Officer concluded that our disclosure controls and procedures were not effective at a reasonable assurance level as of March 31, 2025, or as of the date of the filing of this Report.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were not effective as of March 31, 2025 because all findings in connection with our preparation and the audit of our consolidated financial statements as of and for the year ended December 31, 2022 and December 31, 2023, have not been fully remediated despite ongoing projects and improvements made in the current year. As a result, we were not able to rely upon the disclosure controls and procedures that were in place as of March 31, 2025 and we continue to have a material weakness in our internal control over financial reporting. This material weakness is described in more detail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going public,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2023, we identified deficiencies in the design or operation of our internal controls to be a material weakness relating to inadequate documentation and monitoring of information technology (“IT”) general controls and cybersecurity processes within the Company’s IT environment, including access controls and segregation of duties between key IT functions.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made progress towards remediation of the remaining material weakness with the following steps:</w:t>
      </w:r>
    </w:p>
    <w:p>
      <w:pPr>
        <w:spacing w:after="0" w:line="33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plan to monitor and assess the established control environment;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a periodic testing plan to assess the design of implemented controls covering all material business processes and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the testing plan as designed;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results of testing to management and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work performed in 2024, management has identified the below areas for improvement to fully remediate the fourth material weakness: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should be trained on Information Produced by Entity (IPE) and IPE procedures should be built into internal controls and tested;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greater precision of evidence related to the performance of both the business process and IT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refine and assess controls over gaps identified from previous years and during our remediation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execution of IT and business process controls throughout the year.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process of maintaining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2024, we acquired Deep Casing Tools. As the acquisition date has exceeded one year, we are now required to assess on the internal controls over financial reporting. Additionally, on January 2, 2025, we completed the acquisition of Titan Tools. We are permitted to omit an assessment of an acquired business' internal control over financial reporting from our assessment of internal control over financial reporting for a period not to exceed one year from the date of the acquisition. Accordingly, we have excluded the internal control over financial reporting of Titan Tools from management's assessment of internal control over financial reporting as of March 31, 2025.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1, Note 15 to our consolidated financial statements entitled “Commitments and Contingencies,” which is incorporated in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 filed with the SEC on March 14, 2025,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in the risk factors that appear in the Annual Report. Additional risks and uncertainties not currently known to us or that we currently deem to be immaterial may also materially and adversely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Michael Domino, President, Directional Tool Rentals Division and Thomas Patterson, Independent Director, each adopted a pre-arranged stock trading plan in accordance with Rule 10b5-1 under the Securities Exchange Act of 1934, as amended. The trading plans are intended to satisfy the affirmative defense conditions of Rule 10b5-1(c) and allow for the sale of a specified number of shares of the Company’s common stock over a designated period of time, subject to certain price, timing, and volume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were adopted during an open trading window in accordance with the Company’s insider trading policy and are further described below:</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Name/Title</w:t>
            </w:r>
          </w:p>
        </w:tc>
        <w:tc>
          <w:tcPr>
            <w:tcW w:w="100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Type of Arrangement</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Nature of Arrangement</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w:t>
            </w:r>
          </w:p>
        </w:tc>
        <w:tc>
          <w:tcPr>
            <w:tcW w:w="272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Aggregate number of shares</w:t>
            </w:r>
          </w:p>
        </w:tc>
      </w:tr>
      <w:tr>
        <w:trPr>
          <w:trHeight w:val="174"/>
        </w:trPr>
        <w:tc>
          <w:tcPr>
            <w:tcW w:w="190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Thomas Patterson,</w:t>
            </w:r>
          </w:p>
        </w:tc>
        <w:tc>
          <w:tcPr>
            <w:tcW w:w="1000" w:type="dxa"/>
            <w:vAlign w:val="bottom"/>
            <w:tcBorders>
              <w:right w:val="single" w:sz="8" w:color="auto"/>
            </w:tcBorders>
          </w:tcPr>
          <w:p>
            <w:pPr>
              <w:jc w:val="right"/>
              <w:ind w:right="70"/>
              <w:spacing w:after="0" w:line="175" w:lineRule="exact"/>
              <w:rPr>
                <w:sz w:val="20"/>
                <w:szCs w:val="20"/>
                <w:color w:val="auto"/>
              </w:rPr>
            </w:pPr>
            <w:r>
              <w:rPr>
                <w:rFonts w:ascii="Times New Roman" w:cs="Times New Roman" w:eastAsia="Times New Roman" w:hAnsi="Times New Roman"/>
                <w:sz w:val="18"/>
                <w:szCs w:val="18"/>
                <w:color w:val="auto"/>
              </w:rPr>
              <w:t>6/11/2024</w:t>
            </w:r>
          </w:p>
        </w:tc>
        <w:tc>
          <w:tcPr>
            <w:tcW w:w="21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Rule 10b5-1 Trading Plan</w:t>
            </w:r>
          </w:p>
        </w:tc>
        <w:tc>
          <w:tcPr>
            <w:tcW w:w="22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Sale of Common Stock</w:t>
            </w:r>
          </w:p>
        </w:tc>
        <w:tc>
          <w:tcPr>
            <w:tcW w:w="12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15 months</w:t>
            </w:r>
          </w:p>
        </w:tc>
        <w:tc>
          <w:tcPr>
            <w:tcW w:w="2720" w:type="dxa"/>
            <w:vAlign w:val="bottom"/>
            <w:tcBorders>
              <w:right w:val="single" w:sz="8" w:color="auto"/>
            </w:tcBorders>
          </w:tcPr>
          <w:p>
            <w:pPr>
              <w:jc w:val="right"/>
              <w:ind w:right="1030"/>
              <w:spacing w:after="0" w:line="175" w:lineRule="exact"/>
              <w:rPr>
                <w:sz w:val="20"/>
                <w:szCs w:val="20"/>
                <w:color w:val="auto"/>
              </w:rPr>
            </w:pPr>
            <w:r>
              <w:rPr>
                <w:rFonts w:ascii="Times New Roman" w:cs="Times New Roman" w:eastAsia="Times New Roman" w:hAnsi="Times New Roman"/>
                <w:sz w:val="18"/>
                <w:szCs w:val="18"/>
                <w:color w:val="auto"/>
              </w:rPr>
              <w:t>42,000</w:t>
            </w:r>
          </w:p>
        </w:tc>
      </w:tr>
      <w:tr>
        <w:trPr>
          <w:trHeight w:val="234"/>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Independent Director</w:t>
            </w:r>
          </w:p>
        </w:tc>
        <w:tc>
          <w:tcPr>
            <w:tcW w:w="100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r>
        <w:trPr>
          <w:trHeight w:val="191"/>
        </w:trPr>
        <w:tc>
          <w:tcPr>
            <w:tcW w:w="19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Domino,</w:t>
            </w:r>
          </w:p>
        </w:tc>
        <w:tc>
          <w:tcPr>
            <w:tcW w:w="1000" w:type="dxa"/>
            <w:vAlign w:val="bottom"/>
            <w:tcBorders>
              <w:right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9/9/2024</w:t>
            </w:r>
          </w:p>
        </w:tc>
        <w:tc>
          <w:tcPr>
            <w:tcW w:w="2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Rule 10b5-1 Trading Plan</w:t>
            </w:r>
          </w:p>
        </w:tc>
        <w:tc>
          <w:tcPr>
            <w:tcW w:w="2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Sale of Common Stock</w:t>
            </w: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 months</w:t>
            </w:r>
          </w:p>
        </w:tc>
        <w:tc>
          <w:tcPr>
            <w:tcW w:w="2720" w:type="dxa"/>
            <w:vAlign w:val="bottom"/>
            <w:tcBorders>
              <w:right w:val="single" w:sz="8" w:color="auto"/>
            </w:tcBorders>
          </w:tcPr>
          <w:p>
            <w:pPr>
              <w:jc w:val="right"/>
              <w:ind w:right="990"/>
              <w:spacing w:after="0" w:line="191" w:lineRule="exact"/>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1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President - Directional</w:t>
            </w:r>
          </w:p>
        </w:tc>
        <w:tc>
          <w:tcPr>
            <w:tcW w:w="10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Tool Rentals Division</w:t>
            </w:r>
          </w:p>
        </w:tc>
        <w:tc>
          <w:tcPr>
            <w:tcW w:w="100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Domino’s plan expired on March 9, 2025 without any trades being executed under the plan. Transactions under Mr. Patterson’s plan will be disclosed publicly through Form 4 filings with the Securities and Exchange Commission as they occur.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(as defined in Rule 16a-1(f) of the Exchange Act) of the Company adopted or terminated a “Rule 10b5-1 trading arrangement” or “non-Rule 10b5-1 trading arrangement,” as each term is defined in Item 408(a) of Regulation S-K.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1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4"/>
                <w:szCs w:val="14"/>
                <w:color w:val="auto"/>
              </w:rPr>
            </w:pPr>
          </w:p>
        </w:tc>
        <w:tc>
          <w:tcPr>
            <w:tcW w:w="1010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0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20" w:firstLine="8"/>
        <w:spacing w:after="0" w:line="250" w:lineRule="auto"/>
        <w:tabs>
          <w:tab w:leader="none" w:pos="1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Drilling Tools International Corporation</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7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David R. Johnson</w:t>
            </w:r>
          </w:p>
        </w:tc>
      </w:tr>
      <w:tr>
        <w:trPr>
          <w:trHeight w:val="191"/>
        </w:trPr>
        <w:tc>
          <w:tcPr>
            <w:tcW w:w="34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R. Johnson</w:t>
            </w:r>
          </w:p>
        </w:tc>
      </w:tr>
      <w:tr>
        <w:trPr>
          <w:trHeight w:val="216"/>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38"/>
        </w:trPr>
        <w:tc>
          <w:tcPr>
            <w:tcW w:w="3480" w:type="dxa"/>
            <w:vAlign w:val="bottom"/>
          </w:tcPr>
          <w:p>
            <w:pPr>
              <w:spacing w:after="0"/>
              <w:rPr>
                <w:sz w:val="24"/>
                <w:szCs w:val="24"/>
                <w:color w:val="auto"/>
              </w:rPr>
            </w:pP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5220" w:type="dxa"/>
            <w:vAlign w:val="bottom"/>
          </w:tcPr>
          <w:p>
            <w:pPr>
              <w:spacing w:after="0"/>
              <w:rPr>
                <w:sz w:val="24"/>
                <w:szCs w:val="24"/>
                <w:color w:val="auto"/>
              </w:rPr>
            </w:pPr>
          </w:p>
        </w:tc>
      </w:tr>
      <w:tr>
        <w:trPr>
          <w:trHeight w:val="745"/>
        </w:trPr>
        <w:tc>
          <w:tcPr>
            <w:tcW w:w="34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20" w:val="left"/>
        </w:tabs>
        <w:rPr>
          <w:sz w:val="20"/>
          <w:szCs w:val="20"/>
          <w:color w:val="auto"/>
        </w:rPr>
      </w:pPr>
      <w:r>
        <w:rPr>
          <w:rFonts w:ascii="Arial" w:cs="Arial" w:eastAsia="Arial" w:hAnsi="Arial"/>
          <w:sz w:val="18"/>
          <w:szCs w:val="18"/>
          <w:color w:val="auto"/>
        </w:rPr>
        <w:t>Date: May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 Wayne Prejean</w:t>
      </w:r>
    </w:p>
    <w:p>
      <w:pPr>
        <w:jc w:val="center"/>
        <w:ind w:left="6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May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32404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David R. Johnson</w:t>
      </w: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Quarterly Report of Drilling Tools International (the “Company”) on Form 10-Q for the period ending March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May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March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May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2025-05-14T11:04:05Z</dcterms:created>
  <dcterms:modified xsi:type="dcterms:W3CDTF">2025-05-14T11:04:05Z</dcterms:modified>
</cp:coreProperties>
</file>