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dti-20230930.htm"/>
      <w:bookmarkStart w:id="1" w:name="ksdti20230930"/>
      <w:bookmarkEnd w:id="0"/>
      <w:bookmarkEnd w:id="1"/>
      <w:r>
        <w:rPr/>
        <w:t> </w:t>
      </w:r>
    </w:p>
    <w:p>
      <w:pPr>
        <w:pStyle w:val="TextBody"/>
        <w:pBdr>
          <w:top w:val="double" w:sz="6" w:space="1" w:color="000000"/>
        </w:pBdr>
        <w:bidi w:val="0"/>
        <w:jc w:val="left"/>
        <w:rPr/>
      </w:pPr>
      <w:r>
        <w:rPr/>
        <w:t> </w:t>
      </w:r>
    </w:p>
    <w:p>
      <w:pPr>
        <w:pStyle w:val="TextBody"/>
        <w:bidi w:val="0"/>
        <w:jc w:val="center"/>
        <w:rPr>
          <w:rFonts w:ascii="Arial" w:hAnsi="Arial"/>
          <w:b/>
          <w:color w:val="000000"/>
          <w:sz w:val="36"/>
        </w:rPr>
      </w:pPr>
      <w:r>
        <w:rPr>
          <w:rFonts w:ascii="Arial" w:hAnsi="Arial"/>
          <w:b/>
          <w:color w:val="000000"/>
          <w:sz w:val="36"/>
        </w:rPr>
        <w:t>UNITED STATES</w:t>
      </w:r>
    </w:p>
    <w:p>
      <w:pPr>
        <w:pStyle w:val="TextBody"/>
        <w:bidi w:val="0"/>
        <w:jc w:val="center"/>
        <w:rPr>
          <w:rFonts w:ascii="Arial" w:hAnsi="Arial"/>
          <w:b/>
          <w:color w:val="000000"/>
          <w:sz w:val="36"/>
        </w:rPr>
      </w:pPr>
      <w:r>
        <w:rPr>
          <w:rFonts w:ascii="Arial" w:hAnsi="Arial"/>
          <w:b/>
          <w:color w:val="000000"/>
          <w:sz w:val="36"/>
        </w:rPr>
        <w:t>SECURITIES AND EXCHANGE COMMISSION</w:t>
      </w:r>
    </w:p>
    <w:p>
      <w:pPr>
        <w:pStyle w:val="TextBody"/>
        <w:bidi w:val="0"/>
        <w:jc w:val="center"/>
        <w:rPr>
          <w:rFonts w:ascii="Arial" w:hAnsi="Arial"/>
          <w:b/>
          <w:color w:val="000000"/>
          <w:sz w:val="24"/>
        </w:rPr>
      </w:pPr>
      <w:r>
        <w:rPr>
          <w:rFonts w:ascii="Arial" w:hAnsi="Arial"/>
          <w:b/>
          <w:color w:val="000000"/>
          <w:sz w:val="24"/>
        </w:rPr>
        <w:t>WASHINGTON, DC 20549</w:t>
      </w:r>
    </w:p>
    <w:p>
      <w:pPr>
        <w:pStyle w:val="TextBody"/>
        <w:pBdr>
          <w:bottom w:val="single" w:sz="4" w:space="1" w:color="000000"/>
        </w:pBdr>
        <w:bidi w:val="0"/>
        <w:spacing w:before="60" w:after="120"/>
        <w:jc w:val="center"/>
        <w:rPr/>
      </w:pPr>
      <w:r>
        <w:rPr/>
        <w:t> </w:t>
      </w:r>
    </w:p>
    <w:p>
      <w:pPr>
        <w:pStyle w:val="TextBody"/>
        <w:bidi w:val="0"/>
        <w:spacing w:before="120" w:after="283"/>
        <w:jc w:val="center"/>
        <w:rPr>
          <w:rFonts w:ascii="Arial" w:hAnsi="Arial"/>
          <w:b/>
          <w:color w:val="000000"/>
          <w:sz w:val="36"/>
        </w:rPr>
      </w:pPr>
      <w:r>
        <w:rPr>
          <w:rFonts w:ascii="Arial" w:hAnsi="Arial"/>
          <w:b/>
          <w:color w:val="000000"/>
          <w:sz w:val="36"/>
        </w:rPr>
        <w:t>FORM 10-Q</w:t>
      </w:r>
    </w:p>
    <w:p>
      <w:pPr>
        <w:pStyle w:val="TextBody"/>
        <w:pBdr>
          <w:bottom w:val="single" w:sz="4" w:space="1" w:color="000000"/>
        </w:pBdr>
        <w:bidi w:val="0"/>
        <w:spacing w:before="60" w:after="120"/>
        <w:jc w:val="center"/>
        <w:rPr/>
      </w:pPr>
      <w:r>
        <w:rPr/>
        <w:t> </w:t>
      </w:r>
    </w:p>
    <w:p>
      <w:pPr>
        <w:pStyle w:val="TextBody"/>
        <w:bidi w:val="0"/>
        <w:spacing w:before="90" w:after="283"/>
        <w:jc w:val="left"/>
        <w:rPr>
          <w:rFonts w:ascii="Arial" w:hAnsi="Arial"/>
          <w:b/>
          <w:color w:val="000000"/>
          <w:sz w:val="16"/>
        </w:rPr>
      </w:pPr>
      <w:r>
        <w:rPr>
          <w:rFonts w:ascii="Arial" w:hAnsi="Arial"/>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QUARTERLY REPORT PURSUANT TO SECTION 13 OR 15(d) OF THE SECURITIES EXCHANGE ACT OF 1934</w:t>
            </w:r>
          </w:p>
        </w:tc>
      </w:tr>
    </w:tbl>
    <w:p>
      <w:pPr>
        <w:pStyle w:val="TextBody"/>
        <w:bidi w:val="0"/>
        <w:spacing w:before="100" w:after="283"/>
        <w:jc w:val="center"/>
        <w:rPr>
          <w:rFonts w:ascii="Arial" w:hAnsi="Arial"/>
          <w:b/>
          <w:color w:val="000000"/>
          <w:sz w:val="20"/>
        </w:rPr>
      </w:pPr>
      <w:r>
        <w:rPr>
          <w:rFonts w:ascii="Arial" w:hAnsi="Arial"/>
          <w:b/>
          <w:color w:val="000000"/>
          <w:sz w:val="20"/>
        </w:rPr>
        <w:t>For the quarterly period ended September 30, 2023</w:t>
      </w:r>
    </w:p>
    <w:p>
      <w:pPr>
        <w:pStyle w:val="TextBody"/>
        <w:bidi w:val="0"/>
        <w:spacing w:before="100" w:after="283"/>
        <w:jc w:val="center"/>
        <w:rPr>
          <w:rFonts w:ascii="Arial" w:hAnsi="Arial"/>
          <w:b/>
          <w:color w:val="000000"/>
          <w:sz w:val="20"/>
        </w:rPr>
      </w:pPr>
      <w:r>
        <w:rPr>
          <w:rFonts w:ascii="Arial" w:hAnsi="Arial"/>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0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00" w:after="283"/>
              <w:jc w:val="left"/>
              <w:rPr>
                <w:rFonts w:ascii="Arial" w:hAnsi="Arial"/>
                <w:b/>
                <w:color w:val="000000"/>
                <w:sz w:val="20"/>
              </w:rPr>
            </w:pPr>
            <w:r>
              <w:rPr>
                <w:rFonts w:ascii="Arial" w:hAnsi="Arial"/>
                <w:b/>
                <w:color w:val="000000"/>
                <w:sz w:val="20"/>
              </w:rPr>
              <w:t>TRANSITION REPORT PURSUANT TO SECTION 13 OR 15(d) OF THE SECURITIES EXCHANGE ACT OF 1934</w:t>
            </w:r>
          </w:p>
        </w:tc>
      </w:tr>
    </w:tbl>
    <w:p>
      <w:pPr>
        <w:pStyle w:val="TextBody"/>
        <w:bidi w:val="0"/>
        <w:spacing w:before="120" w:after="283"/>
        <w:jc w:val="center"/>
        <w:rPr>
          <w:rFonts w:ascii="Arial" w:hAnsi="Arial"/>
          <w:b/>
          <w:color w:val="000000"/>
          <w:sz w:val="20"/>
        </w:rPr>
      </w:pPr>
      <w:r>
        <w:rPr>
          <w:rFonts w:ascii="Arial" w:hAnsi="Arial"/>
          <w:b/>
          <w:color w:val="000000"/>
          <w:sz w:val="20"/>
        </w:rPr>
        <w:t>For the transition period from ____ to ____</w:t>
      </w:r>
    </w:p>
    <w:p>
      <w:pPr>
        <w:pStyle w:val="TextBody"/>
        <w:bidi w:val="0"/>
        <w:spacing w:before="120" w:after="283"/>
        <w:jc w:val="center"/>
        <w:rPr>
          <w:rFonts w:ascii="Arial" w:hAnsi="Arial"/>
          <w:b/>
          <w:color w:val="000000"/>
          <w:sz w:val="20"/>
        </w:rPr>
      </w:pPr>
      <w:r>
        <w:rPr>
          <w:rFonts w:ascii="Arial" w:hAnsi="Arial"/>
          <w:b/>
          <w:color w:val="000000"/>
          <w:sz w:val="20"/>
        </w:rPr>
        <w:t>Commission File Number: 001-41103</w:t>
      </w:r>
    </w:p>
    <w:p>
      <w:pPr>
        <w:pStyle w:val="TextBody"/>
        <w:pBdr>
          <w:bottom w:val="single" w:sz="4" w:space="1" w:color="000000"/>
        </w:pBdr>
        <w:bidi w:val="0"/>
        <w:spacing w:before="60" w:after="120"/>
        <w:jc w:val="center"/>
        <w:rPr/>
      </w:pPr>
      <w:r>
        <w:rPr/>
        <w:t> </w:t>
      </w:r>
    </w:p>
    <w:p>
      <w:pPr>
        <w:pStyle w:val="TextBody"/>
        <w:bidi w:val="0"/>
        <w:jc w:val="center"/>
        <w:rPr>
          <w:rFonts w:ascii="Arial" w:hAnsi="Arial"/>
          <w:b/>
          <w:color w:val="000000"/>
          <w:sz w:val="48"/>
        </w:rPr>
      </w:pPr>
      <w:r>
        <w:rPr>
          <w:rFonts w:ascii="Arial" w:hAnsi="Arial"/>
          <w:b/>
          <w:color w:val="000000"/>
          <w:sz w:val="48"/>
        </w:rPr>
        <w:t>DRILLING TOOLS INTERNATIONAL CORPORATION</w:t>
      </w:r>
    </w:p>
    <w:p>
      <w:pPr>
        <w:pStyle w:val="TextBody"/>
        <w:bidi w:val="0"/>
        <w:jc w:val="center"/>
        <w:rPr>
          <w:rFonts w:ascii="Arial" w:hAnsi="Arial"/>
          <w:b/>
          <w:color w:val="000000"/>
          <w:sz w:val="20"/>
        </w:rPr>
      </w:pPr>
      <w:r>
        <w:rPr>
          <w:rFonts w:ascii="Arial" w:hAnsi="Arial"/>
          <w:b/>
          <w:color w:val="000000"/>
          <w:sz w:val="20"/>
        </w:rPr>
        <w:t>(Exact Name of Registrant as Specified in its Charter)</w:t>
      </w:r>
    </w:p>
    <w:p>
      <w:pPr>
        <w:pStyle w:val="TextBody"/>
        <w:pBdr>
          <w:bottom w:val="single" w:sz="4" w:space="1" w:color="000000"/>
        </w:pBdr>
        <w:bidi w:val="0"/>
        <w:spacing w:before="60" w:after="283"/>
        <w:jc w:val="center"/>
        <w:rPr/>
      </w:pPr>
      <w:r>
        <w:rPr/>
        <w:t> </w:t>
      </w:r>
    </w:p>
    <w:p>
      <w:pPr>
        <w:pStyle w:val="TextBody"/>
        <w:bidi w:val="0"/>
        <w:jc w:val="left"/>
        <w:rPr/>
      </w:pPr>
      <w:r>
        <w:rPr/>
        <w:t> </w:t>
      </w:r>
    </w:p>
    <w:tbl>
      <w:tblPr>
        <w:tblW w:w="3947" w:type="dxa"/>
        <w:jc w:val="left"/>
        <w:tblInd w:w="0" w:type="dxa"/>
        <w:tblLayout w:type="fixed"/>
        <w:tblCellMar>
          <w:top w:w="28" w:type="dxa"/>
          <w:left w:w="28" w:type="dxa"/>
          <w:bottom w:w="28" w:type="dxa"/>
          <w:right w:w="28" w:type="dxa"/>
        </w:tblCellMar>
      </w:tblPr>
      <w:tblGrid>
        <w:gridCol w:w="2656"/>
        <w:gridCol w:w="1291"/>
      </w:tblGrid>
      <w:tr>
        <w:trPr/>
        <w:tc>
          <w:tcPr>
            <w:tcW w:w="2656"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r>
      <w:tr>
        <w:trPr/>
        <w:tc>
          <w:tcPr>
            <w:tcW w:w="265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Delaware</w:t>
            </w:r>
          </w:p>
        </w:tc>
        <w:tc>
          <w:tcPr>
            <w:tcW w:w="129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87-2488708</w:t>
            </w:r>
          </w:p>
        </w:tc>
      </w:tr>
      <w:tr>
        <w:trPr/>
        <w:tc>
          <w:tcPr>
            <w:tcW w:w="2656" w:type="dxa"/>
            <w:tcBorders/>
            <w:tcMar>
              <w:top w:w="0" w:type="dxa"/>
              <w:left w:w="0" w:type="dxa"/>
              <w:bottom w:w="0" w:type="dxa"/>
              <w:right w:w="0" w:type="dxa"/>
            </w:tcMar>
            <w:vAlign w:val="center"/>
          </w:tcPr>
          <w:p>
            <w:pPr>
              <w:pStyle w:val="TableContents"/>
              <w:bidi w:val="0"/>
              <w:jc w:val="center"/>
              <w:rPr>
                <w:rFonts w:ascii="Arial" w:hAnsi="Arial"/>
                <w:b/>
                <w:color w:val="000000"/>
                <w:sz w:val="14"/>
              </w:rPr>
            </w:pPr>
            <w:r>
              <w:rPr>
                <w:rFonts w:ascii="Arial" w:hAnsi="Arial"/>
                <w:b/>
                <w:color w:val="000000"/>
                <w:sz w:val="14"/>
              </w:rPr>
              <w:t>(State or other jurisdiction of</w:t>
            </w:r>
          </w:p>
          <w:p>
            <w:pPr>
              <w:pStyle w:val="TableContents"/>
              <w:bidi w:val="0"/>
              <w:spacing w:before="0" w:after="15"/>
              <w:jc w:val="center"/>
              <w:rPr>
                <w:rFonts w:ascii="Arial" w:hAnsi="Arial"/>
                <w:b/>
                <w:color w:val="000000"/>
                <w:sz w:val="14"/>
              </w:rPr>
            </w:pPr>
            <w:r>
              <w:rPr>
                <w:rFonts w:ascii="Arial" w:hAnsi="Arial"/>
                <w:b/>
                <w:color w:val="000000"/>
                <w:sz w:val="14"/>
              </w:rPr>
              <w:t>incorporation or organization)</w:t>
            </w:r>
          </w:p>
        </w:tc>
        <w:tc>
          <w:tcPr>
            <w:tcW w:w="129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(I.R.S. Employer</w:t>
              <w:br/>
              <w:t>Identification No.)</w:t>
            </w:r>
          </w:p>
        </w:tc>
      </w:tr>
      <w:tr>
        <w:trPr/>
        <w:tc>
          <w:tcPr>
            <w:tcW w:w="2656" w:type="dxa"/>
            <w:tcBorders/>
            <w:tcMar>
              <w:top w:w="0" w:type="dxa"/>
              <w:left w:w="0" w:type="dxa"/>
              <w:bottom w:w="0" w:type="dxa"/>
              <w:right w:w="0" w:type="dxa"/>
            </w:tcMar>
            <w:vAlign w:val="center"/>
          </w:tcPr>
          <w:p>
            <w:pPr>
              <w:pStyle w:val="TableContents"/>
              <w:bidi w:val="0"/>
              <w:spacing w:before="0" w:after="15"/>
              <w:jc w:val="center"/>
              <w:rPr>
                <w:rFonts w:ascii="Arial" w:hAnsi="Arial"/>
                <w:b/>
                <w:color w:val="000000"/>
                <w:sz w:val="20"/>
              </w:rPr>
            </w:pPr>
            <w:r>
              <w:rPr>
                <w:rFonts w:ascii="Arial" w:hAnsi="Arial"/>
                <w:b/>
                <w:color w:val="000000"/>
                <w:sz w:val="20"/>
              </w:rPr>
              <w:t>3701 Briarpark Drive</w:t>
            </w:r>
          </w:p>
          <w:p>
            <w:pPr>
              <w:pStyle w:val="TableContents"/>
              <w:bidi w:val="0"/>
              <w:spacing w:before="0" w:after="15"/>
              <w:jc w:val="center"/>
              <w:rPr>
                <w:rFonts w:ascii="Arial" w:hAnsi="Arial"/>
                <w:b/>
                <w:color w:val="000000"/>
                <w:sz w:val="20"/>
              </w:rPr>
            </w:pPr>
            <w:r>
              <w:rPr>
                <w:rFonts w:ascii="Arial" w:hAnsi="Arial"/>
                <w:b/>
                <w:color w:val="000000"/>
                <w:sz w:val="20"/>
              </w:rPr>
              <w:t>Suite 150</w:t>
            </w:r>
          </w:p>
          <w:p>
            <w:pPr>
              <w:pStyle w:val="TableContents"/>
              <w:bidi w:val="0"/>
              <w:spacing w:before="0" w:after="15"/>
              <w:jc w:val="center"/>
              <w:rPr>
                <w:rFonts w:ascii="Arial" w:hAnsi="Arial"/>
                <w:b/>
                <w:color w:val="000000"/>
                <w:sz w:val="20"/>
              </w:rPr>
            </w:pPr>
            <w:r>
              <w:rPr>
                <w:rFonts w:ascii="Arial" w:hAnsi="Arial"/>
                <w:b/>
                <w:color w:val="000000"/>
                <w:sz w:val="20"/>
              </w:rPr>
              <w:t>Houston, Texas</w:t>
            </w:r>
          </w:p>
        </w:tc>
        <w:tc>
          <w:tcPr>
            <w:tcW w:w="129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77042</w:t>
            </w:r>
          </w:p>
        </w:tc>
      </w:tr>
      <w:tr>
        <w:trPr/>
        <w:tc>
          <w:tcPr>
            <w:tcW w:w="265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(Address of principal executive offices)</w:t>
            </w:r>
          </w:p>
        </w:tc>
        <w:tc>
          <w:tcPr>
            <w:tcW w:w="129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(Zip Code)</w:t>
            </w:r>
          </w:p>
        </w:tc>
      </w:tr>
    </w:tbl>
    <w:p>
      <w:pPr>
        <w:pStyle w:val="TextBody"/>
        <w:bidi w:val="0"/>
        <w:spacing w:before="80" w:after="283"/>
        <w:jc w:val="center"/>
        <w:rPr>
          <w:rFonts w:ascii="Arial" w:hAnsi="Arial"/>
          <w:b/>
          <w:color w:val="000000"/>
          <w:sz w:val="20"/>
        </w:rPr>
      </w:pPr>
      <w:r>
        <w:rPr>
          <w:rFonts w:ascii="Arial" w:hAnsi="Arial"/>
          <w:b/>
          <w:color w:val="000000"/>
          <w:sz w:val="20"/>
        </w:rPr>
        <w:t>Registrant’s telephone number, including area code: (832) 742-8500</w:t>
      </w:r>
    </w:p>
    <w:p>
      <w:pPr>
        <w:pStyle w:val="TextBody"/>
        <w:pBdr>
          <w:bottom w:val="single" w:sz="4" w:space="1" w:color="000000"/>
        </w:pBdr>
        <w:bidi w:val="0"/>
        <w:spacing w:before="60" w:after="283"/>
        <w:jc w:val="center"/>
        <w:rPr/>
      </w:pPr>
      <w:r>
        <w:rPr/>
        <w:t> </w:t>
      </w:r>
    </w:p>
    <w:p>
      <w:pPr>
        <w:pStyle w:val="TextBody"/>
        <w:bidi w:val="0"/>
        <w:spacing w:before="80" w:after="283"/>
        <w:jc w:val="left"/>
        <w:rPr>
          <w:rFonts w:ascii="Times New Roman" w:hAnsi="Times New Roman"/>
          <w:sz w:val="20"/>
        </w:rPr>
      </w:pPr>
      <w:r>
        <w:rPr>
          <w:rFonts w:ascii="Arial" w:hAnsi="Arial"/>
          <w:b w:val="false"/>
          <w:color w:val="000000"/>
          <w:sz w:val="17"/>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8845" w:type="dxa"/>
        <w:jc w:val="left"/>
        <w:tblInd w:w="0" w:type="dxa"/>
        <w:tblLayout w:type="fixed"/>
        <w:tblCellMar>
          <w:top w:w="28" w:type="dxa"/>
          <w:left w:w="28" w:type="dxa"/>
          <w:bottom w:w="28" w:type="dxa"/>
          <w:right w:w="28" w:type="dxa"/>
        </w:tblCellMar>
      </w:tblPr>
      <w:tblGrid>
        <w:gridCol w:w="3976"/>
        <w:gridCol w:w="146"/>
        <w:gridCol w:w="916"/>
        <w:gridCol w:w="146"/>
        <w:gridCol w:w="3661"/>
      </w:tblGrid>
      <w:tr>
        <w:trPr/>
        <w:tc>
          <w:tcPr>
            <w:tcW w:w="3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61" w:type="dxa"/>
            <w:tcBorders/>
            <w:vAlign w:val="center"/>
          </w:tcPr>
          <w:p>
            <w:pPr>
              <w:pStyle w:val="TableContents"/>
              <w:bidi w:val="0"/>
              <w:spacing w:before="0" w:after="283"/>
              <w:jc w:val="left"/>
              <w:rPr>
                <w:sz w:val="4"/>
                <w:szCs w:val="4"/>
              </w:rPr>
            </w:pPr>
            <w:r>
              <w:rPr>
                <w:sz w:val="4"/>
                <w:szCs w:val="4"/>
              </w:rPr>
            </w:r>
          </w:p>
        </w:tc>
      </w:tr>
      <w:tr>
        <w:trPr/>
        <w:tc>
          <w:tcPr>
            <w:tcW w:w="397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16" w:type="dxa"/>
            <w:tcBorders>
              <w:bottom w:val="single" w:sz="4" w:space="0" w:color="000000"/>
            </w:tcBorders>
            <w:tcMar>
              <w:top w:w="0" w:type="dxa"/>
              <w:left w:w="0" w:type="dxa"/>
              <w:right w:w="0" w:type="dxa"/>
            </w:tcMar>
            <w:vAlign w:val="center"/>
          </w:tcPr>
          <w:p>
            <w:pPr>
              <w:pStyle w:val="TableContents"/>
              <w:bidi w:val="0"/>
              <w:jc w:val="center"/>
              <w:rPr>
                <w:rFonts w:ascii="Arial" w:hAnsi="Arial"/>
                <w:b/>
                <w:color w:val="000000"/>
                <w:sz w:val="16"/>
              </w:rPr>
            </w:pPr>
            <w:r>
              <w:rPr>
                <w:rFonts w:ascii="Arial" w:hAnsi="Arial"/>
                <w:b/>
                <w:color w:val="000000"/>
                <w:sz w:val="16"/>
              </w:rPr>
              <w:t>Trading</w:t>
            </w:r>
          </w:p>
          <w:p>
            <w:pPr>
              <w:pStyle w:val="TableContents"/>
              <w:bidi w:val="0"/>
              <w:spacing w:before="0" w:after="283"/>
              <w:jc w:val="center"/>
              <w:rPr>
                <w:rFonts w:ascii="Arial" w:hAnsi="Arial"/>
                <w:b/>
                <w:color w:val="000000"/>
                <w:sz w:val="16"/>
              </w:rPr>
            </w:pPr>
            <w:r>
              <w:rPr>
                <w:rFonts w:ascii="Arial" w:hAnsi="Arial"/>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66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Name of each exchange on which registered</w:t>
            </w:r>
          </w:p>
        </w:tc>
      </w:tr>
      <w:tr>
        <w:trPr/>
        <w:tc>
          <w:tcPr>
            <w:tcW w:w="3976"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Common stock, par value $0.0001 per share</w:t>
            </w:r>
          </w:p>
        </w:tc>
        <w:tc>
          <w:tcPr>
            <w:tcW w:w="146" w:type="dxa"/>
            <w:tcBorders/>
            <w:vAlign w:val="center"/>
          </w:tcPr>
          <w:p>
            <w:pPr>
              <w:pStyle w:val="TableContents"/>
              <w:bidi w:val="0"/>
              <w:spacing w:before="0" w:after="283"/>
              <w:jc w:val="center"/>
              <w:rPr/>
            </w:pPr>
            <w:r>
              <w:rPr/>
              <w:t> </w:t>
            </w:r>
          </w:p>
        </w:tc>
        <w:tc>
          <w:tcPr>
            <w:tcW w:w="916" w:type="dxa"/>
            <w:tcBorders/>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DTI</w:t>
            </w:r>
          </w:p>
        </w:tc>
        <w:tc>
          <w:tcPr>
            <w:tcW w:w="146" w:type="dxa"/>
            <w:tcBorders/>
            <w:vAlign w:val="center"/>
          </w:tcPr>
          <w:p>
            <w:pPr>
              <w:pStyle w:val="TableContents"/>
              <w:bidi w:val="0"/>
              <w:spacing w:before="0" w:after="283"/>
              <w:jc w:val="center"/>
              <w:rPr/>
            </w:pPr>
            <w:r>
              <w:rPr/>
              <w:t> </w:t>
            </w:r>
          </w:p>
        </w:tc>
        <w:tc>
          <w:tcPr>
            <w:tcW w:w="3661" w:type="dxa"/>
            <w:tcBorders/>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The Nasdaq Stock Market LLC</w:t>
            </w:r>
          </w:p>
        </w:tc>
      </w:tr>
    </w:tbl>
    <w:p>
      <w:pPr>
        <w:pStyle w:val="TextBody"/>
        <w:bidi w:val="0"/>
        <w:spacing w:before="40" w:after="283"/>
        <w:jc w:val="left"/>
        <w:rPr>
          <w:rFonts w:ascii="Times New Roman" w:hAnsi="Times New Roman"/>
          <w:sz w:val="20"/>
        </w:rPr>
      </w:pPr>
      <w:r>
        <w:rPr>
          <w:rFonts w:ascii="Arial" w:hAnsi="Arial"/>
          <w:b w:val="false"/>
          <w:color w:val="000000"/>
          <w:sz w:val="17"/>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Arial" w:hAnsi="Arial"/>
          <w:b w:val="false"/>
          <w:color w:val="000000"/>
          <w:sz w:val="17"/>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Arial" w:hAnsi="Arial"/>
          <w:b w:val="false"/>
          <w:color w:val="000000"/>
          <w:sz w:val="17"/>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Arial" w:hAnsi="Arial"/>
          <w:b w:val="false"/>
          <w:color w:val="000000"/>
          <w:sz w:val="17"/>
        </w:rPr>
        <w:t xml:space="preserve">No </w:t>
      </w:r>
      <w:r>
        <w:rPr>
          <w:rFonts w:ascii="Times New Roman" w:hAnsi="Times New Roman"/>
          <w:color w:val="000000"/>
          <w:sz w:val="20"/>
        </w:rPr>
        <w:t>☐</w:t>
      </w:r>
    </w:p>
    <w:p>
      <w:pPr>
        <w:pStyle w:val="TextBody"/>
        <w:bidi w:val="0"/>
        <w:spacing w:before="80" w:after="283"/>
        <w:jc w:val="left"/>
        <w:rPr>
          <w:rFonts w:ascii="Arial" w:hAnsi="Arial"/>
          <w:b w:val="false"/>
          <w:color w:val="000000"/>
          <w:sz w:val="17"/>
        </w:rPr>
      </w:pPr>
      <w:r>
        <w:rPr>
          <w:rFonts w:ascii="Arial" w:hAnsi="Arial"/>
          <w:b w:val="false"/>
          <w:color w:val="000000"/>
          <w:sz w:val="17"/>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242" w:type="dxa"/>
        <w:jc w:val="left"/>
        <w:tblInd w:w="0" w:type="dxa"/>
        <w:tblLayout w:type="fixed"/>
        <w:tblCellMar>
          <w:top w:w="28" w:type="dxa"/>
          <w:left w:w="28" w:type="dxa"/>
          <w:bottom w:w="28" w:type="dxa"/>
          <w:right w:w="28" w:type="dxa"/>
        </w:tblCellMar>
      </w:tblPr>
      <w:tblGrid>
        <w:gridCol w:w="2071"/>
        <w:gridCol w:w="146"/>
        <w:gridCol w:w="316"/>
        <w:gridCol w:w="146"/>
        <w:gridCol w:w="2056"/>
        <w:gridCol w:w="146"/>
        <w:gridCol w:w="361"/>
      </w:tblGrid>
      <w:tr>
        <w:trPr/>
        <w:tc>
          <w:tcPr>
            <w:tcW w:w="2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71" w:type="dxa"/>
            <w:tcBorders/>
            <w:tcMar>
              <w:top w:w="0" w:type="dxa"/>
              <w:left w:w="0" w:type="dxa"/>
              <w:bottom w:w="0" w:type="dxa"/>
              <w:right w:w="0" w:type="dxa"/>
            </w:tcMar>
            <w:vAlign w:val="center"/>
          </w:tcPr>
          <w:p>
            <w:pPr>
              <w:pStyle w:val="TableContents"/>
              <w:bidi w:val="0"/>
              <w:spacing w:before="0" w:after="283"/>
              <w:jc w:val="left"/>
              <w:rPr>
                <w:rFonts w:ascii="Arial" w:hAnsi="Arial"/>
                <w:b w:val="false"/>
                <w:color w:val="000000"/>
                <w:sz w:val="17"/>
              </w:rPr>
            </w:pPr>
            <w:r>
              <w:rPr>
                <w:rFonts w:ascii="Arial" w:hAnsi="Arial"/>
                <w:b w:val="false"/>
                <w:color w:val="000000"/>
                <w:sz w:val="17"/>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tcBorders/>
            <w:tcMar>
              <w:top w:w="0" w:type="dxa"/>
              <w:left w:w="0" w:type="dxa"/>
              <w:bottom w:w="0" w:type="dxa"/>
              <w:right w:w="0" w:type="dxa"/>
            </w:tcMar>
            <w:vAlign w:val="center"/>
          </w:tcPr>
          <w:p>
            <w:pPr>
              <w:pStyle w:val="TableContents"/>
              <w:bidi w:val="0"/>
              <w:spacing w:before="0" w:after="283"/>
              <w:jc w:val="left"/>
              <w:rPr>
                <w:rFonts w:ascii="Arial" w:hAnsi="Arial"/>
                <w:b w:val="false"/>
                <w:color w:val="000000"/>
                <w:sz w:val="17"/>
              </w:rPr>
            </w:pPr>
            <w:r>
              <w:rPr>
                <w:rFonts w:ascii="Arial" w:hAnsi="Arial"/>
                <w:b w:val="false"/>
                <w:color w:val="000000"/>
                <w:sz w:val="17"/>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71"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20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tcMar>
              <w:top w:w="0" w:type="dxa"/>
              <w:left w:w="0" w:type="dxa"/>
              <w:bottom w:w="0" w:type="dxa"/>
              <w:right w:w="0" w:type="dxa"/>
            </w:tcMar>
            <w:vAlign w:val="center"/>
          </w:tcPr>
          <w:p>
            <w:pPr>
              <w:pStyle w:val="TableContents"/>
              <w:bidi w:val="0"/>
              <w:spacing w:before="0" w:after="283"/>
              <w:jc w:val="left"/>
              <w:rPr>
                <w:rFonts w:ascii="Arial" w:hAnsi="Arial"/>
                <w:b w:val="false"/>
                <w:color w:val="000000"/>
                <w:sz w:val="17"/>
              </w:rPr>
            </w:pPr>
            <w:r>
              <w:rPr>
                <w:rFonts w:ascii="Arial" w:hAnsi="Arial"/>
                <w:b w:val="false"/>
                <w:color w:val="000000"/>
                <w:sz w:val="17"/>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tcBorders/>
            <w:tcMar>
              <w:top w:w="0" w:type="dxa"/>
              <w:left w:w="0" w:type="dxa"/>
              <w:bottom w:w="0" w:type="dxa"/>
              <w:right w:w="0" w:type="dxa"/>
            </w:tcMar>
            <w:vAlign w:val="center"/>
          </w:tcPr>
          <w:p>
            <w:pPr>
              <w:pStyle w:val="TableContents"/>
              <w:bidi w:val="0"/>
              <w:spacing w:before="0" w:after="283"/>
              <w:jc w:val="left"/>
              <w:rPr>
                <w:rFonts w:ascii="Arial" w:hAnsi="Arial"/>
                <w:b w:val="false"/>
                <w:color w:val="000000"/>
                <w:sz w:val="17"/>
              </w:rPr>
            </w:pPr>
            <w:r>
              <w:rPr>
                <w:rFonts w:ascii="Arial" w:hAnsi="Arial"/>
                <w:b w:val="false"/>
                <w:color w:val="000000"/>
                <w:sz w:val="17"/>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tcMar>
              <w:top w:w="0" w:type="dxa"/>
              <w:left w:w="0" w:type="dxa"/>
              <w:bottom w:w="0" w:type="dxa"/>
              <w:right w:w="0" w:type="dxa"/>
            </w:tcMar>
            <w:vAlign w:val="center"/>
          </w:tcPr>
          <w:p>
            <w:pPr>
              <w:pStyle w:val="TableContents"/>
              <w:bidi w:val="0"/>
              <w:spacing w:before="0" w:after="283"/>
              <w:jc w:val="left"/>
              <w:rPr>
                <w:rFonts w:ascii="Arial" w:hAnsi="Arial"/>
                <w:b w:val="false"/>
                <w:color w:val="000000"/>
                <w:sz w:val="17"/>
              </w:rPr>
            </w:pPr>
            <w:r>
              <w:rPr>
                <w:rFonts w:ascii="Arial" w:hAnsi="Arial"/>
                <w:b w:val="false"/>
                <w:color w:val="000000"/>
                <w:sz w:val="17"/>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17"/>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Arial" w:hAnsi="Arial"/>
          <w:b w:val="false"/>
          <w:color w:val="000000"/>
          <w:sz w:val="17"/>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Arial" w:hAnsi="Arial"/>
          <w:b w:val="false"/>
          <w:color w:val="000000"/>
          <w:sz w:val="17"/>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Arial" w:hAnsi="Arial"/>
          <w:b w:val="false"/>
          <w:color w:val="000000"/>
          <w:sz w:val="17"/>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Times New Roman" w:hAnsi="Times New Roman"/>
          <w:color w:val="000000"/>
          <w:sz w:val="20"/>
        </w:rPr>
        <w:t xml:space="preserve">☒ </w:t>
      </w:r>
      <w:r>
        <w:rPr>
          <w:rFonts w:ascii="Arial" w:hAnsi="Arial"/>
          <w:b w:val="false"/>
          <w:color w:val="000000"/>
          <w:sz w:val="17"/>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Arial" w:hAnsi="Arial"/>
          <w:b w:val="false"/>
          <w:color w:val="000000"/>
          <w:sz w:val="17"/>
        </w:rPr>
        <w:t>As of November 14, 2023, the registrant had 29,768,568</w:t>
      </w:r>
      <w:r>
        <w:rPr>
          <w:rFonts w:ascii="Times New Roman" w:hAnsi="Times New Roman"/>
          <w:color w:val="000000"/>
          <w:sz w:val="20"/>
        </w:rPr>
        <w:t xml:space="preserve"> </w:t>
      </w:r>
      <w:r>
        <w:rPr>
          <w:rFonts w:ascii="Arial" w:hAnsi="Arial"/>
          <w:b w:val="false"/>
          <w:color w:val="000000"/>
          <w:sz w:val="17"/>
        </w:rPr>
        <w:t>shares of common stock, $0.0001 par value per share, outstanding.</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39"/>
        <w:gridCol w:w="8687"/>
        <w:gridCol w:w="679"/>
      </w:tblGrid>
      <w:tr>
        <w:trPr/>
        <w:tc>
          <w:tcPr>
            <w:tcW w:w="839" w:type="dxa"/>
            <w:tcBorders/>
            <w:vAlign w:val="center"/>
          </w:tcPr>
          <w:p>
            <w:pPr>
              <w:pStyle w:val="TableContents"/>
              <w:bidi w:val="0"/>
              <w:spacing w:before="0" w:after="283"/>
              <w:jc w:val="left"/>
              <w:rPr>
                <w:sz w:val="4"/>
                <w:szCs w:val="4"/>
              </w:rPr>
            </w:pPr>
            <w:r>
              <w:rPr>
                <w:sz w:val="4"/>
                <w:szCs w:val="4"/>
              </w:rPr>
            </w:r>
          </w:p>
        </w:tc>
        <w:tc>
          <w:tcPr>
            <w:tcW w:w="8687"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3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687"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679"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137" w:right="0" w:firstLine="137"/>
              <w:jc w:val="left"/>
              <w:rPr>
                <w:rFonts w:ascii="Arial" w:hAnsi="Arial"/>
                <w:b/>
                <w:color w:val="000000"/>
                <w:sz w:val="16"/>
              </w:rPr>
            </w:pPr>
            <w:r>
              <w:rPr>
                <w:rFonts w:ascii="Arial" w:hAnsi="Arial"/>
                <w:b/>
                <w:color w:val="000000"/>
                <w:sz w:val="16"/>
              </w:rPr>
              <w:t>Page</w:t>
            </w:r>
          </w:p>
        </w:tc>
      </w:tr>
      <w:tr>
        <w:trPr/>
        <w:tc>
          <w:tcPr>
            <w:tcW w:w="8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autionary_note">
              <w:r>
                <w:rPr>
                  <w:rStyle w:val="InternetLink"/>
                  <w:rFonts w:ascii="Arial" w:hAnsi="Arial"/>
                  <w:b w:val="false"/>
                  <w:color w:val="0000FF"/>
                  <w:sz w:val="20"/>
                  <w:u w:val="single"/>
                </w:rPr>
                <w:t>Cautionary Note Regarding Forward-Looking Statements</w:t>
              </w:r>
            </w:hyperlink>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w:t>
            </w:r>
          </w:p>
        </w:tc>
      </w:tr>
      <w:tr>
        <w:trPr/>
        <w:tc>
          <w:tcPr>
            <w:tcW w:w="83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PART I.</w:t>
            </w:r>
          </w:p>
        </w:tc>
        <w:tc>
          <w:tcPr>
            <w:tcW w:w="868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Arial" w:hAnsi="Arial"/>
                  <w:b w:val="false"/>
                  <w:color w:val="0000FF"/>
                  <w:sz w:val="20"/>
                  <w:u w:val="single"/>
                </w:rPr>
                <w:t>FINANCIAL INFORMATION</w:t>
              </w:r>
            </w:hyperlink>
          </w:p>
        </w:tc>
        <w:tc>
          <w:tcPr>
            <w:tcW w:w="6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Item 1.</w:t>
            </w:r>
          </w:p>
        </w:tc>
        <w:tc>
          <w:tcPr>
            <w:tcW w:w="868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_item1">
              <w:r>
                <w:rPr>
                  <w:rStyle w:val="InternetLink"/>
                  <w:rFonts w:ascii="Arial" w:hAnsi="Arial"/>
                  <w:b w:val="false"/>
                  <w:color w:val="0000FF"/>
                  <w:sz w:val="20"/>
                  <w:u w:val="single"/>
                </w:rPr>
                <w:t>Condensed Consolidated Financial Statements (Unaudited)</w:t>
              </w:r>
            </w:hyperlink>
          </w:p>
        </w:tc>
        <w:tc>
          <w:tcPr>
            <w:tcW w:w="67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b w:val="false"/>
                <w:color w:val="000000"/>
                <w:sz w:val="20"/>
              </w:rPr>
            </w:pPr>
            <w:r>
              <w:rPr>
                <w:rFonts w:ascii="Arial" w:hAnsi="Arial"/>
                <w:b w:val="false"/>
                <w:color w:val="000000"/>
                <w:sz w:val="20"/>
              </w:rPr>
              <w:t>3</w:t>
            </w:r>
          </w:p>
        </w:tc>
      </w:tr>
      <w:tr>
        <w:trPr/>
        <w:tc>
          <w:tcPr>
            <w:tcW w:w="83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68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balance_sheets">
              <w:r>
                <w:rPr>
                  <w:rStyle w:val="InternetLink"/>
                  <w:rFonts w:ascii="Arial" w:hAnsi="Arial"/>
                  <w:b w:val="false"/>
                  <w:color w:val="0000FF"/>
                  <w:sz w:val="20"/>
                  <w:u w:val="single"/>
                </w:rPr>
                <w:t>Condensed Consolidated Balance Sheets</w:t>
              </w:r>
            </w:hyperlink>
          </w:p>
        </w:tc>
        <w:tc>
          <w:tcPr>
            <w:tcW w:w="67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b w:val="false"/>
                <w:color w:val="000000"/>
                <w:sz w:val="20"/>
              </w:rPr>
            </w:pPr>
            <w:r>
              <w:rPr>
                <w:rFonts w:ascii="Arial" w:hAnsi="Arial"/>
                <w:b w:val="false"/>
                <w:color w:val="000000"/>
                <w:sz w:val="20"/>
              </w:rPr>
              <w:t>3</w:t>
            </w:r>
          </w:p>
        </w:tc>
      </w:tr>
      <w:tr>
        <w:trPr/>
        <w:tc>
          <w:tcPr>
            <w:tcW w:w="83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68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of_operations">
              <w:r>
                <w:rPr>
                  <w:rStyle w:val="InternetLink"/>
                  <w:rFonts w:ascii="Arial" w:hAnsi="Arial"/>
                  <w:b w:val="false"/>
                  <w:color w:val="0000FF"/>
                  <w:sz w:val="20"/>
                  <w:u w:val="single"/>
                </w:rPr>
                <w:t>Condensed Consolidated Statements of Income and Comprehensive Income</w:t>
              </w:r>
            </w:hyperlink>
          </w:p>
        </w:tc>
        <w:tc>
          <w:tcPr>
            <w:tcW w:w="67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b w:val="false"/>
                <w:color w:val="000000"/>
                <w:sz w:val="20"/>
              </w:rPr>
            </w:pPr>
            <w:r>
              <w:rPr>
                <w:rFonts w:ascii="Arial" w:hAnsi="Arial"/>
                <w:b w:val="false"/>
                <w:color w:val="000000"/>
                <w:sz w:val="20"/>
              </w:rPr>
              <w:t>4</w:t>
            </w:r>
          </w:p>
        </w:tc>
      </w:tr>
      <w:tr>
        <w:trPr/>
        <w:tc>
          <w:tcPr>
            <w:tcW w:w="83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68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of_shareholder_equity">
              <w:r>
                <w:rPr>
                  <w:rStyle w:val="InternetLink"/>
                  <w:rFonts w:ascii="Arial" w:hAnsi="Arial"/>
                  <w:b w:val="false"/>
                  <w:color w:val="0000FF"/>
                  <w:sz w:val="20"/>
                  <w:u w:val="single"/>
                </w:rPr>
                <w:t>Condensed Consolidated Statements of Changes in Redeemable Convertible Preferred Stock and Shareholders' Equity</w:t>
              </w:r>
            </w:hyperlink>
          </w:p>
        </w:tc>
        <w:tc>
          <w:tcPr>
            <w:tcW w:w="67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b w:val="false"/>
                <w:color w:val="000000"/>
                <w:sz w:val="20"/>
              </w:rPr>
            </w:pPr>
            <w:r>
              <w:rPr>
                <w:rFonts w:ascii="Arial" w:hAnsi="Arial"/>
                <w:b w:val="false"/>
                <w:color w:val="000000"/>
                <w:sz w:val="20"/>
              </w:rPr>
              <w:t>5</w:t>
            </w:r>
          </w:p>
        </w:tc>
      </w:tr>
      <w:tr>
        <w:trPr/>
        <w:tc>
          <w:tcPr>
            <w:tcW w:w="83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68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of_cash_flows">
              <w:r>
                <w:rPr>
                  <w:rStyle w:val="InternetLink"/>
                  <w:rFonts w:ascii="Arial" w:hAnsi="Arial"/>
                  <w:b w:val="false"/>
                  <w:color w:val="0000FF"/>
                  <w:sz w:val="20"/>
                  <w:u w:val="single"/>
                </w:rPr>
                <w:t>Condensed Consolidated Statements of Cash Flows</w:t>
              </w:r>
            </w:hyperlink>
          </w:p>
        </w:tc>
        <w:tc>
          <w:tcPr>
            <w:tcW w:w="67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b w:val="false"/>
                <w:color w:val="000000"/>
                <w:sz w:val="20"/>
              </w:rPr>
            </w:pPr>
            <w:r>
              <w:rPr>
                <w:rFonts w:ascii="Arial" w:hAnsi="Arial"/>
                <w:b w:val="false"/>
                <w:color w:val="000000"/>
                <w:sz w:val="20"/>
              </w:rPr>
              <w:t>7</w:t>
            </w:r>
          </w:p>
        </w:tc>
      </w:tr>
      <w:tr>
        <w:trPr/>
        <w:tc>
          <w:tcPr>
            <w:tcW w:w="83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68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_1_summary_of_significant">
              <w:r>
                <w:rPr>
                  <w:rStyle w:val="InternetLink"/>
                  <w:rFonts w:ascii="Arial" w:hAnsi="Arial"/>
                  <w:b w:val="false"/>
                  <w:color w:val="0000FF"/>
                  <w:sz w:val="20"/>
                  <w:u w:val="single"/>
                </w:rPr>
                <w:t>Notes to Condensed Consolidated Financial Statements (Unaudited)</w:t>
              </w:r>
            </w:hyperlink>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w:t>
            </w:r>
          </w:p>
        </w:tc>
      </w:tr>
      <w:tr>
        <w:trPr/>
        <w:tc>
          <w:tcPr>
            <w:tcW w:w="83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Item 2.</w:t>
            </w:r>
          </w:p>
        </w:tc>
        <w:tc>
          <w:tcPr>
            <w:tcW w:w="868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da">
              <w:r>
                <w:rPr>
                  <w:rStyle w:val="InternetLink"/>
                  <w:rFonts w:ascii="Arial" w:hAnsi="Arial"/>
                  <w:b w:val="false"/>
                  <w:color w:val="0000FF"/>
                  <w:sz w:val="20"/>
                  <w:u w:val="single"/>
                </w:rPr>
                <w:t>Management’s Discussion and Analysis of Financial Condition and Results of Operations</w:t>
              </w:r>
            </w:hyperlink>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28</w:t>
            </w:r>
          </w:p>
        </w:tc>
      </w:tr>
      <w:tr>
        <w:trPr/>
        <w:tc>
          <w:tcPr>
            <w:tcW w:w="83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Item 3.</w:t>
            </w:r>
          </w:p>
        </w:tc>
        <w:tc>
          <w:tcPr>
            <w:tcW w:w="868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and_qualitative">
              <w:r>
                <w:rPr>
                  <w:rStyle w:val="InternetLink"/>
                  <w:rFonts w:ascii="Arial" w:hAnsi="Arial"/>
                  <w:b w:val="false"/>
                  <w:color w:val="0000FF"/>
                  <w:sz w:val="20"/>
                  <w:u w:val="single"/>
                </w:rPr>
                <w:t>Quantitative and Qualitative Disclosures About Market Risk</w:t>
              </w:r>
            </w:hyperlink>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40</w:t>
            </w:r>
          </w:p>
        </w:tc>
      </w:tr>
      <w:tr>
        <w:trPr/>
        <w:tc>
          <w:tcPr>
            <w:tcW w:w="83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Item 4.</w:t>
            </w:r>
          </w:p>
        </w:tc>
        <w:tc>
          <w:tcPr>
            <w:tcW w:w="868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and_procedures">
              <w:r>
                <w:rPr>
                  <w:rStyle w:val="InternetLink"/>
                  <w:rFonts w:ascii="Arial" w:hAnsi="Arial"/>
                  <w:b w:val="false"/>
                  <w:color w:val="0000FF"/>
                  <w:sz w:val="20"/>
                  <w:u w:val="single"/>
                </w:rPr>
                <w:t>Controls and Procedures</w:t>
              </w:r>
            </w:hyperlink>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41</w:t>
            </w:r>
          </w:p>
        </w:tc>
      </w:tr>
      <w:tr>
        <w:trPr/>
        <w:tc>
          <w:tcPr>
            <w:tcW w:w="83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PART II.</w:t>
            </w:r>
          </w:p>
        </w:tc>
        <w:tc>
          <w:tcPr>
            <w:tcW w:w="868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Arial" w:hAnsi="Arial"/>
                  <w:b w:val="false"/>
                  <w:color w:val="0000FF"/>
                  <w:sz w:val="20"/>
                  <w:u w:val="single"/>
                </w:rPr>
                <w:t>OTHER INFORMATION</w:t>
              </w:r>
            </w:hyperlink>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3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Item 1.</w:t>
            </w:r>
          </w:p>
        </w:tc>
        <w:tc>
          <w:tcPr>
            <w:tcW w:w="868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1">
              <w:r>
                <w:rPr>
                  <w:rStyle w:val="InternetLink"/>
                  <w:rFonts w:ascii="Arial" w:hAnsi="Arial"/>
                  <w:b w:val="false"/>
                  <w:color w:val="0000FF"/>
                  <w:sz w:val="20"/>
                  <w:u w:val="single"/>
                </w:rPr>
                <w:t>Legal Proceedings</w:t>
              </w:r>
            </w:hyperlink>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43</w:t>
            </w:r>
          </w:p>
        </w:tc>
      </w:tr>
      <w:tr>
        <w:trPr/>
        <w:tc>
          <w:tcPr>
            <w:tcW w:w="83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Item 1A.</w:t>
            </w:r>
          </w:p>
        </w:tc>
        <w:tc>
          <w:tcPr>
            <w:tcW w:w="868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1a">
              <w:r>
                <w:rPr>
                  <w:rStyle w:val="InternetLink"/>
                  <w:rFonts w:ascii="Arial" w:hAnsi="Arial"/>
                  <w:b w:val="false"/>
                  <w:color w:val="0000FF"/>
                  <w:sz w:val="20"/>
                  <w:u w:val="single"/>
                </w:rPr>
                <w:t>Risk Factors</w:t>
              </w:r>
            </w:hyperlink>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43</w:t>
            </w:r>
          </w:p>
        </w:tc>
      </w:tr>
      <w:tr>
        <w:trPr/>
        <w:tc>
          <w:tcPr>
            <w:tcW w:w="83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Item 2.</w:t>
            </w:r>
          </w:p>
        </w:tc>
        <w:tc>
          <w:tcPr>
            <w:tcW w:w="868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2">
              <w:r>
                <w:rPr>
                  <w:rStyle w:val="InternetLink"/>
                  <w:rFonts w:ascii="Arial" w:hAnsi="Arial"/>
                  <w:b w:val="false"/>
                  <w:color w:val="0000FF"/>
                  <w:sz w:val="20"/>
                  <w:u w:val="single"/>
                </w:rPr>
                <w:t>Unregistered Sales of Equity Securities and Use of Proceeds</w:t>
              </w:r>
            </w:hyperlink>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43</w:t>
            </w:r>
          </w:p>
        </w:tc>
      </w:tr>
      <w:tr>
        <w:trPr/>
        <w:tc>
          <w:tcPr>
            <w:tcW w:w="83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Item 3.</w:t>
            </w:r>
          </w:p>
        </w:tc>
        <w:tc>
          <w:tcPr>
            <w:tcW w:w="868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3">
              <w:r>
                <w:rPr>
                  <w:rStyle w:val="InternetLink"/>
                  <w:rFonts w:ascii="Arial" w:hAnsi="Arial"/>
                  <w:b w:val="false"/>
                  <w:color w:val="0000FF"/>
                  <w:sz w:val="20"/>
                  <w:u w:val="single"/>
                </w:rPr>
                <w:t>Defaults Upon Senior Securities</w:t>
              </w:r>
            </w:hyperlink>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43</w:t>
            </w:r>
          </w:p>
        </w:tc>
      </w:tr>
      <w:tr>
        <w:trPr/>
        <w:tc>
          <w:tcPr>
            <w:tcW w:w="83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Item 4.</w:t>
            </w:r>
          </w:p>
        </w:tc>
        <w:tc>
          <w:tcPr>
            <w:tcW w:w="868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4">
              <w:r>
                <w:rPr>
                  <w:rStyle w:val="InternetLink"/>
                  <w:rFonts w:ascii="Arial" w:hAnsi="Arial"/>
                  <w:b w:val="false"/>
                  <w:color w:val="0000FF"/>
                  <w:sz w:val="20"/>
                  <w:u w:val="single"/>
                </w:rPr>
                <w:t>Mine Safety Disclosures</w:t>
              </w:r>
            </w:hyperlink>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43</w:t>
            </w:r>
          </w:p>
        </w:tc>
      </w:tr>
      <w:tr>
        <w:trPr/>
        <w:tc>
          <w:tcPr>
            <w:tcW w:w="83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Item 5.</w:t>
            </w:r>
          </w:p>
        </w:tc>
        <w:tc>
          <w:tcPr>
            <w:tcW w:w="868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5">
              <w:r>
                <w:rPr>
                  <w:rStyle w:val="InternetLink"/>
                  <w:rFonts w:ascii="Arial" w:hAnsi="Arial"/>
                  <w:b w:val="false"/>
                  <w:color w:val="0000FF"/>
                  <w:sz w:val="20"/>
                  <w:u w:val="single"/>
                </w:rPr>
                <w:t>Other Information</w:t>
              </w:r>
            </w:hyperlink>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43</w:t>
            </w:r>
          </w:p>
        </w:tc>
      </w:tr>
      <w:tr>
        <w:trPr/>
        <w:tc>
          <w:tcPr>
            <w:tcW w:w="83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Item 6.</w:t>
            </w:r>
          </w:p>
        </w:tc>
        <w:tc>
          <w:tcPr>
            <w:tcW w:w="868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6">
              <w:r>
                <w:rPr>
                  <w:rStyle w:val="InternetLink"/>
                  <w:rFonts w:ascii="Arial" w:hAnsi="Arial"/>
                  <w:b w:val="false"/>
                  <w:color w:val="0000FF"/>
                  <w:sz w:val="20"/>
                  <w:u w:val="single"/>
                </w:rPr>
                <w:t>Exhibits</w:t>
              </w:r>
            </w:hyperlink>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44</w:t>
            </w:r>
          </w:p>
        </w:tc>
      </w:tr>
      <w:tr>
        <w:trPr/>
        <w:tc>
          <w:tcPr>
            <w:tcW w:w="95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Arial" w:hAnsi="Arial"/>
                  <w:b w:val="false"/>
                  <w:color w:val="0000FF"/>
                  <w:sz w:val="20"/>
                  <w:u w:val="single"/>
                </w:rPr>
                <w:t>Signatures</w:t>
              </w:r>
            </w:hyperlink>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46</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bookmarkStart w:id="2" w:name="cautionary_note"/>
      <w:bookmarkEnd w:id="2"/>
      <w:r>
        <w:rPr>
          <w:rFonts w:ascii="Arial" w:hAnsi="Arial"/>
          <w:b/>
          <w:color w:val="000000"/>
          <w:sz w:val="20"/>
        </w:rPr>
        <w:t>CAUTIONARY NOTE REGARDING FORWARD-LOOKING STATEMENTS</w:t>
      </w:r>
    </w:p>
    <w:p>
      <w:pPr>
        <w:pStyle w:val="TextBody"/>
        <w:bidi w:val="0"/>
        <w:spacing w:before="240" w:after="283"/>
        <w:jc w:val="both"/>
        <w:rPr>
          <w:rFonts w:ascii="Arial" w:hAnsi="Arial"/>
          <w:b w:val="false"/>
          <w:color w:val="000000"/>
          <w:sz w:val="20"/>
        </w:rPr>
      </w:pPr>
      <w:r>
        <w:rPr>
          <w:rFonts w:ascii="Arial" w:hAnsi="Arial"/>
          <w:b w:val="false"/>
          <w:color w:val="000000"/>
          <w:sz w:val="20"/>
        </w:rPr>
        <w:t>Certain statements in this Report on Form 10-Q (this "Report") may constitute "forward-looking statements" for purposes of the federal securities laws. These forward-looking statements include, but are not limited to, statements regarding our and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“continue,” “could,” “estimate,” “expect,” “intends,” “may,” “might,” “plan,” “possible,” “potential,” “predict,” “project,” “should,” “will,” “would” and similar expressions may identify forward-looking statements, but the absence of these words does not mean that a statement is not forward</w:t>
        <w:noBreakHyphen/>
        <w:t>looking. Forward-looking statements in this Report may include, for example, statements about:</w:t>
      </w:r>
    </w:p>
    <w:p>
      <w:pPr>
        <w:pStyle w:val="TextBody"/>
        <w:bidi w:val="0"/>
        <w:spacing w:before="240" w:after="283"/>
        <w:jc w:val="both"/>
        <w:rPr>
          <w:color w:val="000000"/>
        </w:rPr>
      </w:pPr>
      <w:r>
        <w:rPr>
          <w:color w:val="000000"/>
        </w:rPr>
        <w:t>•</w:t>
      </w:r>
    </w:p>
    <w:p>
      <w:pPr>
        <w:pStyle w:val="TextBody"/>
        <w:bidi w:val="0"/>
        <w:spacing w:before="240" w:after="283"/>
        <w:jc w:val="both"/>
        <w:rPr>
          <w:rFonts w:ascii="Arial" w:hAnsi="Arial"/>
          <w:b w:val="false"/>
          <w:color w:val="000000"/>
          <w:sz w:val="20"/>
        </w:rPr>
      </w:pPr>
      <w:r>
        <w:rPr>
          <w:rFonts w:ascii="Arial" w:hAnsi="Arial"/>
          <w:b w:val="false"/>
          <w:color w:val="000000"/>
          <w:sz w:val="20"/>
        </w:rPr>
        <w:t>the demand for our products and services, which is influenced by the general level activity in the oil and gas industry;</w:t>
      </w:r>
    </w:p>
    <w:p>
      <w:pPr>
        <w:pStyle w:val="TextBody"/>
        <w:bidi w:val="0"/>
        <w:spacing w:before="240" w:after="283"/>
        <w:jc w:val="both"/>
        <w:rPr>
          <w:color w:val="000000"/>
        </w:rPr>
      </w:pPr>
      <w:r>
        <w:rPr>
          <w:color w:val="000000"/>
        </w:rPr>
        <w:t>•</w:t>
      </w:r>
    </w:p>
    <w:p>
      <w:pPr>
        <w:pStyle w:val="TextBody"/>
        <w:bidi w:val="0"/>
        <w:spacing w:before="240" w:after="283"/>
        <w:jc w:val="both"/>
        <w:rPr>
          <w:rFonts w:ascii="Arial" w:hAnsi="Arial"/>
          <w:b w:val="false"/>
          <w:color w:val="000000"/>
          <w:sz w:val="20"/>
        </w:rPr>
      </w:pPr>
      <w:r>
        <w:rPr>
          <w:rFonts w:ascii="Arial" w:hAnsi="Arial"/>
          <w:b w:val="false"/>
          <w:color w:val="000000"/>
          <w:sz w:val="20"/>
        </w:rPr>
        <w:t>our ability to retain our customers, particularly those that contribute to a large portion of our revenue;</w:t>
      </w:r>
    </w:p>
    <w:p>
      <w:pPr>
        <w:pStyle w:val="TextBody"/>
        <w:bidi w:val="0"/>
        <w:spacing w:before="240" w:after="283"/>
        <w:jc w:val="both"/>
        <w:rPr>
          <w:color w:val="000000"/>
        </w:rPr>
      </w:pPr>
      <w:r>
        <w:rPr>
          <w:color w:val="000000"/>
        </w:rPr>
        <w:t>•</w:t>
      </w:r>
    </w:p>
    <w:p>
      <w:pPr>
        <w:pStyle w:val="TextBody"/>
        <w:bidi w:val="0"/>
        <w:spacing w:before="240" w:after="283"/>
        <w:jc w:val="both"/>
        <w:rPr>
          <w:rFonts w:ascii="Arial" w:hAnsi="Arial"/>
          <w:b w:val="false"/>
          <w:color w:val="000000"/>
          <w:sz w:val="20"/>
        </w:rPr>
      </w:pPr>
      <w:r>
        <w:rPr>
          <w:rFonts w:ascii="Arial" w:hAnsi="Arial"/>
          <w:b w:val="false"/>
          <w:color w:val="000000"/>
          <w:sz w:val="20"/>
        </w:rPr>
        <w:t>our ability to remain the sole North American distributor of the Drill-N-Ream;</w:t>
      </w:r>
    </w:p>
    <w:p>
      <w:pPr>
        <w:pStyle w:val="TextBody"/>
        <w:bidi w:val="0"/>
        <w:spacing w:before="240" w:after="283"/>
        <w:jc w:val="both"/>
        <w:rPr>
          <w:color w:val="000000"/>
        </w:rPr>
      </w:pPr>
      <w:r>
        <w:rPr>
          <w:color w:val="000000"/>
        </w:rPr>
        <w:t>•</w:t>
      </w:r>
    </w:p>
    <w:p>
      <w:pPr>
        <w:pStyle w:val="TextBody"/>
        <w:bidi w:val="0"/>
        <w:spacing w:before="240" w:after="283"/>
        <w:jc w:val="both"/>
        <w:rPr>
          <w:rFonts w:ascii="Arial" w:hAnsi="Arial"/>
          <w:b w:val="false"/>
          <w:color w:val="000000"/>
          <w:sz w:val="20"/>
        </w:rPr>
      </w:pPr>
      <w:r>
        <w:rPr>
          <w:rFonts w:ascii="Arial" w:hAnsi="Arial"/>
          <w:b w:val="false"/>
          <w:color w:val="000000"/>
          <w:sz w:val="20"/>
        </w:rPr>
        <w:t>our ability to employ and retain a sufficient number of skilled and qualified workers, including our key personnel;</w:t>
      </w:r>
    </w:p>
    <w:p>
      <w:pPr>
        <w:pStyle w:val="TextBody"/>
        <w:bidi w:val="0"/>
        <w:spacing w:before="240" w:after="283"/>
        <w:jc w:val="both"/>
        <w:rPr>
          <w:color w:val="000000"/>
        </w:rPr>
      </w:pPr>
      <w:r>
        <w:rPr>
          <w:color w:val="000000"/>
        </w:rPr>
        <w:t>•</w:t>
      </w:r>
    </w:p>
    <w:p>
      <w:pPr>
        <w:pStyle w:val="TextBody"/>
        <w:bidi w:val="0"/>
        <w:spacing w:before="240" w:after="283"/>
        <w:jc w:val="both"/>
        <w:rPr>
          <w:rFonts w:ascii="Arial" w:hAnsi="Arial"/>
          <w:b w:val="false"/>
          <w:color w:val="000000"/>
          <w:sz w:val="20"/>
        </w:rPr>
      </w:pPr>
      <w:r>
        <w:rPr>
          <w:rFonts w:ascii="Arial" w:hAnsi="Arial"/>
          <w:b w:val="false"/>
          <w:color w:val="000000"/>
          <w:sz w:val="20"/>
        </w:rPr>
        <w:t>the impact of our status as an emerging growth company and smaller reporting company;</w:t>
      </w:r>
    </w:p>
    <w:p>
      <w:pPr>
        <w:pStyle w:val="TextBody"/>
        <w:bidi w:val="0"/>
        <w:spacing w:before="240" w:after="283"/>
        <w:jc w:val="both"/>
        <w:rPr>
          <w:color w:val="000000"/>
        </w:rPr>
      </w:pPr>
      <w:r>
        <w:rPr>
          <w:color w:val="000000"/>
        </w:rPr>
        <w:t>•</w:t>
      </w:r>
    </w:p>
    <w:p>
      <w:pPr>
        <w:pStyle w:val="TextBody"/>
        <w:bidi w:val="0"/>
        <w:spacing w:before="240" w:after="283"/>
        <w:jc w:val="both"/>
        <w:rPr>
          <w:rFonts w:ascii="Arial" w:hAnsi="Arial"/>
          <w:b w:val="false"/>
          <w:color w:val="000000"/>
          <w:sz w:val="20"/>
        </w:rPr>
      </w:pPr>
      <w:r>
        <w:rPr>
          <w:rFonts w:ascii="Arial" w:hAnsi="Arial"/>
          <w:b w:val="false"/>
          <w:color w:val="000000"/>
          <w:sz w:val="20"/>
        </w:rPr>
        <w:t>our ability to source tools at reasonable cost;</w:t>
      </w:r>
    </w:p>
    <w:p>
      <w:pPr>
        <w:pStyle w:val="TextBody"/>
        <w:bidi w:val="0"/>
        <w:spacing w:before="240" w:after="283"/>
        <w:jc w:val="both"/>
        <w:rPr>
          <w:color w:val="000000"/>
        </w:rPr>
      </w:pPr>
      <w:r>
        <w:rPr>
          <w:color w:val="000000"/>
        </w:rPr>
        <w:t>•</w:t>
      </w:r>
    </w:p>
    <w:p>
      <w:pPr>
        <w:pStyle w:val="TextBody"/>
        <w:bidi w:val="0"/>
        <w:spacing w:before="240" w:after="283"/>
        <w:jc w:val="both"/>
        <w:rPr>
          <w:rFonts w:ascii="Arial" w:hAnsi="Arial"/>
          <w:b w:val="false"/>
          <w:color w:val="000000"/>
          <w:sz w:val="20"/>
        </w:rPr>
      </w:pPr>
      <w:r>
        <w:rPr>
          <w:rFonts w:ascii="Arial" w:hAnsi="Arial"/>
          <w:b w:val="false"/>
          <w:color w:val="000000"/>
          <w:sz w:val="20"/>
        </w:rPr>
        <w:t>our customers’ ability to obtain required permits or authorizations from applicable governmental agencies and other third parties;</w:t>
      </w:r>
    </w:p>
    <w:p>
      <w:pPr>
        <w:pStyle w:val="TextBody"/>
        <w:bidi w:val="0"/>
        <w:spacing w:before="240" w:after="283"/>
        <w:jc w:val="both"/>
        <w:rPr>
          <w:color w:val="000000"/>
        </w:rPr>
      </w:pPr>
      <w:r>
        <w:rPr>
          <w:color w:val="000000"/>
        </w:rPr>
        <w:t>•</w:t>
      </w:r>
    </w:p>
    <w:p>
      <w:pPr>
        <w:pStyle w:val="TextBody"/>
        <w:bidi w:val="0"/>
        <w:spacing w:before="240" w:after="283"/>
        <w:jc w:val="both"/>
        <w:rPr>
          <w:rFonts w:ascii="Arial" w:hAnsi="Arial"/>
          <w:b w:val="false"/>
          <w:color w:val="000000"/>
          <w:sz w:val="20"/>
        </w:rPr>
      </w:pPr>
      <w:r>
        <w:rPr>
          <w:rFonts w:ascii="Arial" w:hAnsi="Arial"/>
          <w:b w:val="false"/>
          <w:color w:val="000000"/>
          <w:sz w:val="20"/>
        </w:rPr>
        <w:t>our ability to market our services in a competitive industry;</w:t>
      </w:r>
    </w:p>
    <w:p>
      <w:pPr>
        <w:pStyle w:val="TextBody"/>
        <w:bidi w:val="0"/>
        <w:spacing w:before="240" w:after="283"/>
        <w:jc w:val="both"/>
        <w:rPr>
          <w:color w:val="000000"/>
        </w:rPr>
      </w:pPr>
      <w:r>
        <w:rPr>
          <w:color w:val="000000"/>
        </w:rPr>
        <w:t>•</w:t>
      </w:r>
    </w:p>
    <w:p>
      <w:pPr>
        <w:pStyle w:val="TextBody"/>
        <w:bidi w:val="0"/>
        <w:spacing w:before="240" w:after="283"/>
        <w:jc w:val="both"/>
        <w:rPr>
          <w:rFonts w:ascii="Arial" w:hAnsi="Arial"/>
          <w:b w:val="false"/>
          <w:color w:val="000000"/>
          <w:sz w:val="20"/>
        </w:rPr>
      </w:pPr>
      <w:r>
        <w:rPr>
          <w:rFonts w:ascii="Arial" w:hAnsi="Arial"/>
          <w:b w:val="false"/>
          <w:color w:val="000000"/>
          <w:sz w:val="20"/>
        </w:rPr>
        <w:t>our ability to execute, integrate and realize the benefits of acquisitions, and manage the resulting growth of our business;</w:t>
      </w:r>
    </w:p>
    <w:p>
      <w:pPr>
        <w:pStyle w:val="TextBody"/>
        <w:bidi w:val="0"/>
        <w:spacing w:before="240" w:after="283"/>
        <w:jc w:val="both"/>
        <w:rPr>
          <w:color w:val="000000"/>
        </w:rPr>
      </w:pPr>
      <w:r>
        <w:rPr>
          <w:color w:val="000000"/>
        </w:rPr>
        <w:t>•</w:t>
      </w:r>
    </w:p>
    <w:p>
      <w:pPr>
        <w:pStyle w:val="TextBody"/>
        <w:bidi w:val="0"/>
        <w:spacing w:before="240" w:after="283"/>
        <w:jc w:val="both"/>
        <w:rPr>
          <w:rFonts w:ascii="Arial" w:hAnsi="Arial"/>
          <w:b w:val="false"/>
          <w:color w:val="000000"/>
          <w:sz w:val="20"/>
        </w:rPr>
      </w:pPr>
      <w:r>
        <w:rPr>
          <w:rFonts w:ascii="Arial" w:hAnsi="Arial"/>
          <w:b w:val="false"/>
          <w:color w:val="000000"/>
          <w:sz w:val="20"/>
        </w:rPr>
        <w:t>our ability to obtain new technology that may become prevalent in the oilfield services industry;</w:t>
      </w:r>
    </w:p>
    <w:p>
      <w:pPr>
        <w:pStyle w:val="TextBody"/>
        <w:bidi w:val="0"/>
        <w:spacing w:before="240" w:after="283"/>
        <w:jc w:val="both"/>
        <w:rPr>
          <w:color w:val="000000"/>
        </w:rPr>
      </w:pPr>
      <w:r>
        <w:rPr>
          <w:color w:val="000000"/>
        </w:rPr>
        <w:t>•</w:t>
      </w:r>
    </w:p>
    <w:p>
      <w:pPr>
        <w:pStyle w:val="TextBody"/>
        <w:bidi w:val="0"/>
        <w:spacing w:before="240" w:after="283"/>
        <w:jc w:val="both"/>
        <w:rPr>
          <w:rFonts w:ascii="Arial" w:hAnsi="Arial"/>
          <w:b w:val="false"/>
          <w:color w:val="000000"/>
          <w:sz w:val="20"/>
        </w:rPr>
      </w:pPr>
      <w:r>
        <w:rPr>
          <w:rFonts w:ascii="Arial" w:hAnsi="Arial"/>
          <w:b w:val="false"/>
          <w:color w:val="000000"/>
          <w:sz w:val="20"/>
        </w:rPr>
        <w:t>potential liability for claims arising from damage or harm caused by the operation of our tools, or otherwise arising from the dangerous activities that are inherent in the oil and gas industry;</w:t>
      </w:r>
    </w:p>
    <w:p>
      <w:pPr>
        <w:pStyle w:val="TextBody"/>
        <w:bidi w:val="0"/>
        <w:spacing w:before="240" w:after="283"/>
        <w:jc w:val="both"/>
        <w:rPr>
          <w:color w:val="000000"/>
        </w:rPr>
      </w:pPr>
      <w:r>
        <w:rPr>
          <w:color w:val="000000"/>
        </w:rPr>
        <w:t>•</w:t>
      </w:r>
    </w:p>
    <w:p>
      <w:pPr>
        <w:pStyle w:val="TextBody"/>
        <w:bidi w:val="0"/>
        <w:spacing w:before="240" w:after="283"/>
        <w:jc w:val="both"/>
        <w:rPr>
          <w:rFonts w:ascii="Arial" w:hAnsi="Arial"/>
          <w:b w:val="false"/>
          <w:color w:val="000000"/>
          <w:sz w:val="20"/>
        </w:rPr>
      </w:pPr>
      <w:r>
        <w:rPr>
          <w:rFonts w:ascii="Arial" w:hAnsi="Arial"/>
          <w:b w:val="false"/>
          <w:color w:val="000000"/>
          <w:sz w:val="20"/>
        </w:rPr>
        <w:t>the impact of the COVID-19 pandemic;</w:t>
      </w:r>
    </w:p>
    <w:p>
      <w:pPr>
        <w:pStyle w:val="TextBody"/>
        <w:bidi w:val="0"/>
        <w:spacing w:before="240" w:after="283"/>
        <w:jc w:val="both"/>
        <w:rPr>
          <w:color w:val="000000"/>
        </w:rPr>
      </w:pPr>
      <w:r>
        <w:rPr>
          <w:color w:val="000000"/>
        </w:rPr>
        <w:t>•</w:t>
      </w:r>
    </w:p>
    <w:p>
      <w:pPr>
        <w:pStyle w:val="TextBody"/>
        <w:bidi w:val="0"/>
        <w:spacing w:before="240" w:after="283"/>
        <w:jc w:val="both"/>
        <w:rPr>
          <w:rFonts w:ascii="Arial" w:hAnsi="Arial"/>
          <w:b w:val="false"/>
          <w:color w:val="000000"/>
          <w:sz w:val="20"/>
        </w:rPr>
      </w:pPr>
      <w:r>
        <w:rPr>
          <w:rFonts w:ascii="Arial" w:hAnsi="Arial"/>
          <w:b w:val="false"/>
          <w:color w:val="000000"/>
          <w:sz w:val="20"/>
        </w:rPr>
        <w:t>the impact of the ongoing Russia-Ukraine and Israel-Hamas conflicts on the global economy;</w:t>
      </w:r>
    </w:p>
    <w:p>
      <w:pPr>
        <w:pStyle w:val="TextBody"/>
        <w:bidi w:val="0"/>
        <w:spacing w:before="240" w:after="283"/>
        <w:jc w:val="both"/>
        <w:rPr>
          <w:color w:val="000000"/>
        </w:rPr>
      </w:pPr>
      <w:r>
        <w:rPr>
          <w:color w:val="000000"/>
        </w:rPr>
        <w:t>•</w:t>
      </w:r>
    </w:p>
    <w:p>
      <w:pPr>
        <w:pStyle w:val="TextBody"/>
        <w:bidi w:val="0"/>
        <w:spacing w:before="240" w:after="283"/>
        <w:jc w:val="both"/>
        <w:rPr>
          <w:rFonts w:ascii="Arial" w:hAnsi="Arial"/>
          <w:b w:val="false"/>
          <w:color w:val="000000"/>
          <w:sz w:val="20"/>
        </w:rPr>
      </w:pPr>
      <w:r>
        <w:rPr>
          <w:rFonts w:ascii="Arial" w:hAnsi="Arial"/>
          <w:b w:val="false"/>
          <w:color w:val="000000"/>
          <w:sz w:val="20"/>
        </w:rPr>
        <w:t>application of oilfield anti-indemnity limitations enacted by certain states;</w:t>
      </w:r>
    </w:p>
    <w:p>
      <w:pPr>
        <w:pStyle w:val="TextBody"/>
        <w:bidi w:val="0"/>
        <w:spacing w:before="240" w:after="283"/>
        <w:jc w:val="both"/>
        <w:rPr>
          <w:color w:val="000000"/>
        </w:rPr>
      </w:pPr>
      <w:r>
        <w:rPr>
          <w:color w:val="000000"/>
        </w:rPr>
        <w:t>•</w:t>
      </w:r>
    </w:p>
    <w:p>
      <w:pPr>
        <w:pStyle w:val="TextBody"/>
        <w:bidi w:val="0"/>
        <w:spacing w:before="240" w:after="283"/>
        <w:jc w:val="both"/>
        <w:rPr>
          <w:rFonts w:ascii="Arial" w:hAnsi="Arial"/>
          <w:b w:val="false"/>
          <w:color w:val="000000"/>
          <w:sz w:val="20"/>
        </w:rPr>
      </w:pPr>
      <w:r>
        <w:rPr>
          <w:rFonts w:ascii="Arial" w:hAnsi="Arial"/>
          <w:b w:val="false"/>
          <w:color w:val="000000"/>
          <w:sz w:val="20"/>
        </w:rPr>
        <w:t>our ability to obtain additional capital;</w:t>
      </w:r>
    </w:p>
    <w:p>
      <w:pPr>
        <w:pStyle w:val="TextBody"/>
        <w:bidi w:val="0"/>
        <w:spacing w:before="240" w:after="283"/>
        <w:jc w:val="both"/>
        <w:rPr>
          <w:color w:val="000000"/>
        </w:rPr>
      </w:pPr>
      <w:r>
        <w:rPr>
          <w:color w:val="000000"/>
        </w:rPr>
        <w:t>•</w:t>
      </w:r>
    </w:p>
    <w:p>
      <w:pPr>
        <w:pStyle w:val="TextBody"/>
        <w:bidi w:val="0"/>
        <w:spacing w:before="240" w:after="283"/>
        <w:jc w:val="both"/>
        <w:rPr>
          <w:rFonts w:ascii="Arial" w:hAnsi="Arial"/>
          <w:b w:val="false"/>
          <w:color w:val="000000"/>
          <w:sz w:val="20"/>
        </w:rPr>
      </w:pPr>
      <w:r>
        <w:rPr>
          <w:rFonts w:ascii="Arial" w:hAnsi="Arial"/>
          <w:b w:val="false"/>
          <w:color w:val="000000"/>
          <w:sz w:val="20"/>
        </w:rPr>
        <w:t>the impact of restrictive covenants in the Amended and Restated Revolving Credit, Security and Guaranty Agreement among Drilling Tools International, Inc., certain of its subsidiaries, Drilling Tools International Corporation and PNC Bank, National Association, dated as of June 20, 2023 (the “Credit Facility Agreement”);</w:t>
      </w:r>
    </w:p>
    <w:p>
      <w:pPr>
        <w:pStyle w:val="TextBody"/>
        <w:bidi w:val="0"/>
        <w:spacing w:before="240" w:after="283"/>
        <w:jc w:val="both"/>
        <w:rPr>
          <w:color w:val="000000"/>
        </w:rPr>
      </w:pPr>
      <w:r>
        <w:rPr>
          <w:color w:val="000000"/>
        </w:rPr>
        <w:t>•</w:t>
      </w:r>
    </w:p>
    <w:p>
      <w:pPr>
        <w:pStyle w:val="TextBody"/>
        <w:bidi w:val="0"/>
        <w:spacing w:before="240" w:after="283"/>
        <w:jc w:val="both"/>
        <w:rPr>
          <w:rFonts w:ascii="Arial" w:hAnsi="Arial"/>
          <w:b w:val="false"/>
          <w:color w:val="000000"/>
          <w:sz w:val="20"/>
        </w:rPr>
      </w:pPr>
      <w:r>
        <w:rPr>
          <w:rFonts w:ascii="Arial" w:hAnsi="Arial"/>
          <w:b w:val="false"/>
          <w:color w:val="000000"/>
          <w:sz w:val="20"/>
        </w:rPr>
        <w:t>the impact of indebtedness incurred to execute our long-term growth strategy;</w:t>
      </w:r>
    </w:p>
    <w:p>
      <w:pPr>
        <w:pStyle w:val="TextBody"/>
        <w:bidi w:val="0"/>
        <w:spacing w:before="240" w:after="283"/>
        <w:jc w:val="both"/>
        <w:rPr>
          <w:color w:val="000000"/>
        </w:rPr>
      </w:pPr>
      <w:r>
        <w:rPr>
          <w:color w:val="000000"/>
        </w:rPr>
        <w:t>•</w:t>
      </w:r>
    </w:p>
    <w:p>
      <w:pPr>
        <w:pStyle w:val="TextBody"/>
        <w:bidi w:val="0"/>
        <w:spacing w:before="240" w:after="283"/>
        <w:jc w:val="both"/>
        <w:rPr>
          <w:rFonts w:ascii="Arial" w:hAnsi="Arial"/>
          <w:b w:val="false"/>
          <w:color w:val="000000"/>
          <w:sz w:val="20"/>
        </w:rPr>
      </w:pPr>
      <w:r>
        <w:rPr>
          <w:rFonts w:ascii="Arial" w:hAnsi="Arial"/>
          <w:b w:val="false"/>
          <w:color w:val="000000"/>
          <w:sz w:val="20"/>
        </w:rPr>
        <w:t>potential political, regulatory, economic and social disruptions in the countries in which we conduct business, including changes in tax laws or tax rates;</w:t>
      </w:r>
    </w:p>
    <w:p>
      <w:pPr>
        <w:pStyle w:val="TextBody"/>
        <w:bidi w:val="0"/>
        <w:jc w:val="center"/>
        <w:rPr/>
      </w:pPr>
      <w:r>
        <w:rPr/>
        <w:t> </w:t>
      </w:r>
    </w:p>
    <w:p>
      <w:pPr>
        <w:pStyle w:val="TextBody"/>
        <w:bidi w:val="0"/>
        <w:jc w:val="center"/>
        <w:rPr>
          <w:rFonts w:ascii="Arial" w:hAnsi="Arial"/>
          <w:b w:val="false"/>
          <w:color w:val="000000"/>
          <w:sz w:val="20"/>
        </w:rPr>
      </w:pPr>
      <w:r>
        <w:rPr>
          <w:rFonts w:ascii="Arial" w:hAnsi="Arial"/>
          <w:b w:val="false"/>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color w:val="000000"/>
        </w:rPr>
      </w:pPr>
      <w:r>
        <w:rPr>
          <w:color w:val="000000"/>
        </w:rPr>
        <w:t>•</w:t>
      </w:r>
    </w:p>
    <w:p>
      <w:pPr>
        <w:pStyle w:val="TextBody"/>
        <w:bidi w:val="0"/>
        <w:spacing w:before="240" w:after="283"/>
        <w:jc w:val="both"/>
        <w:rPr>
          <w:rFonts w:ascii="Arial" w:hAnsi="Arial"/>
          <w:b w:val="false"/>
          <w:color w:val="000000"/>
          <w:sz w:val="20"/>
        </w:rPr>
      </w:pPr>
      <w:r>
        <w:rPr>
          <w:rFonts w:ascii="Arial" w:hAnsi="Arial"/>
          <w:b w:val="false"/>
          <w:color w:val="000000"/>
          <w:sz w:val="20"/>
        </w:rPr>
        <w:t>our dependence on our information technology systems, in particular Customer Order Management Portal and Support System, for the efficient operation of our business;</w:t>
      </w:r>
    </w:p>
    <w:p>
      <w:pPr>
        <w:pStyle w:val="TextBody"/>
        <w:bidi w:val="0"/>
        <w:spacing w:before="240" w:after="283"/>
        <w:jc w:val="both"/>
        <w:rPr>
          <w:color w:val="000000"/>
        </w:rPr>
      </w:pPr>
      <w:r>
        <w:rPr>
          <w:color w:val="000000"/>
        </w:rPr>
        <w:t>•</w:t>
      </w:r>
    </w:p>
    <w:p>
      <w:pPr>
        <w:pStyle w:val="TextBody"/>
        <w:bidi w:val="0"/>
        <w:spacing w:before="240" w:after="283"/>
        <w:jc w:val="both"/>
        <w:rPr>
          <w:rFonts w:ascii="Arial" w:hAnsi="Arial"/>
          <w:b w:val="false"/>
          <w:color w:val="000000"/>
          <w:sz w:val="20"/>
        </w:rPr>
      </w:pPr>
      <w:r>
        <w:rPr>
          <w:rFonts w:ascii="Arial" w:hAnsi="Arial"/>
          <w:b w:val="false"/>
          <w:color w:val="000000"/>
          <w:sz w:val="20"/>
        </w:rPr>
        <w:t>the impact of a change in relevant accounting principles, enforcement of existing or new regulations, and changes in policies, rules, regulations, and interpretations of accounting and financial reporting requirements;</w:t>
      </w:r>
    </w:p>
    <w:p>
      <w:pPr>
        <w:pStyle w:val="TextBody"/>
        <w:bidi w:val="0"/>
        <w:spacing w:before="240" w:after="283"/>
        <w:jc w:val="both"/>
        <w:rPr>
          <w:color w:val="000000"/>
        </w:rPr>
      </w:pPr>
      <w:r>
        <w:rPr>
          <w:color w:val="000000"/>
        </w:rPr>
        <w:t>•</w:t>
      </w:r>
    </w:p>
    <w:p>
      <w:pPr>
        <w:pStyle w:val="TextBody"/>
        <w:bidi w:val="0"/>
        <w:spacing w:before="240" w:after="283"/>
        <w:jc w:val="both"/>
        <w:rPr>
          <w:rFonts w:ascii="Arial" w:hAnsi="Arial"/>
          <w:b w:val="false"/>
          <w:color w:val="000000"/>
          <w:sz w:val="20"/>
        </w:rPr>
      </w:pPr>
      <w:r>
        <w:rPr>
          <w:rFonts w:ascii="Arial" w:hAnsi="Arial"/>
          <w:b w:val="false"/>
          <w:color w:val="000000"/>
          <w:sz w:val="20"/>
        </w:rPr>
        <w:t>the impact of adverse and unusual weather conditions on our operations;</w:t>
      </w:r>
    </w:p>
    <w:p>
      <w:pPr>
        <w:pStyle w:val="TextBody"/>
        <w:bidi w:val="0"/>
        <w:spacing w:before="240" w:after="283"/>
        <w:jc w:val="both"/>
        <w:rPr>
          <w:color w:val="000000"/>
        </w:rPr>
      </w:pPr>
      <w:r>
        <w:rPr>
          <w:color w:val="000000"/>
        </w:rPr>
        <w:t>•</w:t>
      </w:r>
    </w:p>
    <w:p>
      <w:pPr>
        <w:pStyle w:val="TextBody"/>
        <w:bidi w:val="0"/>
        <w:spacing w:before="240" w:after="283"/>
        <w:jc w:val="both"/>
        <w:rPr>
          <w:rFonts w:ascii="Arial" w:hAnsi="Arial"/>
          <w:b w:val="false"/>
          <w:color w:val="000000"/>
          <w:sz w:val="20"/>
        </w:rPr>
      </w:pPr>
      <w:r>
        <w:rPr>
          <w:rFonts w:ascii="Arial" w:hAnsi="Arial"/>
          <w:b w:val="false"/>
          <w:color w:val="000000"/>
          <w:sz w:val="20"/>
        </w:rPr>
        <w:t>our ability to comply with applicable laws, regulations and rules, including those related to the environment, greenhouse gases and climate change;</w:t>
      </w:r>
    </w:p>
    <w:p>
      <w:pPr>
        <w:pStyle w:val="TextBody"/>
        <w:bidi w:val="0"/>
        <w:spacing w:before="240" w:after="283"/>
        <w:jc w:val="both"/>
        <w:rPr>
          <w:color w:val="000000"/>
        </w:rPr>
      </w:pPr>
      <w:r>
        <w:rPr>
          <w:color w:val="000000"/>
        </w:rPr>
        <w:t>•</w:t>
      </w:r>
    </w:p>
    <w:p>
      <w:pPr>
        <w:pStyle w:val="TextBody"/>
        <w:bidi w:val="0"/>
        <w:spacing w:before="240" w:after="283"/>
        <w:jc w:val="both"/>
        <w:rPr>
          <w:rFonts w:ascii="Arial" w:hAnsi="Arial"/>
          <w:b w:val="false"/>
          <w:color w:val="000000"/>
          <w:sz w:val="20"/>
        </w:rPr>
      </w:pPr>
      <w:r>
        <w:rPr>
          <w:rFonts w:ascii="Arial" w:hAnsi="Arial"/>
          <w:b w:val="false"/>
          <w:color w:val="000000"/>
          <w:sz w:val="20"/>
        </w:rPr>
        <w:t>our ability to protect our intellectual property rights or trade secrets;</w:t>
      </w:r>
    </w:p>
    <w:p>
      <w:pPr>
        <w:pStyle w:val="TextBody"/>
        <w:bidi w:val="0"/>
        <w:spacing w:before="240" w:after="283"/>
        <w:jc w:val="both"/>
        <w:rPr>
          <w:color w:val="000000"/>
        </w:rPr>
      </w:pPr>
      <w:r>
        <w:rPr>
          <w:color w:val="000000"/>
        </w:rPr>
        <w:t>•</w:t>
      </w:r>
    </w:p>
    <w:p>
      <w:pPr>
        <w:pStyle w:val="TextBody"/>
        <w:bidi w:val="0"/>
        <w:spacing w:before="240" w:after="283"/>
        <w:jc w:val="both"/>
        <w:rPr>
          <w:rFonts w:ascii="Arial" w:hAnsi="Arial"/>
          <w:b w:val="false"/>
          <w:color w:val="000000"/>
          <w:sz w:val="20"/>
        </w:rPr>
      </w:pPr>
      <w:r>
        <w:rPr>
          <w:rFonts w:ascii="Arial" w:hAnsi="Arial"/>
          <w:b w:val="false"/>
          <w:color w:val="000000"/>
          <w:sz w:val="20"/>
        </w:rPr>
        <w:t>our ability to maintain an effective system of disclosure controls and internal control over financial reporting;</w:t>
      </w:r>
    </w:p>
    <w:p>
      <w:pPr>
        <w:pStyle w:val="TextBody"/>
        <w:bidi w:val="0"/>
        <w:spacing w:before="240" w:after="283"/>
        <w:jc w:val="both"/>
        <w:rPr>
          <w:color w:val="000000"/>
        </w:rPr>
      </w:pPr>
      <w:r>
        <w:rPr>
          <w:color w:val="000000"/>
        </w:rPr>
        <w:t>•</w:t>
      </w:r>
    </w:p>
    <w:p>
      <w:pPr>
        <w:pStyle w:val="TextBody"/>
        <w:bidi w:val="0"/>
        <w:spacing w:before="240" w:after="283"/>
        <w:jc w:val="both"/>
        <w:rPr>
          <w:rFonts w:ascii="Arial" w:hAnsi="Arial"/>
          <w:b w:val="false"/>
          <w:color w:val="000000"/>
          <w:sz w:val="20"/>
        </w:rPr>
      </w:pPr>
      <w:r>
        <w:rPr>
          <w:rFonts w:ascii="Arial" w:hAnsi="Arial"/>
          <w:b w:val="false"/>
          <w:color w:val="000000"/>
          <w:sz w:val="20"/>
        </w:rPr>
        <w:t>the potential for volatility in the market price of the DTIC Common Stock;</w:t>
      </w:r>
    </w:p>
    <w:p>
      <w:pPr>
        <w:pStyle w:val="TextBody"/>
        <w:bidi w:val="0"/>
        <w:spacing w:before="240" w:after="283"/>
        <w:jc w:val="both"/>
        <w:rPr>
          <w:color w:val="000000"/>
        </w:rPr>
      </w:pPr>
      <w:r>
        <w:rPr>
          <w:color w:val="000000"/>
        </w:rPr>
        <w:t>•</w:t>
      </w:r>
    </w:p>
    <w:p>
      <w:pPr>
        <w:pStyle w:val="TextBody"/>
        <w:bidi w:val="0"/>
        <w:spacing w:before="240" w:after="283"/>
        <w:jc w:val="both"/>
        <w:rPr>
          <w:rFonts w:ascii="Arial" w:hAnsi="Arial"/>
          <w:b w:val="false"/>
          <w:color w:val="000000"/>
          <w:sz w:val="20"/>
        </w:rPr>
      </w:pPr>
      <w:r>
        <w:rPr>
          <w:rFonts w:ascii="Arial" w:hAnsi="Arial"/>
          <w:b w:val="false"/>
          <w:color w:val="000000"/>
          <w:sz w:val="20"/>
        </w:rPr>
        <w:t>the impact of increased legal, accounting, administrative and other costs incurred as a public company, including the impact of possible shareholder litigation;</w:t>
      </w:r>
    </w:p>
    <w:p>
      <w:pPr>
        <w:pStyle w:val="TextBody"/>
        <w:bidi w:val="0"/>
        <w:spacing w:before="240" w:after="283"/>
        <w:jc w:val="both"/>
        <w:rPr>
          <w:color w:val="000000"/>
        </w:rPr>
      </w:pPr>
      <w:r>
        <w:rPr>
          <w:color w:val="000000"/>
        </w:rPr>
        <w:t>•</w:t>
      </w:r>
    </w:p>
    <w:p>
      <w:pPr>
        <w:pStyle w:val="TextBody"/>
        <w:bidi w:val="0"/>
        <w:spacing w:before="240" w:after="283"/>
        <w:jc w:val="both"/>
        <w:rPr>
          <w:rFonts w:ascii="Arial" w:hAnsi="Arial"/>
          <w:b w:val="false"/>
          <w:color w:val="000000"/>
          <w:sz w:val="20"/>
        </w:rPr>
      </w:pPr>
      <w:r>
        <w:rPr>
          <w:rFonts w:ascii="Arial" w:hAnsi="Arial"/>
          <w:b w:val="false"/>
          <w:color w:val="000000"/>
          <w:sz w:val="20"/>
        </w:rPr>
        <w:t>the potential for issuance of additional shares of DTIC Common Stock or other equity securities;</w:t>
      </w:r>
    </w:p>
    <w:p>
      <w:pPr>
        <w:pStyle w:val="TextBody"/>
        <w:bidi w:val="0"/>
        <w:spacing w:before="240" w:after="283"/>
        <w:jc w:val="both"/>
        <w:rPr>
          <w:color w:val="000000"/>
        </w:rPr>
      </w:pPr>
      <w:r>
        <w:rPr>
          <w:color w:val="000000"/>
        </w:rPr>
        <w:t>•</w:t>
      </w:r>
    </w:p>
    <w:p>
      <w:pPr>
        <w:pStyle w:val="TextBody"/>
        <w:bidi w:val="0"/>
        <w:spacing w:before="240" w:after="283"/>
        <w:jc w:val="both"/>
        <w:rPr>
          <w:rFonts w:ascii="Arial" w:hAnsi="Arial"/>
          <w:b w:val="false"/>
          <w:color w:val="000000"/>
          <w:sz w:val="20"/>
        </w:rPr>
      </w:pPr>
      <w:r>
        <w:rPr>
          <w:rFonts w:ascii="Arial" w:hAnsi="Arial"/>
          <w:b w:val="false"/>
          <w:color w:val="000000"/>
          <w:sz w:val="20"/>
        </w:rPr>
        <w:t>our ability to maintain the listing of the DTIC Common Stock on Nasdaq;</w:t>
      </w:r>
    </w:p>
    <w:p>
      <w:pPr>
        <w:pStyle w:val="TextBody"/>
        <w:bidi w:val="0"/>
        <w:spacing w:before="240" w:after="283"/>
        <w:jc w:val="both"/>
        <w:rPr>
          <w:color w:val="000000"/>
        </w:rPr>
      </w:pPr>
      <w:r>
        <w:rPr>
          <w:color w:val="000000"/>
        </w:rPr>
        <w:t>•</w:t>
      </w:r>
    </w:p>
    <w:p>
      <w:pPr>
        <w:pStyle w:val="TextBody"/>
        <w:bidi w:val="0"/>
        <w:spacing w:before="240" w:after="283"/>
        <w:jc w:val="both"/>
        <w:rPr>
          <w:rFonts w:ascii="Arial" w:hAnsi="Arial"/>
          <w:b w:val="false"/>
          <w:color w:val="000000"/>
          <w:sz w:val="20"/>
        </w:rPr>
      </w:pPr>
      <w:r>
        <w:rPr>
          <w:rFonts w:ascii="Arial" w:hAnsi="Arial"/>
          <w:b w:val="false"/>
          <w:color w:val="000000"/>
          <w:sz w:val="20"/>
        </w:rPr>
        <w:t>the impact of industry or securities analysts changing their recommendation, or failing to cover, the DTIC Common Stock;</w:t>
      </w:r>
    </w:p>
    <w:p>
      <w:pPr>
        <w:pStyle w:val="TextBody"/>
        <w:bidi w:val="0"/>
        <w:spacing w:before="240" w:after="283"/>
        <w:jc w:val="both"/>
        <w:rPr>
          <w:color w:val="000000"/>
        </w:rPr>
      </w:pPr>
      <w:r>
        <w:rPr>
          <w:color w:val="000000"/>
        </w:rPr>
        <w:t>•</w:t>
      </w:r>
    </w:p>
    <w:p>
      <w:pPr>
        <w:pStyle w:val="TextBody"/>
        <w:bidi w:val="0"/>
        <w:spacing w:before="240" w:after="283"/>
        <w:jc w:val="both"/>
        <w:rPr>
          <w:rFonts w:ascii="Arial" w:hAnsi="Arial"/>
          <w:b w:val="false"/>
          <w:color w:val="000000"/>
          <w:sz w:val="20"/>
        </w:rPr>
      </w:pPr>
      <w:r>
        <w:rPr>
          <w:rFonts w:ascii="Arial" w:hAnsi="Arial"/>
          <w:b w:val="false"/>
          <w:color w:val="000000"/>
          <w:sz w:val="20"/>
        </w:rPr>
        <w:t xml:space="preserve">the impact of our status as a “controlled company;” and </w:t>
      </w:r>
    </w:p>
    <w:p>
      <w:pPr>
        <w:pStyle w:val="TextBody"/>
        <w:bidi w:val="0"/>
        <w:spacing w:before="240" w:after="283"/>
        <w:jc w:val="both"/>
        <w:rPr>
          <w:color w:val="000000"/>
        </w:rPr>
      </w:pPr>
      <w:r>
        <w:rPr>
          <w:color w:val="000000"/>
        </w:rPr>
        <w:t>•</w:t>
      </w:r>
    </w:p>
    <w:p>
      <w:pPr>
        <w:pStyle w:val="TextBody"/>
        <w:bidi w:val="0"/>
        <w:spacing w:before="240" w:after="283"/>
        <w:jc w:val="both"/>
        <w:rPr/>
      </w:pPr>
      <w:r>
        <w:rPr>
          <w:rFonts w:ascii="Arial" w:hAnsi="Arial"/>
          <w:b w:val="false"/>
          <w:color w:val="000000"/>
          <w:sz w:val="20"/>
        </w:rPr>
        <w:t>other risks and uncertainties described in this Report, including those under Part II, Item 1A. “</w:t>
      </w:r>
      <w:r>
        <w:rPr>
          <w:rFonts w:ascii="Arial" w:hAnsi="Arial"/>
          <w:b w:val="false"/>
          <w:i/>
          <w:color w:val="000000"/>
          <w:sz w:val="20"/>
        </w:rPr>
        <w:t>Risk Factors</w:t>
      </w:r>
      <w:r>
        <w:rPr>
          <w:rFonts w:ascii="Arial" w:hAnsi="Arial"/>
          <w:b w:val="false"/>
          <w:color w:val="000000"/>
          <w:sz w:val="20"/>
        </w:rPr>
        <w:t>.”</w:t>
      </w:r>
    </w:p>
    <w:p>
      <w:pPr>
        <w:pStyle w:val="TextBody"/>
        <w:bidi w:val="0"/>
        <w:spacing w:before="240" w:after="283"/>
        <w:jc w:val="both"/>
        <w:rPr>
          <w:rFonts w:ascii="Times New Roman" w:hAnsi="Times New Roman"/>
          <w:sz w:val="20"/>
        </w:rPr>
      </w:pPr>
      <w:r>
        <w:rPr>
          <w:rFonts w:ascii="Arial" w:hAnsi="Arial"/>
          <w:b w:val="false"/>
          <w:color w:val="000000"/>
          <w:sz w:val="20"/>
        </w:rPr>
        <w:t>The forward-looking statements contained in this Report are based on our current expectations and beliefs concerning future developments and their potential effects on our business. There can be no assurance that future developments affecting our business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in this Report under Part II, Item 1A. “</w:t>
      </w:r>
      <w:r>
        <w:rPr>
          <w:rFonts w:ascii="Arial" w:hAnsi="Arial"/>
          <w:b w:val="false"/>
          <w:i/>
          <w:color w:val="000000"/>
          <w:sz w:val="20"/>
        </w:rPr>
        <w:t>Risk Factors</w:t>
      </w:r>
      <w:r>
        <w:rPr>
          <w:rFonts w:ascii="Arial" w:hAnsi="Arial"/>
          <w:b w:val="false"/>
          <w:color w:val="000000"/>
          <w:sz w:val="20"/>
        </w:rPr>
        <w:t>.” Moreover, we operate in a very competitive and rapidly changing environment. New risks and uncertainties emerge from time to time and it is not possible for us to predict all such risk factors, nor can we assess the effect of all such risk factors on our business or the extent to which any factor or combination of factors may cause actual results to differ materially from those contained in any forward-looking statements. Should one or more of these risks or uncertainties materialize, or should any of the assumptions prove incorrect, actual results may vary in material respects from those projected in these forward-looking statements.</w:t>
      </w:r>
    </w:p>
    <w:p>
      <w:pPr>
        <w:pStyle w:val="TextBody"/>
        <w:bidi w:val="0"/>
        <w:spacing w:before="240" w:after="283"/>
        <w:jc w:val="both"/>
        <w:rPr>
          <w:rFonts w:ascii="Arial" w:hAnsi="Arial"/>
          <w:b w:val="false"/>
          <w:color w:val="000000"/>
          <w:sz w:val="20"/>
        </w:rPr>
      </w:pPr>
      <w:r>
        <w:rPr>
          <w:rFonts w:ascii="Arial" w:hAnsi="Arial"/>
          <w:b w:val="false"/>
          <w:color w:val="000000"/>
          <w:sz w:val="20"/>
        </w:rPr>
        <w:t>The forward-looking statements made by us in this Report speak only as of the date of this Report. Except to the extent required under the federal securities laws and rules and regulations of the SEC, we disclaim any obligation to update any forward-looking statement to reflect events or circumstances after the date on which the statement is made or to reflect the occurrence of unanticipated events. In light of these risks and uncertainties, there is no assurance that the events or results suggested by the forward-looking statements will in fact occur, and you should not place undue reliance on these forward-looking statements.</w:t>
      </w:r>
    </w:p>
    <w:p>
      <w:pPr>
        <w:pStyle w:val="TextBody"/>
        <w:bidi w:val="0"/>
        <w:jc w:val="center"/>
        <w:rPr/>
      </w:pPr>
      <w:r>
        <w:rPr/>
        <w:t> </w:t>
      </w:r>
    </w:p>
    <w:p>
      <w:pPr>
        <w:pStyle w:val="TextBody"/>
        <w:bidi w:val="0"/>
        <w:jc w:val="center"/>
        <w:rPr>
          <w:rFonts w:ascii="Arial" w:hAnsi="Arial"/>
          <w:b w:val="false"/>
          <w:color w:val="000000"/>
          <w:sz w:val="20"/>
        </w:rPr>
      </w:pPr>
      <w:r>
        <w:rPr>
          <w:rFonts w:ascii="Arial" w:hAnsi="Arial"/>
          <w:b w:val="false"/>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bookmarkStart w:id="3" w:name="part_i_financial_information"/>
      <w:bookmarkEnd w:id="3"/>
      <w:r>
        <w:rPr>
          <w:rFonts w:ascii="Arial" w:hAnsi="Arial"/>
          <w:b/>
          <w:color w:val="000000"/>
          <w:sz w:val="20"/>
        </w:rPr>
        <w:t>PART I—FINANCIAL INFORMATION</w:t>
      </w:r>
    </w:p>
    <w:p>
      <w:pPr>
        <w:pStyle w:val="TextBody"/>
        <w:bidi w:val="0"/>
        <w:spacing w:before="240" w:after="283"/>
        <w:jc w:val="left"/>
        <w:rPr>
          <w:rFonts w:ascii="Arial" w:hAnsi="Arial"/>
          <w:b/>
          <w:color w:val="000000"/>
          <w:sz w:val="20"/>
        </w:rPr>
      </w:pPr>
      <w:bookmarkStart w:id="4" w:name="i_item1"/>
      <w:bookmarkEnd w:id="4"/>
      <w:r>
        <w:rPr>
          <w:rFonts w:ascii="Arial" w:hAnsi="Arial"/>
          <w:b/>
          <w:color w:val="000000"/>
          <w:sz w:val="20"/>
        </w:rPr>
        <w:t>Item 1. Financial Statements.</w:t>
      </w:r>
    </w:p>
    <w:p>
      <w:pPr>
        <w:pStyle w:val="TextBody"/>
        <w:bidi w:val="0"/>
        <w:spacing w:before="240" w:after="283"/>
        <w:jc w:val="center"/>
        <w:rPr>
          <w:rFonts w:ascii="Arial" w:hAnsi="Arial"/>
          <w:b/>
          <w:color w:val="000000"/>
          <w:sz w:val="20"/>
        </w:rPr>
      </w:pPr>
      <w:bookmarkStart w:id="5" w:name="consolidated_balance_sheets"/>
      <w:bookmarkEnd w:id="5"/>
      <w:r>
        <w:rPr>
          <w:rFonts w:ascii="Arial" w:hAnsi="Arial"/>
          <w:b/>
          <w:color w:val="000000"/>
          <w:sz w:val="20"/>
        </w:rPr>
        <w:t>CONDENSED CONSOLIDATED BALANCE SHEETS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257"/>
        <w:gridCol w:w="146"/>
        <w:gridCol w:w="252"/>
        <w:gridCol w:w="825"/>
        <w:gridCol w:w="166"/>
        <w:gridCol w:w="146"/>
        <w:gridCol w:w="220"/>
        <w:gridCol w:w="778"/>
        <w:gridCol w:w="415"/>
      </w:tblGrid>
      <w:tr>
        <w:trPr/>
        <w:tc>
          <w:tcPr>
            <w:tcW w:w="72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7257"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1077"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8"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r>
          </w:p>
        </w:tc>
        <w:tc>
          <w:tcPr>
            <w:tcW w:w="415" w:type="dxa"/>
            <w:tcBorders/>
            <w:shd w:fill="FFFFFF" w:val="clear"/>
            <w:vAlign w:val="center"/>
          </w:tcPr>
          <w:p>
            <w:pPr>
              <w:pStyle w:val="TableContents"/>
              <w:bidi w:val="0"/>
              <w:spacing w:before="0" w:after="283"/>
              <w:jc w:val="center"/>
              <w:rPr/>
            </w:pPr>
            <w:r>
              <w:rPr/>
              <w:t> </w:t>
            </w:r>
          </w:p>
        </w:tc>
      </w:tr>
      <w:tr>
        <w:trPr/>
        <w:tc>
          <w:tcPr>
            <w:tcW w:w="7257" w:type="dxa"/>
            <w:tcBorders/>
            <w:shd w:fill="FFFFFF" w:val="clear"/>
            <w:vAlign w:val="center"/>
          </w:tcPr>
          <w:p>
            <w:pPr>
              <w:pStyle w:val="TableContents"/>
              <w:bidi w:val="0"/>
              <w:spacing w:before="0" w:after="283"/>
              <w:jc w:val="left"/>
              <w:rPr>
                <w:rFonts w:ascii="Arial" w:hAnsi="Arial"/>
                <w:b/>
                <w:i/>
                <w:color w:val="000000"/>
                <w:sz w:val="16"/>
              </w:rPr>
            </w:pPr>
            <w:r>
              <w:rPr>
                <w:rFonts w:ascii="Arial" w:hAnsi="Arial"/>
                <w:b/>
                <w:i/>
                <w:color w:val="000000"/>
                <w:sz w:val="16"/>
              </w:rPr>
              <w:t>(In thousands, except share data)</w:t>
            </w:r>
          </w:p>
        </w:tc>
        <w:tc>
          <w:tcPr>
            <w:tcW w:w="146" w:type="dxa"/>
            <w:tcBorders/>
            <w:shd w:fill="FFFFFF" w:val="cle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2022</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5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077"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(Unaudited)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8"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(Audited)</w:t>
            </w:r>
          </w:p>
        </w:tc>
        <w:tc>
          <w:tcPr>
            <w:tcW w:w="415" w:type="dxa"/>
            <w:tcBorders/>
            <w:shd w:fill="FFFFFF" w:val="clear"/>
            <w:vAlign w:val="center"/>
          </w:tcPr>
          <w:p>
            <w:pPr>
              <w:pStyle w:val="TableContents"/>
              <w:bidi w:val="0"/>
              <w:spacing w:before="0" w:after="283"/>
              <w:jc w:val="center"/>
              <w:rPr/>
            </w:pPr>
            <w:r>
              <w:rPr/>
              <w:t> </w:t>
            </w:r>
          </w:p>
        </w:tc>
      </w:tr>
      <w:tr>
        <w:trPr/>
        <w:tc>
          <w:tcPr>
            <w:tcW w:w="7257" w:type="dxa"/>
            <w:tcBorders/>
            <w:shd w:fill="CFF0FC" w:val="clear"/>
            <w:vAlign w:val="center"/>
          </w:tcPr>
          <w:p>
            <w:pPr>
              <w:pStyle w:val="TableContents"/>
              <w:bidi w:val="0"/>
              <w:spacing w:before="0" w:after="283"/>
              <w:jc w:val="left"/>
              <w:rPr>
                <w:rFonts w:ascii="Arial" w:hAnsi="Arial"/>
                <w:b/>
                <w:color w:val="000000"/>
                <w:sz w:val="16"/>
              </w:rPr>
            </w:pPr>
            <w:r>
              <w:rPr>
                <w:rFonts w:ascii="Arial" w:hAnsi="Arial"/>
                <w:b/>
                <w:color w:val="000000"/>
                <w:sz w:val="16"/>
              </w:rPr>
              <w:t>ASSETS</w:t>
            </w:r>
          </w:p>
        </w:tc>
        <w:tc>
          <w:tcPr>
            <w:tcW w:w="146" w:type="dxa"/>
            <w:tcBorders/>
            <w:shd w:fill="CFF0FC" w:val="clear"/>
            <w:vAlign w:val="center"/>
          </w:tcPr>
          <w:p>
            <w:pPr>
              <w:pStyle w:val="TableContents"/>
              <w:bidi w:val="0"/>
              <w:spacing w:before="0" w:after="283"/>
              <w:jc w:val="left"/>
              <w:rPr/>
            </w:pPr>
            <w:r>
              <w:rPr/>
              <w:t> </w:t>
            </w:r>
          </w:p>
        </w:tc>
        <w:tc>
          <w:tcPr>
            <w:tcW w:w="107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8" w:type="dxa"/>
            <w:gridSpan w:val="2"/>
            <w:tcBorders/>
            <w:shd w:fill="CFF0FC" w:val="clear"/>
            <w:vAlign w:val="center"/>
          </w:tcPr>
          <w:p>
            <w:pPr>
              <w:pStyle w:val="TableContents"/>
              <w:bidi w:val="0"/>
              <w:spacing w:before="0" w:after="283"/>
              <w:jc w:val="right"/>
              <w:rPr/>
            </w:pPr>
            <w:r>
              <w:rPr/>
              <w:t> </w:t>
            </w:r>
          </w:p>
        </w:tc>
        <w:tc>
          <w:tcPr>
            <w:tcW w:w="415" w:type="dxa"/>
            <w:tcBorders/>
            <w:shd w:fill="CFF0FC" w:val="clear"/>
            <w:vAlign w:val="center"/>
          </w:tcPr>
          <w:p>
            <w:pPr>
              <w:pStyle w:val="TableContents"/>
              <w:bidi w:val="0"/>
              <w:spacing w:before="0" w:after="283"/>
              <w:jc w:val="right"/>
              <w:rPr/>
            </w:pPr>
            <w:r>
              <w:rPr/>
              <w:t> </w:t>
            </w:r>
          </w:p>
        </w:tc>
      </w:tr>
      <w:tr>
        <w:trPr/>
        <w:tc>
          <w:tcPr>
            <w:tcW w:w="7257" w:type="dxa"/>
            <w:tcBorders/>
            <w:shd w:fill="FFFFFF" w:val="clear"/>
            <w:vAlign w:val="center"/>
          </w:tcPr>
          <w:p>
            <w:pPr>
              <w:pStyle w:val="TableContents"/>
              <w:bidi w:val="0"/>
              <w:spacing w:before="0" w:after="283"/>
              <w:jc w:val="left"/>
              <w:rPr>
                <w:rFonts w:ascii="Arial" w:hAnsi="Arial"/>
                <w:b/>
                <w:color w:val="000000"/>
                <w:sz w:val="16"/>
              </w:rPr>
            </w:pPr>
            <w:r>
              <w:rPr>
                <w:rFonts w:ascii="Arial" w:hAnsi="Arial"/>
                <w:b/>
                <w:color w:val="000000"/>
                <w:sz w:val="16"/>
              </w:rPr>
              <w:t>Current assets</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8" w:type="dxa"/>
            <w:gridSpan w:val="2"/>
            <w:tcBorders/>
            <w:shd w:fill="FFFFFF" w:val="clear"/>
            <w:vAlign w:val="center"/>
          </w:tcPr>
          <w:p>
            <w:pPr>
              <w:pStyle w:val="TableContents"/>
              <w:bidi w:val="0"/>
              <w:spacing w:before="0" w:after="283"/>
              <w:jc w:val="right"/>
              <w:rPr/>
            </w:pPr>
            <w:r>
              <w:rPr/>
              <w:t> </w:t>
            </w:r>
          </w:p>
        </w:tc>
        <w:tc>
          <w:tcPr>
            <w:tcW w:w="415" w:type="dxa"/>
            <w:tcBorders/>
            <w:shd w:fill="FFFFFF" w:val="clear"/>
            <w:vAlign w:val="center"/>
          </w:tcPr>
          <w:p>
            <w:pPr>
              <w:pStyle w:val="TableContents"/>
              <w:bidi w:val="0"/>
              <w:spacing w:before="0" w:after="283"/>
              <w:ind w:left="0" w:right="0" w:firstLine="200"/>
              <w:jc w:val="right"/>
              <w:rPr/>
            </w:pPr>
            <w:r>
              <w:rPr/>
              <w:t> </w:t>
            </w:r>
          </w:p>
        </w:tc>
      </w:tr>
      <w:tr>
        <w:trPr/>
        <w:tc>
          <w:tcPr>
            <w:tcW w:w="7257" w:type="dxa"/>
            <w:tcBorders/>
            <w:shd w:fill="CFF0FC" w:val="clear"/>
            <w:vAlign w:val="center"/>
          </w:tcPr>
          <w:p>
            <w:pPr>
              <w:pStyle w:val="TableContents"/>
              <w:bidi w:val="0"/>
              <w:spacing w:before="0" w:after="283"/>
              <w:ind w:left="200" w:right="0" w:firstLine="200"/>
              <w:jc w:val="left"/>
              <w:rPr>
                <w:rFonts w:ascii="Arial" w:hAnsi="Arial"/>
                <w:b w:val="false"/>
                <w:color w:val="000000"/>
                <w:sz w:val="16"/>
              </w:rPr>
            </w:pPr>
            <w:r>
              <w:rPr>
                <w:rFonts w:ascii="Arial" w:hAnsi="Arial"/>
                <w:b w:val="false"/>
                <w:color w:val="000000"/>
                <w:sz w:val="16"/>
              </w:rPr>
              <w:t>Cash</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825" w:type="dxa"/>
            <w:tcBorders/>
            <w:shd w:fill="CFF0FC"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3,989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778" w:type="dxa"/>
            <w:tcBorders/>
            <w:shd w:fill="CFF0FC"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2,352</w:t>
            </w:r>
          </w:p>
        </w:tc>
        <w:tc>
          <w:tcPr>
            <w:tcW w:w="415" w:type="dxa"/>
            <w:tcBorders/>
            <w:shd w:fill="CFF0FC" w:val="clear"/>
            <w:vAlign w:val="center"/>
          </w:tcPr>
          <w:p>
            <w:pPr>
              <w:pStyle w:val="TableContents"/>
              <w:bidi w:val="0"/>
              <w:spacing w:before="0" w:after="283"/>
              <w:ind w:left="0" w:right="0" w:firstLine="200"/>
              <w:jc w:val="left"/>
              <w:rPr/>
            </w:pPr>
            <w:r>
              <w:rPr/>
              <w:t> </w:t>
            </w:r>
          </w:p>
        </w:tc>
      </w:tr>
      <w:tr>
        <w:trPr/>
        <w:tc>
          <w:tcPr>
            <w:tcW w:w="7257" w:type="dxa"/>
            <w:tcBorders/>
            <w:shd w:fill="FFFFFF" w:val="clear"/>
            <w:vAlign w:val="center"/>
          </w:tcPr>
          <w:p>
            <w:pPr>
              <w:pStyle w:val="TableContents"/>
              <w:bidi w:val="0"/>
              <w:spacing w:before="0" w:after="283"/>
              <w:ind w:left="200" w:right="0" w:firstLine="200"/>
              <w:jc w:val="left"/>
              <w:rPr>
                <w:rFonts w:ascii="Arial" w:hAnsi="Arial"/>
                <w:b w:val="false"/>
                <w:color w:val="000000"/>
                <w:sz w:val="16"/>
              </w:rPr>
            </w:pPr>
            <w:r>
              <w:rPr>
                <w:rFonts w:ascii="Arial" w:hAnsi="Arial"/>
                <w:b w:val="false"/>
                <w:color w:val="000000"/>
                <w:sz w:val="16"/>
              </w:rPr>
              <w:t>Accounts receivable, net</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29,073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28,998</w:t>
            </w:r>
          </w:p>
        </w:tc>
        <w:tc>
          <w:tcPr>
            <w:tcW w:w="415" w:type="dxa"/>
            <w:tcBorders/>
            <w:shd w:fill="FFFFFF" w:val="clear"/>
            <w:vAlign w:val="center"/>
          </w:tcPr>
          <w:p>
            <w:pPr>
              <w:pStyle w:val="TableContents"/>
              <w:bidi w:val="0"/>
              <w:spacing w:before="0" w:after="283"/>
              <w:ind w:left="0" w:right="0" w:firstLine="200"/>
              <w:jc w:val="left"/>
              <w:rPr/>
            </w:pPr>
            <w:r>
              <w:rPr/>
              <w:t> </w:t>
            </w:r>
          </w:p>
        </w:tc>
      </w:tr>
      <w:tr>
        <w:trPr/>
        <w:tc>
          <w:tcPr>
            <w:tcW w:w="7257" w:type="dxa"/>
            <w:tcBorders/>
            <w:shd w:fill="CFF0FC" w:val="clear"/>
            <w:vAlign w:val="center"/>
          </w:tcPr>
          <w:p>
            <w:pPr>
              <w:pStyle w:val="TableContents"/>
              <w:bidi w:val="0"/>
              <w:spacing w:before="0" w:after="283"/>
              <w:ind w:left="200" w:right="0" w:firstLine="200"/>
              <w:jc w:val="left"/>
              <w:rPr>
                <w:rFonts w:ascii="Arial" w:hAnsi="Arial"/>
                <w:b w:val="false"/>
                <w:color w:val="000000"/>
                <w:sz w:val="16"/>
              </w:rPr>
            </w:pPr>
            <w:r>
              <w:rPr>
                <w:rFonts w:ascii="Arial" w:hAnsi="Arial"/>
                <w:b w:val="false"/>
                <w:color w:val="000000"/>
                <w:sz w:val="16"/>
              </w:rPr>
              <w:t>Inventories, net</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825" w:type="dxa"/>
            <w:tcBorders/>
            <w:shd w:fill="CFF0FC"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6,586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778" w:type="dxa"/>
            <w:tcBorders/>
            <w:shd w:fill="CFF0FC"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3,281</w:t>
            </w:r>
          </w:p>
        </w:tc>
        <w:tc>
          <w:tcPr>
            <w:tcW w:w="415" w:type="dxa"/>
            <w:tcBorders/>
            <w:shd w:fill="CFF0FC" w:val="clear"/>
            <w:vAlign w:val="center"/>
          </w:tcPr>
          <w:p>
            <w:pPr>
              <w:pStyle w:val="TableContents"/>
              <w:bidi w:val="0"/>
              <w:spacing w:before="0" w:after="283"/>
              <w:ind w:left="0" w:right="0" w:firstLine="200"/>
              <w:jc w:val="left"/>
              <w:rPr/>
            </w:pPr>
            <w:r>
              <w:rPr/>
              <w:t> </w:t>
            </w:r>
          </w:p>
        </w:tc>
      </w:tr>
      <w:tr>
        <w:trPr/>
        <w:tc>
          <w:tcPr>
            <w:tcW w:w="7257" w:type="dxa"/>
            <w:tcBorders/>
            <w:shd w:fill="FFFFFF" w:val="clear"/>
            <w:vAlign w:val="center"/>
          </w:tcPr>
          <w:p>
            <w:pPr>
              <w:pStyle w:val="TableContents"/>
              <w:bidi w:val="0"/>
              <w:spacing w:before="0" w:after="283"/>
              <w:ind w:left="200" w:right="0" w:firstLine="200"/>
              <w:jc w:val="left"/>
              <w:rPr>
                <w:rFonts w:ascii="Arial" w:hAnsi="Arial"/>
                <w:b w:val="false"/>
                <w:color w:val="000000"/>
                <w:sz w:val="16"/>
              </w:rPr>
            </w:pPr>
            <w:r>
              <w:rPr>
                <w:rFonts w:ascii="Arial" w:hAnsi="Arial"/>
                <w:b w:val="false"/>
                <w:color w:val="000000"/>
                <w:sz w:val="16"/>
              </w:rPr>
              <w:t>Prepaid expenses and other current assets</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4,976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4,381</w:t>
            </w:r>
          </w:p>
        </w:tc>
        <w:tc>
          <w:tcPr>
            <w:tcW w:w="415" w:type="dxa"/>
            <w:tcBorders/>
            <w:shd w:fill="FFFFFF" w:val="clear"/>
            <w:vAlign w:val="center"/>
          </w:tcPr>
          <w:p>
            <w:pPr>
              <w:pStyle w:val="TableContents"/>
              <w:bidi w:val="0"/>
              <w:spacing w:before="0" w:after="283"/>
              <w:ind w:left="0" w:right="0" w:firstLine="200"/>
              <w:jc w:val="left"/>
              <w:rPr/>
            </w:pPr>
            <w:r>
              <w:rPr/>
              <w:t> </w:t>
            </w:r>
          </w:p>
        </w:tc>
      </w:tr>
      <w:tr>
        <w:trPr/>
        <w:tc>
          <w:tcPr>
            <w:tcW w:w="7257" w:type="dxa"/>
            <w:tcBorders/>
            <w:shd w:fill="CFF0FC" w:val="clear"/>
            <w:vAlign w:val="center"/>
          </w:tcPr>
          <w:p>
            <w:pPr>
              <w:pStyle w:val="TableContents"/>
              <w:bidi w:val="0"/>
              <w:spacing w:before="0" w:after="283"/>
              <w:ind w:left="200" w:right="0" w:firstLine="200"/>
              <w:jc w:val="left"/>
              <w:rPr>
                <w:rFonts w:ascii="Arial" w:hAnsi="Arial"/>
                <w:b w:val="false"/>
                <w:color w:val="000000"/>
                <w:sz w:val="16"/>
              </w:rPr>
            </w:pPr>
            <w:r>
              <w:rPr>
                <w:rFonts w:ascii="Arial" w:hAnsi="Arial"/>
                <w:b w:val="false"/>
                <w:color w:val="000000"/>
                <w:sz w:val="16"/>
              </w:rPr>
              <w:t>Investments - equity securities, at fair value</w:t>
            </w:r>
          </w:p>
        </w:tc>
        <w:tc>
          <w:tcPr>
            <w:tcW w:w="146" w:type="dxa"/>
            <w:tcBorders/>
            <w:shd w:fill="CFF0FC" w:val="cle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995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1,143</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57" w:type="dxa"/>
            <w:tcBorders/>
            <w:shd w:fill="FFFFFF" w:val="clear"/>
            <w:vAlign w:val="center"/>
          </w:tcPr>
          <w:p>
            <w:pPr>
              <w:pStyle w:val="TableContents"/>
              <w:bidi w:val="0"/>
              <w:spacing w:before="0" w:after="283"/>
              <w:jc w:val="left"/>
              <w:rPr>
                <w:rFonts w:ascii="Arial" w:hAnsi="Arial"/>
                <w:b/>
                <w:color w:val="000000"/>
                <w:sz w:val="16"/>
              </w:rPr>
            </w:pPr>
            <w:r>
              <w:rPr>
                <w:rFonts w:ascii="Arial" w:hAnsi="Arial"/>
                <w:b/>
                <w:color w:val="000000"/>
                <w:sz w:val="16"/>
              </w:rPr>
              <w:t>Total current assets</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45,619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40,155</w:t>
            </w:r>
          </w:p>
        </w:tc>
        <w:tc>
          <w:tcPr>
            <w:tcW w:w="415" w:type="dxa"/>
            <w:tcBorders/>
            <w:shd w:fill="FFFFFF" w:val="clear"/>
            <w:vAlign w:val="center"/>
          </w:tcPr>
          <w:p>
            <w:pPr>
              <w:pStyle w:val="TableContents"/>
              <w:bidi w:val="0"/>
              <w:spacing w:before="0" w:after="283"/>
              <w:ind w:left="0" w:right="0" w:firstLine="200"/>
              <w:jc w:val="left"/>
              <w:rPr/>
            </w:pPr>
            <w:r>
              <w:rPr/>
              <w:t> </w:t>
            </w:r>
          </w:p>
        </w:tc>
      </w:tr>
      <w:tr>
        <w:trPr/>
        <w:tc>
          <w:tcPr>
            <w:tcW w:w="7257" w:type="dxa"/>
            <w:tcBorders/>
            <w:shd w:fill="CFF0FC" w:val="clear"/>
            <w:vAlign w:val="center"/>
          </w:tcPr>
          <w:p>
            <w:pPr>
              <w:pStyle w:val="TableContents"/>
              <w:bidi w:val="0"/>
              <w:spacing w:before="0" w:after="283"/>
              <w:ind w:left="200" w:right="0" w:firstLine="200"/>
              <w:jc w:val="left"/>
              <w:rPr>
                <w:rFonts w:ascii="Arial" w:hAnsi="Arial"/>
                <w:b w:val="false"/>
                <w:color w:val="000000"/>
                <w:sz w:val="16"/>
              </w:rPr>
            </w:pPr>
            <w:r>
              <w:rPr>
                <w:rFonts w:ascii="Arial" w:hAnsi="Arial"/>
                <w:b w:val="false"/>
                <w:color w:val="000000"/>
                <w:sz w:val="16"/>
              </w:rPr>
              <w:t>Property, plant and equipment, net</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825" w:type="dxa"/>
            <w:tcBorders/>
            <w:shd w:fill="CFF0FC"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64,569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778" w:type="dxa"/>
            <w:tcBorders/>
            <w:shd w:fill="CFF0FC"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44,154</w:t>
            </w:r>
          </w:p>
        </w:tc>
        <w:tc>
          <w:tcPr>
            <w:tcW w:w="415" w:type="dxa"/>
            <w:tcBorders/>
            <w:shd w:fill="CFF0FC" w:val="clear"/>
            <w:vAlign w:val="center"/>
          </w:tcPr>
          <w:p>
            <w:pPr>
              <w:pStyle w:val="TableContents"/>
              <w:bidi w:val="0"/>
              <w:spacing w:before="0" w:after="283"/>
              <w:ind w:left="0" w:right="0" w:firstLine="200"/>
              <w:jc w:val="left"/>
              <w:rPr/>
            </w:pPr>
            <w:r>
              <w:rPr/>
              <w:t> </w:t>
            </w:r>
          </w:p>
        </w:tc>
      </w:tr>
      <w:tr>
        <w:trPr/>
        <w:tc>
          <w:tcPr>
            <w:tcW w:w="7257" w:type="dxa"/>
            <w:tcBorders/>
            <w:shd w:fill="FFFFFF" w:val="clear"/>
            <w:vAlign w:val="center"/>
          </w:tcPr>
          <w:p>
            <w:pPr>
              <w:pStyle w:val="TableContents"/>
              <w:bidi w:val="0"/>
              <w:spacing w:before="0" w:after="283"/>
              <w:ind w:left="200" w:right="0" w:firstLine="200"/>
              <w:jc w:val="left"/>
              <w:rPr>
                <w:rFonts w:ascii="Arial" w:hAnsi="Arial"/>
                <w:b w:val="false"/>
                <w:color w:val="000000"/>
                <w:sz w:val="16"/>
              </w:rPr>
            </w:pPr>
            <w:r>
              <w:rPr>
                <w:rFonts w:ascii="Arial" w:hAnsi="Arial"/>
                <w:b w:val="false"/>
                <w:color w:val="000000"/>
                <w:sz w:val="16"/>
              </w:rPr>
              <w:t>Operating lease right-of-use asset</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19,621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20,037</w:t>
            </w:r>
          </w:p>
        </w:tc>
        <w:tc>
          <w:tcPr>
            <w:tcW w:w="415" w:type="dxa"/>
            <w:tcBorders/>
            <w:shd w:fill="FFFFFF" w:val="clear"/>
            <w:vAlign w:val="center"/>
          </w:tcPr>
          <w:p>
            <w:pPr>
              <w:pStyle w:val="TableContents"/>
              <w:bidi w:val="0"/>
              <w:spacing w:before="0" w:after="283"/>
              <w:ind w:left="0" w:right="0" w:firstLine="200"/>
              <w:jc w:val="left"/>
              <w:rPr/>
            </w:pPr>
            <w:r>
              <w:rPr/>
              <w:t> </w:t>
            </w:r>
          </w:p>
        </w:tc>
      </w:tr>
      <w:tr>
        <w:trPr/>
        <w:tc>
          <w:tcPr>
            <w:tcW w:w="7257" w:type="dxa"/>
            <w:tcBorders/>
            <w:shd w:fill="CFF0FC" w:val="clear"/>
            <w:vAlign w:val="center"/>
          </w:tcPr>
          <w:p>
            <w:pPr>
              <w:pStyle w:val="TableContents"/>
              <w:bidi w:val="0"/>
              <w:spacing w:before="0" w:after="283"/>
              <w:ind w:left="200" w:right="0" w:firstLine="200"/>
              <w:jc w:val="left"/>
              <w:rPr>
                <w:rFonts w:ascii="Arial" w:hAnsi="Arial"/>
                <w:b w:val="false"/>
                <w:color w:val="000000"/>
                <w:sz w:val="16"/>
              </w:rPr>
            </w:pPr>
            <w:r>
              <w:rPr>
                <w:rFonts w:ascii="Arial" w:hAnsi="Arial"/>
                <w:b w:val="false"/>
                <w:color w:val="000000"/>
                <w:sz w:val="16"/>
              </w:rPr>
              <w:t>Intangible assets, net</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825" w:type="dxa"/>
            <w:tcBorders/>
            <w:shd w:fill="CFF0FC"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228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778" w:type="dxa"/>
            <w:tcBorders/>
            <w:shd w:fill="CFF0FC"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263</w:t>
            </w:r>
          </w:p>
        </w:tc>
        <w:tc>
          <w:tcPr>
            <w:tcW w:w="415" w:type="dxa"/>
            <w:tcBorders/>
            <w:shd w:fill="CFF0FC" w:val="clear"/>
            <w:vAlign w:val="center"/>
          </w:tcPr>
          <w:p>
            <w:pPr>
              <w:pStyle w:val="TableContents"/>
              <w:bidi w:val="0"/>
              <w:spacing w:before="0" w:after="283"/>
              <w:ind w:left="0" w:right="0" w:firstLine="200"/>
              <w:jc w:val="left"/>
              <w:rPr/>
            </w:pPr>
            <w:r>
              <w:rPr/>
              <w:t> </w:t>
            </w:r>
          </w:p>
        </w:tc>
      </w:tr>
      <w:tr>
        <w:trPr/>
        <w:tc>
          <w:tcPr>
            <w:tcW w:w="7257" w:type="dxa"/>
            <w:tcBorders/>
            <w:shd w:fill="FFFFFF" w:val="clear"/>
            <w:vAlign w:val="center"/>
          </w:tcPr>
          <w:p>
            <w:pPr>
              <w:pStyle w:val="TableContents"/>
              <w:bidi w:val="0"/>
              <w:spacing w:before="0" w:after="283"/>
              <w:ind w:left="200" w:right="0" w:firstLine="200"/>
              <w:jc w:val="left"/>
              <w:rPr>
                <w:rFonts w:ascii="Arial" w:hAnsi="Arial"/>
                <w:b w:val="false"/>
                <w:color w:val="000000"/>
                <w:sz w:val="16"/>
              </w:rPr>
            </w:pPr>
            <w:r>
              <w:rPr>
                <w:rFonts w:ascii="Arial" w:hAnsi="Arial"/>
                <w:b w:val="false"/>
                <w:color w:val="000000"/>
                <w:sz w:val="16"/>
              </w:rPr>
              <w:t>Deferred financing costs, net</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460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226</w:t>
            </w:r>
          </w:p>
        </w:tc>
        <w:tc>
          <w:tcPr>
            <w:tcW w:w="415" w:type="dxa"/>
            <w:tcBorders/>
            <w:shd w:fill="FFFFFF" w:val="clear"/>
            <w:vAlign w:val="center"/>
          </w:tcPr>
          <w:p>
            <w:pPr>
              <w:pStyle w:val="TableContents"/>
              <w:bidi w:val="0"/>
              <w:spacing w:before="0" w:after="283"/>
              <w:ind w:left="0" w:right="0" w:firstLine="200"/>
              <w:jc w:val="left"/>
              <w:rPr/>
            </w:pPr>
            <w:r>
              <w:rPr/>
              <w:t> </w:t>
            </w:r>
          </w:p>
        </w:tc>
      </w:tr>
      <w:tr>
        <w:trPr/>
        <w:tc>
          <w:tcPr>
            <w:tcW w:w="7257" w:type="dxa"/>
            <w:tcBorders/>
            <w:shd w:fill="CFF0FC" w:val="clear"/>
            <w:vAlign w:val="center"/>
          </w:tcPr>
          <w:p>
            <w:pPr>
              <w:pStyle w:val="TableContents"/>
              <w:bidi w:val="0"/>
              <w:spacing w:before="0" w:after="283"/>
              <w:ind w:left="200" w:right="0" w:firstLine="200"/>
              <w:jc w:val="left"/>
              <w:rPr>
                <w:rFonts w:ascii="Arial" w:hAnsi="Arial"/>
                <w:b w:val="false"/>
                <w:color w:val="000000"/>
                <w:sz w:val="16"/>
              </w:rPr>
            </w:pPr>
            <w:r>
              <w:rPr>
                <w:rFonts w:ascii="Arial" w:hAnsi="Arial"/>
                <w:b w:val="false"/>
                <w:color w:val="000000"/>
                <w:sz w:val="16"/>
              </w:rPr>
              <w:t>Deposits and other long-term assets</w:t>
            </w:r>
          </w:p>
        </w:tc>
        <w:tc>
          <w:tcPr>
            <w:tcW w:w="146" w:type="dxa"/>
            <w:tcBorders/>
            <w:shd w:fill="CFF0FC" w:val="cle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939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383</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57" w:type="dxa"/>
            <w:tcBorders/>
            <w:shd w:fill="FFFFFF" w:val="clear"/>
            <w:vAlign w:val="center"/>
          </w:tcPr>
          <w:p>
            <w:pPr>
              <w:pStyle w:val="TableContents"/>
              <w:bidi w:val="0"/>
              <w:spacing w:before="0" w:after="283"/>
              <w:jc w:val="left"/>
              <w:rPr>
                <w:rFonts w:ascii="Arial" w:hAnsi="Arial"/>
                <w:b/>
                <w:color w:val="000000"/>
                <w:sz w:val="16"/>
              </w:rPr>
            </w:pPr>
            <w:r>
              <w:rPr>
                <w:rFonts w:ascii="Arial" w:hAnsi="Arial"/>
                <w:b/>
                <w:color w:val="000000"/>
                <w:sz w:val="16"/>
              </w:rPr>
              <w:t>Total assets</w:t>
            </w:r>
          </w:p>
        </w:tc>
        <w:tc>
          <w:tcPr>
            <w:tcW w:w="146" w:type="dxa"/>
            <w:tcBorders/>
            <w:shd w:fill="FFFFFF" w:val="cle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8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131,436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7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105,218</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57" w:type="dxa"/>
            <w:tcBorders/>
            <w:shd w:fill="CFF0FC" w:val="clear"/>
            <w:vAlign w:val="center"/>
          </w:tcPr>
          <w:p>
            <w:pPr>
              <w:pStyle w:val="TableContents"/>
              <w:bidi w:val="0"/>
              <w:spacing w:before="0" w:after="283"/>
              <w:jc w:val="left"/>
              <w:rPr>
                <w:rFonts w:ascii="Arial" w:hAnsi="Arial"/>
                <w:b/>
                <w:color w:val="000000"/>
                <w:sz w:val="16"/>
              </w:rPr>
            </w:pPr>
            <w:r>
              <w:rPr>
                <w:rFonts w:ascii="Arial" w:hAnsi="Arial"/>
                <w:b/>
                <w:color w:val="000000"/>
                <w:sz w:val="16"/>
              </w:rPr>
              <w:t>LIABILITIES, REDEEMABLE CONVERTIBLE PREFERRED STOCK AND</w:t>
              <w:br/>
              <w:t>   SHAREHOLDERS' EQUITY</w:t>
            </w:r>
          </w:p>
        </w:tc>
        <w:tc>
          <w:tcPr>
            <w:tcW w:w="146" w:type="dxa"/>
            <w:tcBorders/>
            <w:shd w:fill="CFF0FC" w:val="clear"/>
            <w:vAlign w:val="center"/>
          </w:tcPr>
          <w:p>
            <w:pPr>
              <w:pStyle w:val="TableContents"/>
              <w:bidi w:val="0"/>
              <w:spacing w:before="0" w:after="283"/>
              <w:jc w:val="left"/>
              <w:rPr/>
            </w:pPr>
            <w:r>
              <w:rPr/>
              <w:t> </w:t>
            </w:r>
          </w:p>
        </w:tc>
        <w:tc>
          <w:tcPr>
            <w:tcW w:w="107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8" w:type="dxa"/>
            <w:gridSpan w:val="2"/>
            <w:tcBorders/>
            <w:shd w:fill="CFF0FC" w:val="clear"/>
            <w:vAlign w:val="center"/>
          </w:tcPr>
          <w:p>
            <w:pPr>
              <w:pStyle w:val="TableContents"/>
              <w:bidi w:val="0"/>
              <w:spacing w:before="0" w:after="283"/>
              <w:jc w:val="right"/>
              <w:rPr/>
            </w:pPr>
            <w:r>
              <w:rPr/>
              <w:t> </w:t>
            </w:r>
          </w:p>
        </w:tc>
        <w:tc>
          <w:tcPr>
            <w:tcW w:w="415" w:type="dxa"/>
            <w:tcBorders/>
            <w:shd w:fill="CFF0FC" w:val="clear"/>
            <w:vAlign w:val="center"/>
          </w:tcPr>
          <w:p>
            <w:pPr>
              <w:pStyle w:val="TableContents"/>
              <w:bidi w:val="0"/>
              <w:spacing w:before="0" w:after="283"/>
              <w:jc w:val="right"/>
              <w:rPr/>
            </w:pPr>
            <w:r>
              <w:rPr/>
              <w:t> </w:t>
            </w:r>
          </w:p>
        </w:tc>
      </w:tr>
      <w:tr>
        <w:trPr/>
        <w:tc>
          <w:tcPr>
            <w:tcW w:w="7257" w:type="dxa"/>
            <w:tcBorders/>
            <w:shd w:fill="FFFFFF" w:val="clear"/>
            <w:vAlign w:val="center"/>
          </w:tcPr>
          <w:p>
            <w:pPr>
              <w:pStyle w:val="TableContents"/>
              <w:bidi w:val="0"/>
              <w:spacing w:before="0" w:after="283"/>
              <w:jc w:val="left"/>
              <w:rPr>
                <w:rFonts w:ascii="Arial" w:hAnsi="Arial"/>
                <w:b/>
                <w:color w:val="000000"/>
                <w:sz w:val="16"/>
              </w:rPr>
            </w:pPr>
            <w:r>
              <w:rPr>
                <w:rFonts w:ascii="Arial" w:hAnsi="Arial"/>
                <w:b/>
                <w:color w:val="000000"/>
                <w:sz w:val="16"/>
              </w:rPr>
              <w:t>Current liabilities</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8" w:type="dxa"/>
            <w:gridSpan w:val="2"/>
            <w:tcBorders/>
            <w:shd w:fill="FFFFFF" w:val="clear"/>
            <w:vAlign w:val="center"/>
          </w:tcPr>
          <w:p>
            <w:pPr>
              <w:pStyle w:val="TableContents"/>
              <w:bidi w:val="0"/>
              <w:spacing w:before="0" w:after="283"/>
              <w:jc w:val="right"/>
              <w:rPr/>
            </w:pPr>
            <w:r>
              <w:rPr/>
              <w:t> </w:t>
            </w:r>
          </w:p>
        </w:tc>
        <w:tc>
          <w:tcPr>
            <w:tcW w:w="415" w:type="dxa"/>
            <w:tcBorders/>
            <w:shd w:fill="FFFFFF" w:val="clear"/>
            <w:vAlign w:val="center"/>
          </w:tcPr>
          <w:p>
            <w:pPr>
              <w:pStyle w:val="TableContents"/>
              <w:bidi w:val="0"/>
              <w:spacing w:before="0" w:after="283"/>
              <w:ind w:left="0" w:right="0" w:firstLine="200"/>
              <w:jc w:val="right"/>
              <w:rPr/>
            </w:pPr>
            <w:r>
              <w:rPr/>
              <w:t> </w:t>
            </w:r>
          </w:p>
        </w:tc>
      </w:tr>
      <w:tr>
        <w:trPr/>
        <w:tc>
          <w:tcPr>
            <w:tcW w:w="7257" w:type="dxa"/>
            <w:tcBorders/>
            <w:shd w:fill="CFF0FC" w:val="clear"/>
            <w:vAlign w:val="center"/>
          </w:tcPr>
          <w:p>
            <w:pPr>
              <w:pStyle w:val="TableContents"/>
              <w:bidi w:val="0"/>
              <w:spacing w:before="0" w:after="283"/>
              <w:ind w:left="200" w:right="0" w:firstLine="200"/>
              <w:jc w:val="left"/>
              <w:rPr>
                <w:rFonts w:ascii="Arial" w:hAnsi="Arial"/>
                <w:b w:val="false"/>
                <w:color w:val="000000"/>
                <w:sz w:val="16"/>
              </w:rPr>
            </w:pPr>
            <w:r>
              <w:rPr>
                <w:rFonts w:ascii="Arial" w:hAnsi="Arial"/>
                <w:b w:val="false"/>
                <w:color w:val="000000"/>
                <w:sz w:val="16"/>
              </w:rPr>
              <w:t>Accounts payable</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825" w:type="dxa"/>
            <w:tcBorders/>
            <w:shd w:fill="CFF0FC"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8,089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778" w:type="dxa"/>
            <w:tcBorders/>
            <w:shd w:fill="CFF0FC"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7,281</w:t>
            </w:r>
          </w:p>
        </w:tc>
        <w:tc>
          <w:tcPr>
            <w:tcW w:w="415" w:type="dxa"/>
            <w:tcBorders/>
            <w:shd w:fill="CFF0FC" w:val="clear"/>
            <w:vAlign w:val="center"/>
          </w:tcPr>
          <w:p>
            <w:pPr>
              <w:pStyle w:val="TableContents"/>
              <w:bidi w:val="0"/>
              <w:spacing w:before="0" w:after="283"/>
              <w:ind w:left="0" w:right="0" w:firstLine="200"/>
              <w:jc w:val="left"/>
              <w:rPr/>
            </w:pPr>
            <w:r>
              <w:rPr/>
              <w:t> </w:t>
            </w:r>
          </w:p>
        </w:tc>
      </w:tr>
      <w:tr>
        <w:trPr/>
        <w:tc>
          <w:tcPr>
            <w:tcW w:w="7257" w:type="dxa"/>
            <w:tcBorders/>
            <w:shd w:fill="FFFFFF" w:val="clear"/>
            <w:vAlign w:val="center"/>
          </w:tcPr>
          <w:p>
            <w:pPr>
              <w:pStyle w:val="TableContents"/>
              <w:bidi w:val="0"/>
              <w:spacing w:before="0" w:after="283"/>
              <w:ind w:left="200" w:right="0" w:firstLine="200"/>
              <w:jc w:val="left"/>
              <w:rPr>
                <w:rFonts w:ascii="Arial" w:hAnsi="Arial"/>
                <w:b w:val="false"/>
                <w:color w:val="000000"/>
                <w:sz w:val="16"/>
              </w:rPr>
            </w:pPr>
            <w:r>
              <w:rPr>
                <w:rFonts w:ascii="Arial" w:hAnsi="Arial"/>
                <w:b w:val="false"/>
                <w:color w:val="000000"/>
                <w:sz w:val="16"/>
              </w:rPr>
              <w:t>Accrued expenses and other current liabilities</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11,864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7,299</w:t>
            </w:r>
          </w:p>
        </w:tc>
        <w:tc>
          <w:tcPr>
            <w:tcW w:w="415" w:type="dxa"/>
            <w:tcBorders/>
            <w:shd w:fill="FFFFFF" w:val="clear"/>
            <w:vAlign w:val="center"/>
          </w:tcPr>
          <w:p>
            <w:pPr>
              <w:pStyle w:val="TableContents"/>
              <w:bidi w:val="0"/>
              <w:spacing w:before="0" w:after="283"/>
              <w:ind w:left="0" w:right="0" w:firstLine="200"/>
              <w:jc w:val="left"/>
              <w:rPr/>
            </w:pPr>
            <w:r>
              <w:rPr/>
              <w:t> </w:t>
            </w:r>
          </w:p>
        </w:tc>
      </w:tr>
      <w:tr>
        <w:trPr/>
        <w:tc>
          <w:tcPr>
            <w:tcW w:w="7257" w:type="dxa"/>
            <w:tcBorders/>
            <w:shd w:fill="CFF0FC" w:val="clear"/>
            <w:vAlign w:val="center"/>
          </w:tcPr>
          <w:p>
            <w:pPr>
              <w:pStyle w:val="TableContents"/>
              <w:bidi w:val="0"/>
              <w:spacing w:before="0" w:after="283"/>
              <w:ind w:left="200" w:right="0" w:firstLine="200"/>
              <w:jc w:val="left"/>
              <w:rPr>
                <w:rFonts w:ascii="Arial" w:hAnsi="Arial"/>
                <w:b w:val="false"/>
                <w:color w:val="000000"/>
                <w:sz w:val="16"/>
              </w:rPr>
            </w:pPr>
            <w:r>
              <w:rPr>
                <w:rFonts w:ascii="Arial" w:hAnsi="Arial"/>
                <w:b w:val="false"/>
                <w:color w:val="000000"/>
                <w:sz w:val="16"/>
              </w:rPr>
              <w:t>Current portion of operating lease liabilities</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825" w:type="dxa"/>
            <w:tcBorders/>
            <w:shd w:fill="CFF0FC"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3,940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778" w:type="dxa"/>
            <w:tcBorders/>
            <w:shd w:fill="CFF0FC"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3,311</w:t>
            </w:r>
          </w:p>
        </w:tc>
        <w:tc>
          <w:tcPr>
            <w:tcW w:w="415" w:type="dxa"/>
            <w:tcBorders/>
            <w:shd w:fill="CFF0FC" w:val="clear"/>
            <w:vAlign w:val="center"/>
          </w:tcPr>
          <w:p>
            <w:pPr>
              <w:pStyle w:val="TableContents"/>
              <w:bidi w:val="0"/>
              <w:spacing w:before="0" w:after="283"/>
              <w:ind w:left="0" w:right="0" w:firstLine="200"/>
              <w:jc w:val="left"/>
              <w:rPr/>
            </w:pPr>
            <w:r>
              <w:rPr/>
              <w:t> </w:t>
            </w:r>
          </w:p>
        </w:tc>
      </w:tr>
      <w:tr>
        <w:trPr/>
        <w:tc>
          <w:tcPr>
            <w:tcW w:w="7257" w:type="dxa"/>
            <w:tcBorders/>
            <w:shd w:fill="FFFFFF" w:val="clear"/>
            <w:vAlign w:val="center"/>
          </w:tcPr>
          <w:p>
            <w:pPr>
              <w:pStyle w:val="TableContents"/>
              <w:bidi w:val="0"/>
              <w:spacing w:before="0" w:after="283"/>
              <w:ind w:left="200" w:right="0" w:firstLine="200"/>
              <w:jc w:val="left"/>
              <w:rPr>
                <w:rFonts w:ascii="Arial" w:hAnsi="Arial"/>
                <w:b w:val="false"/>
                <w:color w:val="000000"/>
                <w:sz w:val="16"/>
              </w:rPr>
            </w:pPr>
            <w:r>
              <w:rPr>
                <w:rFonts w:ascii="Arial" w:hAnsi="Arial"/>
                <w:b w:val="false"/>
                <w:color w:val="000000"/>
                <w:sz w:val="16"/>
              </w:rPr>
              <w:t>Revolving line of credit</w:t>
            </w:r>
          </w:p>
        </w:tc>
        <w:tc>
          <w:tcPr>
            <w:tcW w:w="146" w:type="dxa"/>
            <w:tcBorders/>
            <w:shd w:fill="FFFFFF" w:val="cle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18,349</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57" w:type="dxa"/>
            <w:tcBorders/>
            <w:shd w:fill="CFF0FC" w:val="clear"/>
            <w:vAlign w:val="center"/>
          </w:tcPr>
          <w:p>
            <w:pPr>
              <w:pStyle w:val="TableContents"/>
              <w:bidi w:val="0"/>
              <w:spacing w:before="0" w:after="283"/>
              <w:jc w:val="left"/>
              <w:rPr>
                <w:rFonts w:ascii="Arial" w:hAnsi="Arial"/>
                <w:b/>
                <w:color w:val="000000"/>
                <w:sz w:val="16"/>
              </w:rPr>
            </w:pPr>
            <w:r>
              <w:rPr>
                <w:rFonts w:ascii="Arial" w:hAnsi="Arial"/>
                <w:b/>
                <w:color w:val="000000"/>
                <w:sz w:val="16"/>
              </w:rPr>
              <w:t>Total current liabilities</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825" w:type="dxa"/>
            <w:tcBorders/>
            <w:shd w:fill="CFF0FC"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23,893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778" w:type="dxa"/>
            <w:tcBorders/>
            <w:shd w:fill="CFF0FC"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36,240</w:t>
            </w:r>
          </w:p>
        </w:tc>
        <w:tc>
          <w:tcPr>
            <w:tcW w:w="415" w:type="dxa"/>
            <w:tcBorders/>
            <w:shd w:fill="CFF0FC" w:val="clear"/>
            <w:vAlign w:val="center"/>
          </w:tcPr>
          <w:p>
            <w:pPr>
              <w:pStyle w:val="TableContents"/>
              <w:bidi w:val="0"/>
              <w:spacing w:before="0" w:after="283"/>
              <w:ind w:left="0" w:right="0" w:firstLine="200"/>
              <w:jc w:val="left"/>
              <w:rPr/>
            </w:pPr>
            <w:r>
              <w:rPr/>
              <w:t> </w:t>
            </w:r>
          </w:p>
        </w:tc>
      </w:tr>
      <w:tr>
        <w:trPr/>
        <w:tc>
          <w:tcPr>
            <w:tcW w:w="7257" w:type="dxa"/>
            <w:tcBorders/>
            <w:shd w:fill="FFFFFF" w:val="clear"/>
            <w:vAlign w:val="center"/>
          </w:tcPr>
          <w:p>
            <w:pPr>
              <w:pStyle w:val="TableContents"/>
              <w:bidi w:val="0"/>
              <w:spacing w:before="0" w:after="283"/>
              <w:ind w:left="200" w:right="0" w:firstLine="200"/>
              <w:jc w:val="left"/>
              <w:rPr>
                <w:rFonts w:ascii="Arial" w:hAnsi="Arial"/>
                <w:b w:val="false"/>
                <w:color w:val="000000"/>
                <w:sz w:val="16"/>
              </w:rPr>
            </w:pPr>
            <w:r>
              <w:rPr>
                <w:rFonts w:ascii="Arial" w:hAnsi="Arial"/>
                <w:b w:val="false"/>
                <w:color w:val="000000"/>
                <w:sz w:val="16"/>
              </w:rPr>
              <w:t>Operating lease liabilities, less current portion</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15,753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16,691</w:t>
            </w:r>
          </w:p>
        </w:tc>
        <w:tc>
          <w:tcPr>
            <w:tcW w:w="415" w:type="dxa"/>
            <w:tcBorders/>
            <w:shd w:fill="FFFFFF" w:val="clear"/>
            <w:vAlign w:val="center"/>
          </w:tcPr>
          <w:p>
            <w:pPr>
              <w:pStyle w:val="TableContents"/>
              <w:bidi w:val="0"/>
              <w:spacing w:before="0" w:after="283"/>
              <w:ind w:left="0" w:right="0" w:firstLine="200"/>
              <w:jc w:val="left"/>
              <w:rPr/>
            </w:pPr>
            <w:r>
              <w:rPr/>
              <w:t> </w:t>
            </w:r>
          </w:p>
        </w:tc>
      </w:tr>
      <w:tr>
        <w:trPr/>
        <w:tc>
          <w:tcPr>
            <w:tcW w:w="7257" w:type="dxa"/>
            <w:tcBorders/>
            <w:shd w:fill="CFF0FC" w:val="clear"/>
            <w:vAlign w:val="center"/>
          </w:tcPr>
          <w:p>
            <w:pPr>
              <w:pStyle w:val="TableContents"/>
              <w:bidi w:val="0"/>
              <w:spacing w:before="0" w:after="283"/>
              <w:ind w:left="200" w:right="0" w:firstLine="200"/>
              <w:jc w:val="left"/>
              <w:rPr>
                <w:rFonts w:ascii="Arial" w:hAnsi="Arial"/>
                <w:b w:val="false"/>
                <w:color w:val="000000"/>
                <w:sz w:val="16"/>
              </w:rPr>
            </w:pPr>
            <w:r>
              <w:rPr>
                <w:rFonts w:ascii="Arial" w:hAnsi="Arial"/>
                <w:b w:val="false"/>
                <w:color w:val="000000"/>
                <w:sz w:val="16"/>
              </w:rPr>
              <w:t>Deferred tax liabilities, net</w:t>
            </w:r>
          </w:p>
        </w:tc>
        <w:tc>
          <w:tcPr>
            <w:tcW w:w="146" w:type="dxa"/>
            <w:tcBorders/>
            <w:shd w:fill="CFF0FC" w:val="cle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6,926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3,185</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57" w:type="dxa"/>
            <w:tcBorders/>
            <w:shd w:fill="FFFFFF" w:val="clear"/>
            <w:vAlign w:val="center"/>
          </w:tcPr>
          <w:p>
            <w:pPr>
              <w:pStyle w:val="TableContents"/>
              <w:bidi w:val="0"/>
              <w:spacing w:before="0" w:after="283"/>
              <w:jc w:val="left"/>
              <w:rPr>
                <w:rFonts w:ascii="Arial" w:hAnsi="Arial"/>
                <w:b/>
                <w:color w:val="000000"/>
                <w:sz w:val="16"/>
              </w:rPr>
            </w:pPr>
            <w:r>
              <w:rPr>
                <w:rFonts w:ascii="Arial" w:hAnsi="Arial"/>
                <w:b/>
                <w:color w:val="000000"/>
                <w:sz w:val="16"/>
              </w:rPr>
              <w:t>Total liabilities</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46,572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56,116</w:t>
            </w:r>
          </w:p>
        </w:tc>
        <w:tc>
          <w:tcPr>
            <w:tcW w:w="415" w:type="dxa"/>
            <w:tcBorders/>
            <w:shd w:fill="FFFFFF" w:val="clear"/>
            <w:vAlign w:val="center"/>
          </w:tcPr>
          <w:p>
            <w:pPr>
              <w:pStyle w:val="TableContents"/>
              <w:bidi w:val="0"/>
              <w:spacing w:before="0" w:after="283"/>
              <w:jc w:val="left"/>
              <w:rPr/>
            </w:pPr>
            <w:r>
              <w:rPr/>
              <w:t> </w:t>
            </w:r>
          </w:p>
        </w:tc>
      </w:tr>
      <w:tr>
        <w:trPr/>
        <w:tc>
          <w:tcPr>
            <w:tcW w:w="7257" w:type="dxa"/>
            <w:tcBorders/>
            <w:shd w:fill="CFF0FC" w:val="clear"/>
            <w:vAlign w:val="center"/>
          </w:tcPr>
          <w:p>
            <w:pPr>
              <w:pStyle w:val="TableContents"/>
              <w:bidi w:val="0"/>
              <w:spacing w:before="0" w:after="283"/>
              <w:jc w:val="left"/>
              <w:rPr>
                <w:rFonts w:ascii="Times New Roman" w:hAnsi="Times New Roman"/>
                <w:sz w:val="20"/>
              </w:rPr>
            </w:pPr>
            <w:r>
              <w:rPr>
                <w:rFonts w:ascii="Arial" w:hAnsi="Arial"/>
                <w:b/>
                <w:color w:val="000000"/>
                <w:sz w:val="16"/>
              </w:rPr>
              <w:t>Commitments and contingencies</w:t>
            </w:r>
            <w:r>
              <w:rPr>
                <w:rFonts w:ascii="Times New Roman" w:hAnsi="Times New Roman"/>
                <w:color w:val="000000"/>
                <w:sz w:val="20"/>
              </w:rPr>
              <w:t> </w:t>
            </w:r>
            <w:r>
              <w:rPr>
                <w:rFonts w:ascii="Arial" w:hAnsi="Arial"/>
                <w:b/>
                <w:color w:val="000000"/>
                <w:sz w:val="16"/>
              </w:rPr>
              <w:t>(See Note 14)</w:t>
            </w:r>
          </w:p>
        </w:tc>
        <w:tc>
          <w:tcPr>
            <w:tcW w:w="146" w:type="dxa"/>
            <w:tcBorders/>
            <w:shd w:fill="CFF0FC" w:val="clear"/>
            <w:vAlign w:val="center"/>
          </w:tcPr>
          <w:p>
            <w:pPr>
              <w:pStyle w:val="TableContents"/>
              <w:bidi w:val="0"/>
              <w:spacing w:before="0" w:after="283"/>
              <w:jc w:val="left"/>
              <w:rPr/>
            </w:pPr>
            <w:r>
              <w:rPr/>
              <w:t> </w:t>
            </w:r>
          </w:p>
        </w:tc>
        <w:tc>
          <w:tcPr>
            <w:tcW w:w="107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8" w:type="dxa"/>
            <w:gridSpan w:val="2"/>
            <w:tcBorders/>
            <w:shd w:fill="CFF0FC" w:val="clear"/>
            <w:vAlign w:val="center"/>
          </w:tcPr>
          <w:p>
            <w:pPr>
              <w:pStyle w:val="TableContents"/>
              <w:bidi w:val="0"/>
              <w:spacing w:before="0" w:after="283"/>
              <w:jc w:val="right"/>
              <w:rPr/>
            </w:pPr>
            <w:r>
              <w:rPr/>
              <w:t> </w:t>
            </w:r>
          </w:p>
        </w:tc>
        <w:tc>
          <w:tcPr>
            <w:tcW w:w="415" w:type="dxa"/>
            <w:tcBorders/>
            <w:shd w:fill="CFF0FC" w:val="clear"/>
            <w:vAlign w:val="center"/>
          </w:tcPr>
          <w:p>
            <w:pPr>
              <w:pStyle w:val="TableContents"/>
              <w:bidi w:val="0"/>
              <w:spacing w:before="0" w:after="283"/>
              <w:jc w:val="right"/>
              <w:rPr/>
            </w:pPr>
            <w:r>
              <w:rPr/>
              <w:t> </w:t>
            </w:r>
          </w:p>
        </w:tc>
      </w:tr>
      <w:tr>
        <w:trPr/>
        <w:tc>
          <w:tcPr>
            <w:tcW w:w="7257" w:type="dxa"/>
            <w:tcBorders/>
            <w:shd w:fill="FFFFFF" w:val="clear"/>
            <w:vAlign w:val="center"/>
          </w:tcPr>
          <w:p>
            <w:pPr>
              <w:pStyle w:val="TableContents"/>
              <w:bidi w:val="0"/>
              <w:spacing w:before="0" w:after="283"/>
              <w:jc w:val="left"/>
              <w:rPr>
                <w:rFonts w:ascii="Arial" w:hAnsi="Arial"/>
                <w:b/>
                <w:color w:val="000000"/>
                <w:sz w:val="16"/>
              </w:rPr>
            </w:pPr>
            <w:r>
              <w:rPr>
                <w:rFonts w:ascii="Arial" w:hAnsi="Arial"/>
                <w:b/>
                <w:color w:val="000000"/>
                <w:sz w:val="16"/>
              </w:rPr>
              <w:t>Redeemable convertible preferred stock</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8" w:type="dxa"/>
            <w:gridSpan w:val="2"/>
            <w:tcBorders/>
            <w:shd w:fill="FFFFFF" w:val="clear"/>
            <w:vAlign w:val="center"/>
          </w:tcPr>
          <w:p>
            <w:pPr>
              <w:pStyle w:val="TableContents"/>
              <w:bidi w:val="0"/>
              <w:spacing w:before="0" w:after="283"/>
              <w:jc w:val="right"/>
              <w:rPr/>
            </w:pPr>
            <w:r>
              <w:rPr/>
              <w:t> </w:t>
            </w:r>
          </w:p>
        </w:tc>
        <w:tc>
          <w:tcPr>
            <w:tcW w:w="415" w:type="dxa"/>
            <w:tcBorders/>
            <w:shd w:fill="FFFFFF" w:val="clear"/>
            <w:vAlign w:val="center"/>
          </w:tcPr>
          <w:p>
            <w:pPr>
              <w:pStyle w:val="TableContents"/>
              <w:bidi w:val="0"/>
              <w:spacing w:before="0" w:after="283"/>
              <w:jc w:val="right"/>
              <w:rPr/>
            </w:pPr>
            <w:r>
              <w:rPr/>
              <w:t> </w:t>
            </w:r>
          </w:p>
        </w:tc>
      </w:tr>
      <w:tr>
        <w:trPr/>
        <w:tc>
          <w:tcPr>
            <w:tcW w:w="7257" w:type="dxa"/>
            <w:tcBorders/>
            <w:shd w:fill="CFF0FC" w:val="clear"/>
            <w:vAlign w:val="center"/>
          </w:tcPr>
          <w:p>
            <w:pPr>
              <w:pStyle w:val="TableContents"/>
              <w:bidi w:val="0"/>
              <w:spacing w:before="0" w:after="283"/>
              <w:jc w:val="left"/>
              <w:rPr>
                <w:rFonts w:ascii="Times New Roman" w:hAnsi="Times New Roman"/>
                <w:sz w:val="20"/>
              </w:rPr>
            </w:pPr>
            <w:r>
              <w:rPr>
                <w:rFonts w:ascii="Arial" w:hAnsi="Arial"/>
                <w:b w:val="false"/>
                <w:color w:val="000000"/>
                <w:sz w:val="16"/>
              </w:rPr>
              <w:t>Series A redeemable convertible preferred stock*, par value $0.01;</w:t>
              <w:br/>
              <w:t>nil</w:t>
            </w:r>
            <w:r>
              <w:rPr>
                <w:rFonts w:ascii="Times New Roman" w:hAnsi="Times New Roman"/>
                <w:color w:val="000000"/>
                <w:sz w:val="20"/>
              </w:rPr>
              <w:t> </w:t>
            </w:r>
            <w:r>
              <w:rPr>
                <w:rFonts w:ascii="Arial" w:hAnsi="Arial"/>
                <w:b w:val="false"/>
                <w:color w:val="000000"/>
                <w:sz w:val="16"/>
              </w:rPr>
              <w:t>shares and 30,000,000</w:t>
            </w:r>
            <w:r>
              <w:rPr>
                <w:rFonts w:ascii="Times New Roman" w:hAnsi="Times New Roman"/>
                <w:color w:val="000000"/>
                <w:sz w:val="20"/>
              </w:rPr>
              <w:t> </w:t>
            </w:r>
            <w:r>
              <w:rPr>
                <w:rFonts w:ascii="Arial" w:hAnsi="Arial"/>
                <w:b w:val="false"/>
                <w:color w:val="000000"/>
                <w:sz w:val="16"/>
              </w:rPr>
              <w:t>shares authorized at September 30, 2023 and December 31, 2022, respectively; nil</w:t>
            </w:r>
            <w:r>
              <w:rPr>
                <w:rFonts w:ascii="Times New Roman" w:hAnsi="Times New Roman"/>
                <w:color w:val="000000"/>
                <w:sz w:val="20"/>
              </w:rPr>
              <w:t> </w:t>
            </w:r>
            <w:r>
              <w:rPr>
                <w:rFonts w:ascii="Arial" w:hAnsi="Arial"/>
                <w:b w:val="false"/>
                <w:color w:val="000000"/>
                <w:sz w:val="16"/>
              </w:rPr>
              <w:t>shares and 6,719,641</w:t>
            </w:r>
            <w:r>
              <w:rPr>
                <w:rFonts w:ascii="Times New Roman" w:hAnsi="Times New Roman"/>
                <w:color w:val="000000"/>
                <w:sz w:val="20"/>
              </w:rPr>
              <w:t> </w:t>
            </w:r>
            <w:r>
              <w:rPr>
                <w:rFonts w:ascii="Arial" w:hAnsi="Arial"/>
                <w:b w:val="false"/>
                <w:color w:val="000000"/>
                <w:sz w:val="16"/>
              </w:rPr>
              <w:t>shares issued and outstanding at September 30, 2023 and December 31, 2022, respectively</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82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778" w:type="dxa"/>
            <w:tcBorders/>
            <w:shd w:fill="CFF0FC"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17,878</w:t>
            </w:r>
          </w:p>
        </w:tc>
        <w:tc>
          <w:tcPr>
            <w:tcW w:w="415" w:type="dxa"/>
            <w:tcBorders/>
            <w:shd w:fill="CFF0FC" w:val="clear"/>
            <w:vAlign w:val="center"/>
          </w:tcPr>
          <w:p>
            <w:pPr>
              <w:pStyle w:val="TableContents"/>
              <w:bidi w:val="0"/>
              <w:spacing w:before="0" w:after="283"/>
              <w:jc w:val="left"/>
              <w:rPr/>
            </w:pPr>
            <w:r>
              <w:rPr/>
              <w:t> </w:t>
            </w:r>
          </w:p>
        </w:tc>
      </w:tr>
      <w:tr>
        <w:trPr/>
        <w:tc>
          <w:tcPr>
            <w:tcW w:w="725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8" w:type="dxa"/>
            <w:gridSpan w:val="2"/>
            <w:tcBorders/>
            <w:shd w:fill="FFFFFF" w:val="clear"/>
            <w:vAlign w:val="center"/>
          </w:tcPr>
          <w:p>
            <w:pPr>
              <w:pStyle w:val="TableContents"/>
              <w:bidi w:val="0"/>
              <w:spacing w:before="0" w:after="283"/>
              <w:jc w:val="right"/>
              <w:rPr/>
            </w:pPr>
            <w:r>
              <w:rPr/>
              <w:t> </w:t>
            </w:r>
          </w:p>
        </w:tc>
        <w:tc>
          <w:tcPr>
            <w:tcW w:w="415" w:type="dxa"/>
            <w:tcBorders/>
            <w:shd w:fill="FFFFFF" w:val="clear"/>
            <w:vAlign w:val="center"/>
          </w:tcPr>
          <w:p>
            <w:pPr>
              <w:pStyle w:val="TableContents"/>
              <w:bidi w:val="0"/>
              <w:spacing w:before="0" w:after="283"/>
              <w:jc w:val="right"/>
              <w:rPr/>
            </w:pPr>
            <w:r>
              <w:rPr/>
              <w:t> </w:t>
            </w:r>
          </w:p>
        </w:tc>
      </w:tr>
      <w:tr>
        <w:trPr/>
        <w:tc>
          <w:tcPr>
            <w:tcW w:w="7257" w:type="dxa"/>
            <w:tcBorders/>
            <w:shd w:fill="FFFFFF" w:val="clear"/>
            <w:vAlign w:val="center"/>
          </w:tcPr>
          <w:p>
            <w:pPr>
              <w:pStyle w:val="TableContents"/>
              <w:bidi w:val="0"/>
              <w:spacing w:before="0" w:after="283"/>
              <w:jc w:val="left"/>
              <w:rPr>
                <w:rFonts w:ascii="Arial" w:hAnsi="Arial"/>
                <w:b/>
                <w:color w:val="000000"/>
                <w:sz w:val="16"/>
              </w:rPr>
            </w:pPr>
            <w:r>
              <w:rPr>
                <w:rFonts w:ascii="Arial" w:hAnsi="Arial"/>
                <w:b/>
                <w:color w:val="000000"/>
                <w:sz w:val="16"/>
              </w:rPr>
              <w:t>Shareholders' equity</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8" w:type="dxa"/>
            <w:gridSpan w:val="2"/>
            <w:tcBorders/>
            <w:shd w:fill="FFFFFF" w:val="clear"/>
            <w:vAlign w:val="center"/>
          </w:tcPr>
          <w:p>
            <w:pPr>
              <w:pStyle w:val="TableContents"/>
              <w:bidi w:val="0"/>
              <w:spacing w:before="0" w:after="283"/>
              <w:jc w:val="right"/>
              <w:rPr/>
            </w:pPr>
            <w:r>
              <w:rPr/>
              <w:t> </w:t>
            </w:r>
          </w:p>
        </w:tc>
        <w:tc>
          <w:tcPr>
            <w:tcW w:w="415" w:type="dxa"/>
            <w:tcBorders/>
            <w:shd w:fill="FFFFFF" w:val="clear"/>
            <w:vAlign w:val="center"/>
          </w:tcPr>
          <w:p>
            <w:pPr>
              <w:pStyle w:val="TableContents"/>
              <w:bidi w:val="0"/>
              <w:spacing w:before="0" w:after="283"/>
              <w:jc w:val="right"/>
              <w:rPr/>
            </w:pPr>
            <w:r>
              <w:rPr/>
              <w:t> </w:t>
            </w:r>
          </w:p>
        </w:tc>
      </w:tr>
      <w:tr>
        <w:trPr/>
        <w:tc>
          <w:tcPr>
            <w:tcW w:w="7257" w:type="dxa"/>
            <w:tcBorders/>
            <w:shd w:fill="CFF0FC" w:val="clear"/>
            <w:vAlign w:val="center"/>
          </w:tcPr>
          <w:p>
            <w:pPr>
              <w:pStyle w:val="TableContents"/>
              <w:bidi w:val="0"/>
              <w:spacing w:before="0" w:after="283"/>
              <w:jc w:val="left"/>
              <w:rPr>
                <w:rFonts w:ascii="Times New Roman" w:hAnsi="Times New Roman"/>
                <w:sz w:val="20"/>
              </w:rPr>
            </w:pPr>
            <w:r>
              <w:rPr>
                <w:rFonts w:ascii="Arial" w:hAnsi="Arial"/>
                <w:b w:val="false"/>
                <w:color w:val="000000"/>
                <w:sz w:val="16"/>
              </w:rPr>
              <w:t>Common stock*, par value $0.0001; 500,000,000</w:t>
            </w:r>
            <w:r>
              <w:rPr>
                <w:rFonts w:ascii="Times New Roman" w:hAnsi="Times New Roman"/>
                <w:color w:val="000000"/>
                <w:sz w:val="20"/>
              </w:rPr>
              <w:t> </w:t>
            </w:r>
            <w:r>
              <w:rPr>
                <w:rFonts w:ascii="Arial" w:hAnsi="Arial"/>
                <w:b w:val="false"/>
                <w:color w:val="000000"/>
                <w:sz w:val="16"/>
              </w:rPr>
              <w:t>shares and 65,000,000</w:t>
            </w:r>
            <w:r>
              <w:rPr>
                <w:rFonts w:ascii="Times New Roman" w:hAnsi="Times New Roman"/>
                <w:color w:val="000000"/>
                <w:sz w:val="20"/>
              </w:rPr>
              <w:t> </w:t>
            </w:r>
            <w:r>
              <w:rPr>
                <w:rFonts w:ascii="Arial" w:hAnsi="Arial"/>
                <w:b w:val="false"/>
                <w:color w:val="000000"/>
                <w:sz w:val="16"/>
              </w:rPr>
              <w:t>shares authorized at September 30, 2023 and December 31, 2022, respectively;</w:t>
              <w:br/>
              <w:t>29,768,568</w:t>
            </w:r>
            <w:r>
              <w:rPr>
                <w:rFonts w:ascii="Times New Roman" w:hAnsi="Times New Roman"/>
                <w:color w:val="000000"/>
                <w:sz w:val="20"/>
              </w:rPr>
              <w:t> </w:t>
            </w:r>
            <w:r>
              <w:rPr>
                <w:rFonts w:ascii="Arial" w:hAnsi="Arial"/>
                <w:b w:val="false"/>
                <w:color w:val="000000"/>
                <w:sz w:val="16"/>
              </w:rPr>
              <w:t>shares and 11,951,137</w:t>
            </w:r>
            <w:r>
              <w:rPr>
                <w:rFonts w:ascii="Times New Roman" w:hAnsi="Times New Roman"/>
                <w:color w:val="000000"/>
                <w:sz w:val="20"/>
              </w:rPr>
              <w:t> </w:t>
            </w:r>
            <w:r>
              <w:rPr>
                <w:rFonts w:ascii="Arial" w:hAnsi="Arial"/>
                <w:b w:val="false"/>
                <w:color w:val="000000"/>
                <w:sz w:val="16"/>
              </w:rPr>
              <w:t>shares issued and outstanding at September 30, 2023 and December 31, 2022, respectively</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825" w:type="dxa"/>
            <w:tcBorders/>
            <w:shd w:fill="CFF0FC"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778" w:type="dxa"/>
            <w:tcBorders/>
            <w:shd w:fill="CFF0FC"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1</w:t>
            </w:r>
          </w:p>
        </w:tc>
        <w:tc>
          <w:tcPr>
            <w:tcW w:w="415" w:type="dxa"/>
            <w:tcBorders/>
            <w:shd w:fill="CFF0FC" w:val="clear"/>
            <w:vAlign w:val="center"/>
          </w:tcPr>
          <w:p>
            <w:pPr>
              <w:pStyle w:val="TableContents"/>
              <w:bidi w:val="0"/>
              <w:spacing w:before="0" w:after="283"/>
              <w:jc w:val="left"/>
              <w:rPr/>
            </w:pPr>
            <w:r>
              <w:rPr/>
              <w:t> </w:t>
            </w:r>
          </w:p>
        </w:tc>
      </w:tr>
      <w:tr>
        <w:trPr/>
        <w:tc>
          <w:tcPr>
            <w:tcW w:w="7257" w:type="dxa"/>
            <w:tcBorders/>
            <w:shd w:fill="FFFFFF" w:val="clear"/>
            <w:vAlign w:val="center"/>
          </w:tcPr>
          <w:p>
            <w:pPr>
              <w:pStyle w:val="TableContents"/>
              <w:bidi w:val="0"/>
              <w:spacing w:before="0" w:after="283"/>
              <w:jc w:val="left"/>
              <w:rPr>
                <w:rFonts w:ascii="Times New Roman" w:hAnsi="Times New Roman"/>
                <w:sz w:val="20"/>
              </w:rPr>
            </w:pPr>
            <w:r>
              <w:rPr>
                <w:rFonts w:ascii="Arial" w:hAnsi="Arial"/>
                <w:b w:val="false"/>
                <w:color w:val="000000"/>
                <w:sz w:val="16"/>
              </w:rPr>
              <w:t>Preferred stock, par value $0.0001; 10,000,000</w:t>
            </w:r>
            <w:r>
              <w:rPr>
                <w:rFonts w:ascii="Times New Roman" w:hAnsi="Times New Roman"/>
                <w:color w:val="000000"/>
                <w:sz w:val="20"/>
              </w:rPr>
              <w:t> </w:t>
            </w:r>
            <w:r>
              <w:rPr>
                <w:rFonts w:ascii="Arial" w:hAnsi="Arial"/>
                <w:b w:val="false"/>
                <w:color w:val="000000"/>
                <w:sz w:val="16"/>
              </w:rPr>
              <w:t>and nil</w:t>
            </w:r>
            <w:r>
              <w:rPr>
                <w:rFonts w:ascii="Times New Roman" w:hAnsi="Times New Roman"/>
                <w:color w:val="000000"/>
                <w:sz w:val="20"/>
              </w:rPr>
              <w:t> </w:t>
            </w:r>
            <w:r>
              <w:rPr>
                <w:rFonts w:ascii="Arial" w:hAnsi="Arial"/>
                <w:b w:val="false"/>
                <w:color w:val="000000"/>
                <w:sz w:val="16"/>
              </w:rPr>
              <w:t>shares authorized at September 30, 2023 and December 31, 2022, respectively; nil</w:t>
            </w:r>
            <w:r>
              <w:rPr>
                <w:rFonts w:ascii="Times New Roman" w:hAnsi="Times New Roman"/>
                <w:color w:val="000000"/>
                <w:sz w:val="20"/>
              </w:rPr>
              <w:t> </w:t>
            </w:r>
            <w:r>
              <w:rPr>
                <w:rFonts w:ascii="Arial" w:hAnsi="Arial"/>
                <w:b w:val="false"/>
                <w:color w:val="000000"/>
                <w:sz w:val="16"/>
              </w:rPr>
              <w:t>shares issued and outstanding at September 30, 2023 and December 31, 2022, respectively</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color w:val="000000"/>
              </w:rPr>
            </w:pPr>
            <w:r>
              <w:rPr>
                <w:color w:val="000000"/>
              </w:rPr>
              <w:t>—</w:t>
            </w:r>
          </w:p>
        </w:tc>
        <w:tc>
          <w:tcPr>
            <w:tcW w:w="415" w:type="dxa"/>
            <w:tcBorders/>
            <w:shd w:fill="FFFFFF" w:val="clear"/>
            <w:vAlign w:val="center"/>
          </w:tcPr>
          <w:p>
            <w:pPr>
              <w:pStyle w:val="TableContents"/>
              <w:bidi w:val="0"/>
              <w:spacing w:before="0" w:after="283"/>
              <w:ind w:left="0" w:right="0" w:firstLine="200"/>
              <w:jc w:val="left"/>
              <w:rPr/>
            </w:pPr>
            <w:r>
              <w:rPr/>
              <w:t> </w:t>
            </w:r>
          </w:p>
        </w:tc>
      </w:tr>
      <w:tr>
        <w:trPr/>
        <w:tc>
          <w:tcPr>
            <w:tcW w:w="7257" w:type="dxa"/>
            <w:tcBorders/>
            <w:shd w:fill="CFF0FC" w:val="clear"/>
            <w:vAlign w:val="center"/>
          </w:tcPr>
          <w:p>
            <w:pPr>
              <w:pStyle w:val="TableContents"/>
              <w:bidi w:val="0"/>
              <w:spacing w:before="0" w:after="283"/>
              <w:ind w:left="200" w:right="0" w:firstLine="200"/>
              <w:jc w:val="left"/>
              <w:rPr>
                <w:rFonts w:ascii="Arial" w:hAnsi="Arial"/>
                <w:b w:val="false"/>
                <w:color w:val="000000"/>
                <w:sz w:val="16"/>
              </w:rPr>
            </w:pPr>
            <w:r>
              <w:rPr>
                <w:rFonts w:ascii="Arial" w:hAnsi="Arial"/>
                <w:b w:val="false"/>
                <w:color w:val="000000"/>
                <w:sz w:val="16"/>
              </w:rPr>
              <w:t>Additional paid-in-capital</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825" w:type="dxa"/>
            <w:tcBorders/>
            <w:shd w:fill="CFF0FC"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95,218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778" w:type="dxa"/>
            <w:tcBorders/>
            <w:shd w:fill="CFF0FC"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52,388</w:t>
            </w:r>
          </w:p>
        </w:tc>
        <w:tc>
          <w:tcPr>
            <w:tcW w:w="415" w:type="dxa"/>
            <w:tcBorders/>
            <w:shd w:fill="CFF0FC" w:val="clear"/>
            <w:vAlign w:val="center"/>
          </w:tcPr>
          <w:p>
            <w:pPr>
              <w:pStyle w:val="TableContents"/>
              <w:bidi w:val="0"/>
              <w:spacing w:before="0" w:after="283"/>
              <w:ind w:left="0" w:right="0" w:firstLine="200"/>
              <w:jc w:val="left"/>
              <w:rPr/>
            </w:pPr>
            <w:r>
              <w:rPr/>
              <w:t> </w:t>
            </w:r>
          </w:p>
        </w:tc>
      </w:tr>
      <w:tr>
        <w:trPr/>
        <w:tc>
          <w:tcPr>
            <w:tcW w:w="7257" w:type="dxa"/>
            <w:tcBorders/>
            <w:shd w:fill="FFFFFF" w:val="clear"/>
            <w:vAlign w:val="center"/>
          </w:tcPr>
          <w:p>
            <w:pPr>
              <w:pStyle w:val="TableContents"/>
              <w:bidi w:val="0"/>
              <w:spacing w:before="0" w:after="283"/>
              <w:ind w:left="200" w:right="0" w:firstLine="200"/>
              <w:jc w:val="left"/>
              <w:rPr>
                <w:rFonts w:ascii="Arial" w:hAnsi="Arial"/>
                <w:b w:val="false"/>
                <w:color w:val="000000"/>
                <w:sz w:val="16"/>
              </w:rPr>
            </w:pPr>
            <w:r>
              <w:rPr>
                <w:rFonts w:ascii="Arial" w:hAnsi="Arial"/>
                <w:b w:val="false"/>
                <w:color w:val="000000"/>
                <w:sz w:val="16"/>
              </w:rPr>
              <w:t>Accumulated deficit</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(10,129</w:t>
            </w:r>
          </w:p>
        </w:tc>
        <w:tc>
          <w:tcPr>
            <w:tcW w:w="166" w:type="dxa"/>
            <w:tcBorders/>
            <w:shd w:fill="FFFFFF"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(21,054</w:t>
            </w:r>
          </w:p>
        </w:tc>
        <w:tc>
          <w:tcPr>
            <w:tcW w:w="415" w:type="dxa"/>
            <w:tcBorders/>
            <w:shd w:fill="FFFFFF" w:val="clear"/>
            <w:vAlign w:val="center"/>
          </w:tcPr>
          <w:p>
            <w:pPr>
              <w:pStyle w:val="TableContents"/>
              <w:bidi w:val="0"/>
              <w:spacing w:before="0" w:after="283"/>
              <w:ind w:left="0" w:right="0" w:firstLine="200"/>
              <w:jc w:val="left"/>
              <w:rPr>
                <w:rFonts w:ascii="Arial" w:hAnsi="Arial"/>
                <w:b w:val="false"/>
                <w:color w:val="000000"/>
                <w:sz w:val="16"/>
              </w:rPr>
            </w:pPr>
            <w:r>
              <w:rPr>
                <w:rFonts w:ascii="Arial" w:hAnsi="Arial"/>
                <w:b w:val="false"/>
                <w:color w:val="000000"/>
                <w:sz w:val="16"/>
              </w:rPr>
              <w:t>)</w:t>
            </w:r>
          </w:p>
        </w:tc>
      </w:tr>
      <w:tr>
        <w:trPr/>
        <w:tc>
          <w:tcPr>
            <w:tcW w:w="7257"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Arial" w:hAnsi="Arial"/>
                <w:b w:val="false"/>
                <w:color w:val="000000"/>
                <w:sz w:val="16"/>
              </w:rPr>
              <w:t>Less treasury stock, at cost; nil</w:t>
            </w:r>
            <w:r>
              <w:rPr>
                <w:rFonts w:ascii="Times New Roman" w:hAnsi="Times New Roman"/>
                <w:color w:val="000000"/>
                <w:sz w:val="20"/>
              </w:rPr>
              <w:t> </w:t>
            </w:r>
            <w:r>
              <w:rPr>
                <w:rFonts w:ascii="Arial" w:hAnsi="Arial"/>
                <w:b w:val="false"/>
                <w:color w:val="000000"/>
                <w:sz w:val="16"/>
              </w:rPr>
              <w:t>shares at September 30, 2023 and December 31, 2022</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82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778" w:type="dxa"/>
            <w:tcBorders/>
            <w:shd w:fill="CFF0FC" w:val="clear"/>
            <w:vAlign w:val="center"/>
          </w:tcPr>
          <w:p>
            <w:pPr>
              <w:pStyle w:val="TableContents"/>
              <w:bidi w:val="0"/>
              <w:spacing w:before="0" w:after="283"/>
              <w:jc w:val="right"/>
              <w:rPr>
                <w:color w:val="000000"/>
              </w:rPr>
            </w:pPr>
            <w:r>
              <w:rPr>
                <w:color w:val="000000"/>
              </w:rPr>
              <w:t>—</w:t>
            </w:r>
          </w:p>
        </w:tc>
        <w:tc>
          <w:tcPr>
            <w:tcW w:w="415" w:type="dxa"/>
            <w:tcBorders/>
            <w:shd w:fill="CFF0FC" w:val="clear"/>
            <w:vAlign w:val="center"/>
          </w:tcPr>
          <w:p>
            <w:pPr>
              <w:pStyle w:val="TableContents"/>
              <w:bidi w:val="0"/>
              <w:spacing w:before="0" w:after="283"/>
              <w:ind w:left="0" w:right="0" w:firstLine="200"/>
              <w:jc w:val="left"/>
              <w:rPr/>
            </w:pPr>
            <w:r>
              <w:rPr/>
              <w:t> </w:t>
            </w:r>
          </w:p>
        </w:tc>
      </w:tr>
      <w:tr>
        <w:trPr/>
        <w:tc>
          <w:tcPr>
            <w:tcW w:w="7257" w:type="dxa"/>
            <w:tcBorders/>
            <w:shd w:fill="FFFFFF" w:val="clear"/>
            <w:vAlign w:val="center"/>
          </w:tcPr>
          <w:p>
            <w:pPr>
              <w:pStyle w:val="TableContents"/>
              <w:bidi w:val="0"/>
              <w:spacing w:before="0" w:after="283"/>
              <w:ind w:left="200" w:right="0" w:firstLine="200"/>
              <w:jc w:val="left"/>
              <w:rPr>
                <w:rFonts w:ascii="Arial" w:hAnsi="Arial"/>
                <w:b w:val="false"/>
                <w:color w:val="000000"/>
                <w:sz w:val="16"/>
              </w:rPr>
            </w:pPr>
            <w:r>
              <w:rPr>
                <w:rFonts w:ascii="Arial" w:hAnsi="Arial"/>
                <w:b w:val="false"/>
                <w:color w:val="000000"/>
                <w:sz w:val="16"/>
              </w:rPr>
              <w:t>Accumulated other comprehensive loss</w:t>
            </w:r>
          </w:p>
        </w:tc>
        <w:tc>
          <w:tcPr>
            <w:tcW w:w="146" w:type="dxa"/>
            <w:tcBorders/>
            <w:shd w:fill="FFFFFF" w:val="cle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(228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(111</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r>
      <w:tr>
        <w:trPr/>
        <w:tc>
          <w:tcPr>
            <w:tcW w:w="7257" w:type="dxa"/>
            <w:tcBorders/>
            <w:shd w:fill="CFF0FC" w:val="clear"/>
            <w:vAlign w:val="center"/>
          </w:tcPr>
          <w:p>
            <w:pPr>
              <w:pStyle w:val="TableContents"/>
              <w:bidi w:val="0"/>
              <w:spacing w:before="0" w:after="283"/>
              <w:jc w:val="left"/>
              <w:rPr>
                <w:rFonts w:ascii="Arial" w:hAnsi="Arial"/>
                <w:b/>
                <w:color w:val="000000"/>
                <w:sz w:val="16"/>
              </w:rPr>
            </w:pPr>
            <w:r>
              <w:rPr>
                <w:rFonts w:ascii="Arial" w:hAnsi="Arial"/>
                <w:b/>
                <w:color w:val="000000"/>
                <w:sz w:val="16"/>
              </w:rPr>
              <w:t>Total shareholders' equity</w:t>
            </w:r>
          </w:p>
        </w:tc>
        <w:tc>
          <w:tcPr>
            <w:tcW w:w="146" w:type="dxa"/>
            <w:tcBorders/>
            <w:shd w:fill="CFF0FC" w:val="cle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84,864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31,224</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57" w:type="dxa"/>
            <w:tcBorders/>
            <w:shd w:fill="FFFFFF" w:val="clear"/>
            <w:vAlign w:val="center"/>
          </w:tcPr>
          <w:p>
            <w:pPr>
              <w:pStyle w:val="TableContents"/>
              <w:bidi w:val="0"/>
              <w:spacing w:before="0" w:after="283"/>
              <w:jc w:val="left"/>
              <w:rPr>
                <w:rFonts w:ascii="Arial" w:hAnsi="Arial"/>
                <w:b/>
                <w:color w:val="000000"/>
                <w:sz w:val="16"/>
              </w:rPr>
            </w:pPr>
            <w:r>
              <w:rPr>
                <w:rFonts w:ascii="Arial" w:hAnsi="Arial"/>
                <w:b/>
                <w:color w:val="000000"/>
                <w:sz w:val="16"/>
              </w:rPr>
              <w:t>Total liabilities, redeemable convertible preferred stock and shareholders' equity</w:t>
            </w:r>
          </w:p>
        </w:tc>
        <w:tc>
          <w:tcPr>
            <w:tcW w:w="146" w:type="dxa"/>
            <w:tcBorders/>
            <w:shd w:fill="FFFFFF" w:val="cle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8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131,436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7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105,218</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both"/>
        <w:rPr>
          <w:rFonts w:ascii="Arial" w:hAnsi="Arial"/>
          <w:b w:val="false"/>
          <w:color w:val="000000"/>
          <w:sz w:val="20"/>
        </w:rPr>
      </w:pPr>
      <w:r>
        <w:rPr>
          <w:rFonts w:ascii="Arial" w:hAnsi="Arial"/>
          <w:b w:val="false"/>
          <w:color w:val="000000"/>
          <w:sz w:val="20"/>
        </w:rPr>
        <w:t>* Shares of legacy redeemable convertible preferred stock and legacy common stock have been retroactively restated to give effect to the Merger.</w:t>
      </w:r>
    </w:p>
    <w:p>
      <w:pPr>
        <w:pStyle w:val="TextBody"/>
        <w:bidi w:val="0"/>
        <w:jc w:val="center"/>
        <w:rPr>
          <w:rFonts w:ascii="Arial" w:hAnsi="Arial"/>
          <w:b w:val="false"/>
          <w:i/>
          <w:color w:val="000000"/>
          <w:sz w:val="16"/>
        </w:rPr>
      </w:pPr>
      <w:r>
        <w:rPr>
          <w:rFonts w:ascii="Arial" w:hAnsi="Arial"/>
          <w:b w:val="false"/>
          <w:i/>
          <w:color w:val="000000"/>
          <w:sz w:val="16"/>
        </w:rPr>
        <w:t>The accompanying notes are an integral part of these unaudited condensed consolidated financial statements.</w:t>
      </w:r>
    </w:p>
    <w:p>
      <w:pPr>
        <w:pStyle w:val="TextBody"/>
        <w:bidi w:val="0"/>
        <w:jc w:val="center"/>
        <w:rPr/>
      </w:pPr>
      <w:r>
        <w:rPr/>
        <w:t> </w:t>
      </w:r>
    </w:p>
    <w:p>
      <w:pPr>
        <w:pStyle w:val="TextBody"/>
        <w:bidi w:val="0"/>
        <w:jc w:val="center"/>
        <w:rPr>
          <w:rFonts w:ascii="Arial" w:hAnsi="Arial"/>
          <w:b w:val="false"/>
          <w:color w:val="000000"/>
          <w:sz w:val="20"/>
        </w:rPr>
      </w:pPr>
      <w:r>
        <w:rPr>
          <w:rFonts w:ascii="Arial" w:hAnsi="Arial"/>
          <w:b w:val="false"/>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bookmarkStart w:id="6" w:name="consolidated_statements_of_operations"/>
      <w:bookmarkEnd w:id="6"/>
      <w:r>
        <w:rPr>
          <w:rFonts w:ascii="Arial" w:hAnsi="Arial"/>
          <w:b/>
          <w:color w:val="000000"/>
          <w:sz w:val="20"/>
        </w:rPr>
        <w:t>CONDENSED CONSOLIDATED STATEMENTS OF INCOME AND COMPREHENSIVE INCOME</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774"/>
        <w:gridCol w:w="146"/>
        <w:gridCol w:w="213"/>
        <w:gridCol w:w="1077"/>
        <w:gridCol w:w="167"/>
        <w:gridCol w:w="147"/>
        <w:gridCol w:w="213"/>
        <w:gridCol w:w="1077"/>
        <w:gridCol w:w="166"/>
        <w:gridCol w:w="146"/>
        <w:gridCol w:w="211"/>
        <w:gridCol w:w="1066"/>
        <w:gridCol w:w="166"/>
        <w:gridCol w:w="146"/>
        <w:gridCol w:w="211"/>
        <w:gridCol w:w="1066"/>
        <w:gridCol w:w="213"/>
      </w:tblGrid>
      <w:tr>
        <w:trPr/>
        <w:tc>
          <w:tcPr>
            <w:tcW w:w="37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77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28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8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 September 30,</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74" w:type="dxa"/>
            <w:tcBorders/>
            <w:shd w:fill="FFFFFF" w:val="clear"/>
            <w:vAlign w:val="center"/>
          </w:tcPr>
          <w:p>
            <w:pPr>
              <w:pStyle w:val="TableContents"/>
              <w:bidi w:val="0"/>
              <w:spacing w:before="0" w:after="283"/>
              <w:jc w:val="left"/>
              <w:rPr>
                <w:rFonts w:ascii="Arial" w:hAnsi="Arial"/>
                <w:b w:val="false"/>
                <w:i/>
                <w:color w:val="000000"/>
                <w:sz w:val="16"/>
              </w:rPr>
            </w:pPr>
            <w:r>
              <w:rPr>
                <w:rFonts w:ascii="Arial" w:hAnsi="Arial"/>
                <w:b w:val="false"/>
                <w:i/>
                <w:color w:val="000000"/>
                <w:sz w:val="16"/>
              </w:rPr>
              <w:t>(In thousands, except share and per share data)</w:t>
            </w:r>
          </w:p>
        </w:tc>
        <w:tc>
          <w:tcPr>
            <w:tcW w:w="146" w:type="dxa"/>
            <w:tcBorders/>
            <w:shd w:fill="FFFFFF" w:val="clear"/>
            <w:vAlign w:val="center"/>
          </w:tcPr>
          <w:p>
            <w:pPr>
              <w:pStyle w:val="TableContents"/>
              <w:bidi w:val="0"/>
              <w:spacing w:before="0" w:after="283"/>
              <w:jc w:val="center"/>
              <w:rPr/>
            </w:pPr>
            <w:r>
              <w:rP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vAlign w:val="center"/>
          </w:tcPr>
          <w:p>
            <w:pPr>
              <w:pStyle w:val="TableContents"/>
              <w:bidi w:val="0"/>
              <w:spacing w:before="0" w:after="283"/>
              <w:jc w:val="center"/>
              <w:rPr/>
            </w:pPr>
            <w:r>
              <w:rP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2022</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74"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Revenue, net:</w:t>
            </w:r>
          </w:p>
        </w:tc>
        <w:tc>
          <w:tcPr>
            <w:tcW w:w="146" w:type="dxa"/>
            <w:tcBorders/>
            <w:shd w:fill="CFF0FC" w:val="clear"/>
            <w:vAlign w:val="center"/>
          </w:tcPr>
          <w:p>
            <w:pPr>
              <w:pStyle w:val="TableContents"/>
              <w:bidi w:val="0"/>
              <w:spacing w:before="0" w:after="283"/>
              <w:jc w:val="left"/>
              <w:rPr/>
            </w:pPr>
            <w:r>
              <w:rPr/>
              <w:t> </w:t>
            </w:r>
          </w:p>
        </w:tc>
        <w:tc>
          <w:tcPr>
            <w:tcW w:w="1290" w:type="dxa"/>
            <w:gridSpan w:val="2"/>
            <w:tcBorders/>
            <w:shd w:fill="CFF0FC" w:val="clear"/>
            <w:vAlign w:val="center"/>
          </w:tcPr>
          <w:p>
            <w:pPr>
              <w:pStyle w:val="TableContents"/>
              <w:bidi w:val="0"/>
              <w:spacing w:before="0" w:after="283"/>
              <w:jc w:val="left"/>
              <w:rPr/>
            </w:pPr>
            <w:r>
              <w:rPr/>
              <w:t> </w:t>
            </w:r>
          </w:p>
        </w:tc>
        <w:tc>
          <w:tcPr>
            <w:tcW w:w="167"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1290"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7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77" w:type="dxa"/>
            <w:gridSpan w:val="2"/>
            <w:tcBorders/>
            <w:shd w:fill="CFF0FC" w:val="clear"/>
            <w:vAlign w:val="center"/>
          </w:tcPr>
          <w:p>
            <w:pPr>
              <w:pStyle w:val="TableContents"/>
              <w:bidi w:val="0"/>
              <w:spacing w:before="0" w:after="283"/>
              <w:jc w:val="right"/>
              <w:rPr/>
            </w:pPr>
            <w:r>
              <w:rPr/>
              <w:t> </w:t>
            </w:r>
          </w:p>
        </w:tc>
        <w:tc>
          <w:tcPr>
            <w:tcW w:w="213" w:type="dxa"/>
            <w:tcBorders/>
            <w:shd w:fill="CFF0FC" w:val="clear"/>
            <w:vAlign w:val="center"/>
          </w:tcPr>
          <w:p>
            <w:pPr>
              <w:pStyle w:val="TableContents"/>
              <w:bidi w:val="0"/>
              <w:spacing w:before="0" w:after="283"/>
              <w:jc w:val="right"/>
              <w:rPr/>
            </w:pPr>
            <w:r>
              <w:rPr/>
              <w:t> </w:t>
            </w:r>
          </w:p>
        </w:tc>
      </w:tr>
      <w:tr>
        <w:trPr/>
        <w:tc>
          <w:tcPr>
            <w:tcW w:w="3774"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Tool rental</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077"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29,361</w:t>
            </w:r>
          </w:p>
        </w:tc>
        <w:tc>
          <w:tcPr>
            <w:tcW w:w="167"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077"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26,837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06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90,639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06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70,277</w:t>
            </w:r>
          </w:p>
        </w:tc>
        <w:tc>
          <w:tcPr>
            <w:tcW w:w="213" w:type="dxa"/>
            <w:tcBorders/>
            <w:shd w:fill="FFFFFF" w:val="clear"/>
            <w:vAlign w:val="center"/>
          </w:tcPr>
          <w:p>
            <w:pPr>
              <w:pStyle w:val="TableContents"/>
              <w:bidi w:val="0"/>
              <w:spacing w:before="0" w:after="283"/>
              <w:jc w:val="left"/>
              <w:rPr/>
            </w:pPr>
            <w:r>
              <w:rPr/>
              <w:t> </w:t>
            </w:r>
          </w:p>
        </w:tc>
      </w:tr>
      <w:tr>
        <w:trPr/>
        <w:tc>
          <w:tcPr>
            <w:tcW w:w="3774"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Product sale</w:t>
            </w:r>
          </w:p>
        </w:tc>
        <w:tc>
          <w:tcPr>
            <w:tcW w:w="146" w:type="dxa"/>
            <w:tcBorders/>
            <w:shd w:fill="CFF0FC" w:val="cle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8,777</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9,710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26,206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22,619</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74" w:type="dxa"/>
            <w:tcBorders/>
            <w:shd w:fill="FFFFFF"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Total revenue, net</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38,138</w:t>
            </w:r>
          </w:p>
        </w:tc>
        <w:tc>
          <w:tcPr>
            <w:tcW w:w="167"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36,547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116,845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92,896</w:t>
            </w:r>
          </w:p>
        </w:tc>
        <w:tc>
          <w:tcPr>
            <w:tcW w:w="213" w:type="dxa"/>
            <w:tcBorders/>
            <w:shd w:fill="FFFFFF" w:val="clear"/>
            <w:vAlign w:val="center"/>
          </w:tcPr>
          <w:p>
            <w:pPr>
              <w:pStyle w:val="TableContents"/>
              <w:bidi w:val="0"/>
              <w:spacing w:before="0" w:after="283"/>
              <w:jc w:val="left"/>
              <w:rPr/>
            </w:pPr>
            <w:r>
              <w:rPr/>
              <w:t> </w:t>
            </w:r>
          </w:p>
        </w:tc>
      </w:tr>
      <w:tr>
        <w:trPr/>
        <w:tc>
          <w:tcPr>
            <w:tcW w:w="3774"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Operating costs and expenses:</w:t>
            </w:r>
          </w:p>
        </w:tc>
        <w:tc>
          <w:tcPr>
            <w:tcW w:w="146" w:type="dxa"/>
            <w:tcBorders/>
            <w:shd w:fill="CFF0FC" w:val="clear"/>
            <w:vAlign w:val="center"/>
          </w:tcPr>
          <w:p>
            <w:pPr>
              <w:pStyle w:val="TableContents"/>
              <w:bidi w:val="0"/>
              <w:spacing w:before="0" w:after="283"/>
              <w:jc w:val="left"/>
              <w:rPr/>
            </w:pPr>
            <w:r>
              <w:rPr/>
              <w:t> </w:t>
            </w:r>
          </w:p>
        </w:tc>
        <w:tc>
          <w:tcPr>
            <w:tcW w:w="1290" w:type="dxa"/>
            <w:gridSpan w:val="2"/>
            <w:tcBorders/>
            <w:shd w:fill="CFF0FC" w:val="clear"/>
            <w:vAlign w:val="center"/>
          </w:tcPr>
          <w:p>
            <w:pPr>
              <w:pStyle w:val="TableContents"/>
              <w:bidi w:val="0"/>
              <w:spacing w:before="0" w:after="283"/>
              <w:jc w:val="right"/>
              <w:rPr/>
            </w:pPr>
            <w:r>
              <w:rPr/>
              <w:t> </w:t>
            </w:r>
          </w:p>
        </w:tc>
        <w:tc>
          <w:tcPr>
            <w:tcW w:w="167" w:type="dxa"/>
            <w:tcBorders/>
            <w:shd w:fill="CFF0FC" w:val="clear"/>
            <w:vAlign w:val="center"/>
          </w:tcPr>
          <w:p>
            <w:pPr>
              <w:pStyle w:val="TableContents"/>
              <w:bidi w:val="0"/>
              <w:spacing w:before="0" w:after="283"/>
              <w:jc w:val="right"/>
              <w:rPr/>
            </w:pPr>
            <w:r>
              <w:rPr/>
              <w:t> </w:t>
            </w:r>
          </w:p>
        </w:tc>
        <w:tc>
          <w:tcPr>
            <w:tcW w:w="147" w:type="dxa"/>
            <w:tcBorders/>
            <w:shd w:fill="CFF0FC" w:val="clear"/>
            <w:vAlign w:val="center"/>
          </w:tcPr>
          <w:p>
            <w:pPr>
              <w:pStyle w:val="TableContents"/>
              <w:bidi w:val="0"/>
              <w:spacing w:before="0" w:after="283"/>
              <w:jc w:val="left"/>
              <w:rPr/>
            </w:pPr>
            <w:r>
              <w:rPr/>
              <w:t> </w:t>
            </w:r>
          </w:p>
        </w:tc>
        <w:tc>
          <w:tcPr>
            <w:tcW w:w="129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7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77" w:type="dxa"/>
            <w:gridSpan w:val="2"/>
            <w:tcBorders/>
            <w:shd w:fill="CFF0FC" w:val="clear"/>
            <w:vAlign w:val="center"/>
          </w:tcPr>
          <w:p>
            <w:pPr>
              <w:pStyle w:val="TableContents"/>
              <w:bidi w:val="0"/>
              <w:spacing w:before="0" w:after="283"/>
              <w:jc w:val="right"/>
              <w:rPr/>
            </w:pPr>
            <w:r>
              <w:rPr/>
              <w:t> </w:t>
            </w:r>
          </w:p>
        </w:tc>
        <w:tc>
          <w:tcPr>
            <w:tcW w:w="213" w:type="dxa"/>
            <w:tcBorders/>
            <w:shd w:fill="CFF0FC" w:val="clear"/>
            <w:vAlign w:val="center"/>
          </w:tcPr>
          <w:p>
            <w:pPr>
              <w:pStyle w:val="TableContents"/>
              <w:bidi w:val="0"/>
              <w:spacing w:before="0" w:after="283"/>
              <w:jc w:val="right"/>
              <w:rPr/>
            </w:pPr>
            <w:r>
              <w:rPr/>
              <w:t> </w:t>
            </w:r>
          </w:p>
        </w:tc>
      </w:tr>
      <w:tr>
        <w:trPr/>
        <w:tc>
          <w:tcPr>
            <w:tcW w:w="3774"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Cost of tool rental revenue</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7,956</w:t>
            </w:r>
          </w:p>
        </w:tc>
        <w:tc>
          <w:tcPr>
            <w:tcW w:w="167"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7,586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23,785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20,578</w:t>
            </w:r>
          </w:p>
        </w:tc>
        <w:tc>
          <w:tcPr>
            <w:tcW w:w="213" w:type="dxa"/>
            <w:tcBorders/>
            <w:shd w:fill="FFFFFF" w:val="clear"/>
            <w:vAlign w:val="center"/>
          </w:tcPr>
          <w:p>
            <w:pPr>
              <w:pStyle w:val="TableContents"/>
              <w:bidi w:val="0"/>
              <w:spacing w:before="0" w:after="283"/>
              <w:jc w:val="left"/>
              <w:rPr/>
            </w:pPr>
            <w:r>
              <w:rPr/>
              <w:t> </w:t>
            </w:r>
          </w:p>
        </w:tc>
      </w:tr>
      <w:tr>
        <w:trPr/>
        <w:tc>
          <w:tcPr>
            <w:tcW w:w="3774"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Cost of product sale revenue</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1077"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1,195</w:t>
            </w:r>
          </w:p>
        </w:tc>
        <w:tc>
          <w:tcPr>
            <w:tcW w:w="167"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1077"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1,372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3,655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3,785</w:t>
            </w:r>
          </w:p>
        </w:tc>
        <w:tc>
          <w:tcPr>
            <w:tcW w:w="213" w:type="dxa"/>
            <w:tcBorders/>
            <w:shd w:fill="CFF0FC" w:val="clear"/>
            <w:vAlign w:val="center"/>
          </w:tcPr>
          <w:p>
            <w:pPr>
              <w:pStyle w:val="TableContents"/>
              <w:bidi w:val="0"/>
              <w:spacing w:before="0" w:after="283"/>
              <w:jc w:val="left"/>
              <w:rPr/>
            </w:pPr>
            <w:r>
              <w:rPr/>
              <w:t> </w:t>
            </w:r>
          </w:p>
        </w:tc>
      </w:tr>
      <w:tr>
        <w:trPr/>
        <w:tc>
          <w:tcPr>
            <w:tcW w:w="3774"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Selling, general, and administrative expense</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16,552</w:t>
            </w:r>
          </w:p>
        </w:tc>
        <w:tc>
          <w:tcPr>
            <w:tcW w:w="167"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14,692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50,999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36,424</w:t>
            </w:r>
          </w:p>
        </w:tc>
        <w:tc>
          <w:tcPr>
            <w:tcW w:w="213" w:type="dxa"/>
            <w:tcBorders/>
            <w:shd w:fill="FFFFFF" w:val="clear"/>
            <w:vAlign w:val="center"/>
          </w:tcPr>
          <w:p>
            <w:pPr>
              <w:pStyle w:val="TableContents"/>
              <w:bidi w:val="0"/>
              <w:spacing w:before="0" w:after="283"/>
              <w:jc w:val="left"/>
              <w:rPr/>
            </w:pPr>
            <w:r>
              <w:rPr/>
              <w:t> </w:t>
            </w:r>
          </w:p>
        </w:tc>
      </w:tr>
      <w:tr>
        <w:trPr/>
        <w:tc>
          <w:tcPr>
            <w:tcW w:w="3774"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Depreciation and amortization expense</w:t>
            </w:r>
          </w:p>
        </w:tc>
        <w:tc>
          <w:tcPr>
            <w:tcW w:w="146" w:type="dxa"/>
            <w:tcBorders/>
            <w:shd w:fill="CFF0FC" w:val="cle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5,303</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4,820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15,035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14,782</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74" w:type="dxa"/>
            <w:tcBorders/>
            <w:shd w:fill="FFFFFF"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Total operating costs and expenses</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31,006</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28,470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93,474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75,569</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74"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Operating income</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1077"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7,132</w:t>
            </w:r>
          </w:p>
        </w:tc>
        <w:tc>
          <w:tcPr>
            <w:tcW w:w="167"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1077"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8,077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23,371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17,327</w:t>
            </w:r>
          </w:p>
        </w:tc>
        <w:tc>
          <w:tcPr>
            <w:tcW w:w="213" w:type="dxa"/>
            <w:tcBorders/>
            <w:shd w:fill="CFF0FC" w:val="clear"/>
            <w:vAlign w:val="center"/>
          </w:tcPr>
          <w:p>
            <w:pPr>
              <w:pStyle w:val="TableContents"/>
              <w:bidi w:val="0"/>
              <w:spacing w:before="0" w:after="283"/>
              <w:jc w:val="left"/>
              <w:rPr/>
            </w:pPr>
            <w:r>
              <w:rPr/>
              <w:t> </w:t>
            </w:r>
          </w:p>
        </w:tc>
      </w:tr>
      <w:tr>
        <w:trPr/>
        <w:tc>
          <w:tcPr>
            <w:tcW w:w="3774" w:type="dxa"/>
            <w:tcBorders/>
            <w:shd w:fill="FFFFFF"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Other expense, net:</w:t>
            </w:r>
          </w:p>
        </w:tc>
        <w:tc>
          <w:tcPr>
            <w:tcW w:w="146" w:type="dxa"/>
            <w:tcBorders/>
            <w:shd w:fill="FFFFFF" w:val="clear"/>
            <w:vAlign w:val="center"/>
          </w:tcPr>
          <w:p>
            <w:pPr>
              <w:pStyle w:val="TableContents"/>
              <w:bidi w:val="0"/>
              <w:spacing w:before="0" w:after="283"/>
              <w:jc w:val="left"/>
              <w:rPr/>
            </w:pPr>
            <w:r>
              <w:rPr/>
              <w:t> </w:t>
            </w:r>
          </w:p>
        </w:tc>
        <w:tc>
          <w:tcPr>
            <w:tcW w:w="1290" w:type="dxa"/>
            <w:gridSpan w:val="2"/>
            <w:tcBorders/>
            <w:shd w:fill="FFFFFF" w:val="clear"/>
            <w:vAlign w:val="center"/>
          </w:tcPr>
          <w:p>
            <w:pPr>
              <w:pStyle w:val="TableContents"/>
              <w:bidi w:val="0"/>
              <w:spacing w:before="0" w:after="283"/>
              <w:jc w:val="right"/>
              <w:rPr/>
            </w:pPr>
            <w:r>
              <w:rPr/>
              <w:t> </w:t>
            </w:r>
          </w:p>
        </w:tc>
        <w:tc>
          <w:tcPr>
            <w:tcW w:w="167" w:type="dxa"/>
            <w:tcBorders/>
            <w:shd w:fill="FFFFFF" w:val="clear"/>
            <w:vAlign w:val="center"/>
          </w:tcPr>
          <w:p>
            <w:pPr>
              <w:pStyle w:val="TableContents"/>
              <w:bidi w:val="0"/>
              <w:spacing w:before="0" w:after="283"/>
              <w:jc w:val="right"/>
              <w:rPr/>
            </w:pPr>
            <w:r>
              <w:rPr/>
              <w:t> </w:t>
            </w:r>
          </w:p>
        </w:tc>
        <w:tc>
          <w:tcPr>
            <w:tcW w:w="147" w:type="dxa"/>
            <w:tcBorders/>
            <w:shd w:fill="FFFFFF" w:val="clear"/>
            <w:vAlign w:val="center"/>
          </w:tcPr>
          <w:p>
            <w:pPr>
              <w:pStyle w:val="TableContents"/>
              <w:bidi w:val="0"/>
              <w:spacing w:before="0" w:after="283"/>
              <w:jc w:val="left"/>
              <w:rPr/>
            </w:pPr>
            <w:r>
              <w:rPr/>
              <w:t> </w:t>
            </w:r>
          </w:p>
        </w:tc>
        <w:tc>
          <w:tcPr>
            <w:tcW w:w="129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7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77" w:type="dxa"/>
            <w:gridSpan w:val="2"/>
            <w:tcBorders/>
            <w:shd w:fill="FFFFFF" w:val="clear"/>
            <w:vAlign w:val="center"/>
          </w:tcPr>
          <w:p>
            <w:pPr>
              <w:pStyle w:val="TableContents"/>
              <w:bidi w:val="0"/>
              <w:spacing w:before="0" w:after="283"/>
              <w:jc w:val="right"/>
              <w:rPr/>
            </w:pPr>
            <w:r>
              <w:rPr/>
              <w:t> </w:t>
            </w:r>
          </w:p>
        </w:tc>
        <w:tc>
          <w:tcPr>
            <w:tcW w:w="213" w:type="dxa"/>
            <w:tcBorders/>
            <w:shd w:fill="FFFFFF" w:val="clear"/>
            <w:vAlign w:val="center"/>
          </w:tcPr>
          <w:p>
            <w:pPr>
              <w:pStyle w:val="TableContents"/>
              <w:bidi w:val="0"/>
              <w:spacing w:before="0" w:after="283"/>
              <w:jc w:val="right"/>
              <w:rPr/>
            </w:pPr>
            <w:r>
              <w:rPr/>
              <w:t> </w:t>
            </w:r>
          </w:p>
        </w:tc>
      </w:tr>
      <w:tr>
        <w:trPr/>
        <w:tc>
          <w:tcPr>
            <w:tcW w:w="3774"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Interest expense, net</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1077"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(73</w:t>
            </w:r>
          </w:p>
        </w:tc>
        <w:tc>
          <w:tcPr>
            <w:tcW w:w="167"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7"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1077"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(45</w:t>
            </w:r>
          </w:p>
        </w:tc>
        <w:tc>
          <w:tcPr>
            <w:tcW w:w="16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(995</w:t>
            </w:r>
          </w:p>
        </w:tc>
        <w:tc>
          <w:tcPr>
            <w:tcW w:w="16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(41</w:t>
            </w:r>
          </w:p>
        </w:tc>
        <w:tc>
          <w:tcPr>
            <w:tcW w:w="213"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3774"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Gain on sale of property</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color w:val="000000"/>
              </w:rPr>
            </w:pPr>
            <w:r>
              <w:rPr>
                <w:color w:val="000000"/>
              </w:rPr>
              <w:t>—</w:t>
            </w:r>
          </w:p>
        </w:tc>
        <w:tc>
          <w:tcPr>
            <w:tcW w:w="167"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102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107</w:t>
            </w:r>
          </w:p>
        </w:tc>
        <w:tc>
          <w:tcPr>
            <w:tcW w:w="213" w:type="dxa"/>
            <w:tcBorders/>
            <w:shd w:fill="FFFFFF" w:val="clear"/>
            <w:vAlign w:val="center"/>
          </w:tcPr>
          <w:p>
            <w:pPr>
              <w:pStyle w:val="TableContents"/>
              <w:bidi w:val="0"/>
              <w:spacing w:before="0" w:after="283"/>
              <w:jc w:val="left"/>
              <w:rPr/>
            </w:pPr>
            <w:r>
              <w:rPr/>
              <w:t> </w:t>
            </w:r>
          </w:p>
        </w:tc>
      </w:tr>
      <w:tr>
        <w:trPr/>
        <w:tc>
          <w:tcPr>
            <w:tcW w:w="3774"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Unrealized loss on equity securities</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1077"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(535</w:t>
            </w:r>
          </w:p>
        </w:tc>
        <w:tc>
          <w:tcPr>
            <w:tcW w:w="167"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7"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1077"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(398</w:t>
            </w:r>
          </w:p>
        </w:tc>
        <w:tc>
          <w:tcPr>
            <w:tcW w:w="16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(148</w:t>
            </w:r>
          </w:p>
        </w:tc>
        <w:tc>
          <w:tcPr>
            <w:tcW w:w="16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(75</w:t>
            </w:r>
          </w:p>
        </w:tc>
        <w:tc>
          <w:tcPr>
            <w:tcW w:w="213"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3774"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Other expense, net</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(135</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7" w:type="dxa"/>
            <w:tcBorders/>
            <w:shd w:fill="FFFFFF" w:val="cle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(6,170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(209</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3774"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Total other expense, net</w:t>
            </w:r>
          </w:p>
        </w:tc>
        <w:tc>
          <w:tcPr>
            <w:tcW w:w="146" w:type="dxa"/>
            <w:tcBorders/>
            <w:shd w:fill="CFF0FC" w:val="cle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(743</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7" w:type="dxa"/>
            <w:tcBorders/>
            <w:shd w:fill="CFF0FC" w:val="cle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(7,245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(218</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3774"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Income before income tax expense</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6,389</w:t>
            </w:r>
          </w:p>
        </w:tc>
        <w:tc>
          <w:tcPr>
            <w:tcW w:w="167"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7,622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16,126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17,109</w:t>
            </w:r>
          </w:p>
        </w:tc>
        <w:tc>
          <w:tcPr>
            <w:tcW w:w="213" w:type="dxa"/>
            <w:tcBorders/>
            <w:shd w:fill="FFFFFF" w:val="clear"/>
            <w:vAlign w:val="center"/>
          </w:tcPr>
          <w:p>
            <w:pPr>
              <w:pStyle w:val="TableContents"/>
              <w:bidi w:val="0"/>
              <w:spacing w:before="0" w:after="283"/>
              <w:jc w:val="left"/>
              <w:rPr/>
            </w:pPr>
            <w:r>
              <w:rPr/>
              <w:t> </w:t>
            </w:r>
          </w:p>
        </w:tc>
      </w:tr>
      <w:tr>
        <w:trPr/>
        <w:tc>
          <w:tcPr>
            <w:tcW w:w="3774"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Income tax expense</w:t>
            </w:r>
          </w:p>
        </w:tc>
        <w:tc>
          <w:tcPr>
            <w:tcW w:w="146" w:type="dxa"/>
            <w:tcBorders/>
            <w:shd w:fill="CFF0FC" w:val="cle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(2,102</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7" w:type="dxa"/>
            <w:tcBorders/>
            <w:shd w:fill="CFF0FC" w:val="cle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(5,201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(2,846</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3774" w:type="dxa"/>
            <w:tcBorders/>
            <w:shd w:fill="FFFFFF"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Net income</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077"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4,287</w:t>
            </w:r>
          </w:p>
        </w:tc>
        <w:tc>
          <w:tcPr>
            <w:tcW w:w="167"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077"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6,996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06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10,925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06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14,263</w:t>
            </w:r>
          </w:p>
        </w:tc>
        <w:tc>
          <w:tcPr>
            <w:tcW w:w="213" w:type="dxa"/>
            <w:tcBorders/>
            <w:shd w:fill="FFFFFF" w:val="clear"/>
            <w:vAlign w:val="center"/>
          </w:tcPr>
          <w:p>
            <w:pPr>
              <w:pStyle w:val="TableContents"/>
              <w:bidi w:val="0"/>
              <w:spacing w:before="0" w:after="283"/>
              <w:jc w:val="left"/>
              <w:rPr/>
            </w:pPr>
            <w:r>
              <w:rPr/>
              <w:t> </w:t>
            </w:r>
          </w:p>
        </w:tc>
      </w:tr>
      <w:tr>
        <w:trPr/>
        <w:tc>
          <w:tcPr>
            <w:tcW w:w="3774"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Accumulated dividends on redeemable convertible preferred stock</w:t>
            </w:r>
          </w:p>
        </w:tc>
        <w:tc>
          <w:tcPr>
            <w:tcW w:w="146" w:type="dxa"/>
            <w:tcBorders/>
            <w:shd w:fill="CFF0FC" w:val="cle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883</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74"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Net income available to common shareholders</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0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4,287</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0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6,702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10,611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13,380</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74"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Basic earnings per share</w:t>
            </w:r>
          </w:p>
        </w:tc>
        <w:tc>
          <w:tcPr>
            <w:tcW w:w="146" w:type="dxa"/>
            <w:tcBorders/>
            <w:shd w:fill="CFF0FC" w:val="cle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0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0.14</w:t>
            </w:r>
          </w:p>
        </w:tc>
        <w:tc>
          <w:tcPr>
            <w:tcW w:w="1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0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0.56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0.57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1.12</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74"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Diluted earnings per share</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0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0.14</w:t>
            </w:r>
          </w:p>
        </w:tc>
        <w:tc>
          <w:tcPr>
            <w:tcW w:w="1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0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0.36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0.46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0.72</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74"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Basic weighted-average common shares outstanding</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1077"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29,768,568</w:t>
            </w:r>
          </w:p>
        </w:tc>
        <w:tc>
          <w:tcPr>
            <w:tcW w:w="167"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1077"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11,951,137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18,608,708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11,951,137</w:t>
            </w:r>
          </w:p>
        </w:tc>
        <w:tc>
          <w:tcPr>
            <w:tcW w:w="213" w:type="dxa"/>
            <w:tcBorders/>
            <w:shd w:fill="CFF0FC" w:val="clear"/>
            <w:vAlign w:val="center"/>
          </w:tcPr>
          <w:p>
            <w:pPr>
              <w:pStyle w:val="TableContents"/>
              <w:bidi w:val="0"/>
              <w:spacing w:before="0" w:after="283"/>
              <w:jc w:val="left"/>
              <w:rPr/>
            </w:pPr>
            <w:r>
              <w:rPr/>
              <w:t> </w:t>
            </w:r>
          </w:p>
        </w:tc>
      </w:tr>
      <w:tr>
        <w:trPr/>
        <w:tc>
          <w:tcPr>
            <w:tcW w:w="3774"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Diluted weighted-average common shares outstanding</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30,043,546</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19,677,507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23,554,593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19,677,507</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74"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Comprehensive income:</w:t>
            </w:r>
          </w:p>
        </w:tc>
        <w:tc>
          <w:tcPr>
            <w:tcW w:w="146" w:type="dxa"/>
            <w:tcBorders/>
            <w:shd w:fill="CFF0FC" w:val="clear"/>
            <w:vAlign w:val="center"/>
          </w:tcPr>
          <w:p>
            <w:pPr>
              <w:pStyle w:val="TableContents"/>
              <w:bidi w:val="0"/>
              <w:spacing w:before="0" w:after="283"/>
              <w:jc w:val="left"/>
              <w:rPr/>
            </w:pPr>
            <w:r>
              <w:rPr/>
              <w:t> </w:t>
            </w:r>
          </w:p>
        </w:tc>
        <w:tc>
          <w:tcPr>
            <w:tcW w:w="1290" w:type="dxa"/>
            <w:gridSpan w:val="2"/>
            <w:tcBorders/>
            <w:shd w:fill="CFF0FC" w:val="clear"/>
            <w:vAlign w:val="center"/>
          </w:tcPr>
          <w:p>
            <w:pPr>
              <w:pStyle w:val="TableContents"/>
              <w:bidi w:val="0"/>
              <w:spacing w:before="0" w:after="283"/>
              <w:jc w:val="right"/>
              <w:rPr/>
            </w:pPr>
            <w:r>
              <w:rPr/>
              <w:t> </w:t>
            </w:r>
          </w:p>
        </w:tc>
        <w:tc>
          <w:tcPr>
            <w:tcW w:w="167" w:type="dxa"/>
            <w:tcBorders/>
            <w:shd w:fill="CFF0FC" w:val="clear"/>
            <w:vAlign w:val="center"/>
          </w:tcPr>
          <w:p>
            <w:pPr>
              <w:pStyle w:val="TableContents"/>
              <w:bidi w:val="0"/>
              <w:spacing w:before="0" w:after="283"/>
              <w:jc w:val="right"/>
              <w:rPr/>
            </w:pPr>
            <w:r>
              <w:rPr/>
              <w:t> </w:t>
            </w:r>
          </w:p>
        </w:tc>
        <w:tc>
          <w:tcPr>
            <w:tcW w:w="147" w:type="dxa"/>
            <w:tcBorders/>
            <w:shd w:fill="CFF0FC" w:val="clear"/>
            <w:vAlign w:val="center"/>
          </w:tcPr>
          <w:p>
            <w:pPr>
              <w:pStyle w:val="TableContents"/>
              <w:bidi w:val="0"/>
              <w:spacing w:before="0" w:after="283"/>
              <w:jc w:val="left"/>
              <w:rPr/>
            </w:pPr>
            <w:r>
              <w:rPr/>
              <w:t> </w:t>
            </w:r>
          </w:p>
        </w:tc>
        <w:tc>
          <w:tcPr>
            <w:tcW w:w="129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7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77" w:type="dxa"/>
            <w:gridSpan w:val="2"/>
            <w:tcBorders/>
            <w:shd w:fill="CFF0FC" w:val="clear"/>
            <w:vAlign w:val="center"/>
          </w:tcPr>
          <w:p>
            <w:pPr>
              <w:pStyle w:val="TableContents"/>
              <w:bidi w:val="0"/>
              <w:spacing w:before="0" w:after="283"/>
              <w:jc w:val="right"/>
              <w:rPr/>
            </w:pPr>
            <w:r>
              <w:rPr/>
              <w:t> </w:t>
            </w:r>
          </w:p>
        </w:tc>
        <w:tc>
          <w:tcPr>
            <w:tcW w:w="213" w:type="dxa"/>
            <w:tcBorders/>
            <w:shd w:fill="CFF0FC" w:val="clear"/>
            <w:vAlign w:val="center"/>
          </w:tcPr>
          <w:p>
            <w:pPr>
              <w:pStyle w:val="TableContents"/>
              <w:bidi w:val="0"/>
              <w:spacing w:before="0" w:after="283"/>
              <w:jc w:val="right"/>
              <w:rPr/>
            </w:pPr>
            <w:r>
              <w:rPr/>
              <w:t> </w:t>
            </w:r>
          </w:p>
        </w:tc>
      </w:tr>
      <w:tr>
        <w:trPr/>
        <w:tc>
          <w:tcPr>
            <w:tcW w:w="3774"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Net income</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077"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4,287</w:t>
            </w:r>
          </w:p>
        </w:tc>
        <w:tc>
          <w:tcPr>
            <w:tcW w:w="167"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077"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6,996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06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10,925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06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14,263</w:t>
            </w:r>
          </w:p>
        </w:tc>
        <w:tc>
          <w:tcPr>
            <w:tcW w:w="213" w:type="dxa"/>
            <w:tcBorders/>
            <w:shd w:fill="FFFFFF" w:val="clear"/>
            <w:vAlign w:val="center"/>
          </w:tcPr>
          <w:p>
            <w:pPr>
              <w:pStyle w:val="TableContents"/>
              <w:bidi w:val="0"/>
              <w:spacing w:before="0" w:after="283"/>
              <w:jc w:val="left"/>
              <w:rPr/>
            </w:pPr>
            <w:r>
              <w:rPr/>
              <w:t> </w:t>
            </w:r>
          </w:p>
        </w:tc>
      </w:tr>
      <w:tr>
        <w:trPr/>
        <w:tc>
          <w:tcPr>
            <w:tcW w:w="3774"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Foreign currency translation adjustment, net of tax</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1077"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90</w:t>
            </w:r>
          </w:p>
        </w:tc>
        <w:tc>
          <w:tcPr>
            <w:tcW w:w="167"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1077"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(24</w:t>
            </w:r>
          </w:p>
        </w:tc>
        <w:tc>
          <w:tcPr>
            <w:tcW w:w="16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(117</w:t>
            </w:r>
          </w:p>
        </w:tc>
        <w:tc>
          <w:tcPr>
            <w:tcW w:w="16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(86</w:t>
            </w:r>
          </w:p>
        </w:tc>
        <w:tc>
          <w:tcPr>
            <w:tcW w:w="213"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3774" w:type="dxa"/>
            <w:tcBorders/>
            <w:shd w:fill="FFFFFF"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Net comprehensive income</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0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4,377</w:t>
            </w:r>
          </w:p>
        </w:tc>
        <w:tc>
          <w:tcPr>
            <w:tcW w:w="1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0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6,972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10,808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14,177</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rFonts w:ascii="Times New Roman" w:hAnsi="Times New Roman"/>
          <w:sz w:val="20"/>
        </w:rPr>
      </w:pPr>
      <w:r>
        <w:rPr>
          <w:rFonts w:ascii="Arial" w:hAnsi="Arial"/>
          <w:b w:val="false"/>
          <w:i/>
          <w:color w:val="000000"/>
          <w:sz w:val="16"/>
        </w:rPr>
        <w:t>The accompanying notes are an integral part of these unaudited condensed consolidated financial statements</w:t>
      </w:r>
      <w:r>
        <w:rPr>
          <w:rFonts w:ascii="Arial" w:hAnsi="Arial"/>
          <w:b w:val="false"/>
          <w:color w:val="000000"/>
          <w:sz w:val="20"/>
        </w:rPr>
        <w:t>.</w:t>
      </w:r>
    </w:p>
    <w:p>
      <w:pPr>
        <w:pStyle w:val="TextBody"/>
        <w:bidi w:val="0"/>
        <w:jc w:val="center"/>
        <w:rPr/>
      </w:pPr>
      <w:r>
        <w:rPr/>
        <w:t> </w:t>
      </w:r>
    </w:p>
    <w:p>
      <w:pPr>
        <w:pStyle w:val="TextBody"/>
        <w:bidi w:val="0"/>
        <w:jc w:val="center"/>
        <w:rPr>
          <w:rFonts w:ascii="Arial" w:hAnsi="Arial"/>
          <w:b w:val="false"/>
          <w:color w:val="000000"/>
          <w:sz w:val="20"/>
        </w:rPr>
      </w:pPr>
      <w:r>
        <w:rPr>
          <w:rFonts w:ascii="Arial" w:hAnsi="Arial"/>
          <w:b w:val="false"/>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DRILLING TOOLS INTERNATIONAL CORPORATION</w:t>
      </w:r>
    </w:p>
    <w:p>
      <w:pPr>
        <w:pStyle w:val="TextBody"/>
        <w:bidi w:val="0"/>
        <w:jc w:val="center"/>
        <w:rPr>
          <w:rFonts w:ascii="Arial" w:hAnsi="Arial"/>
          <w:b/>
          <w:color w:val="000000"/>
          <w:sz w:val="20"/>
        </w:rPr>
      </w:pPr>
      <w:bookmarkStart w:id="7" w:name="consolidated_of_shareholder_equity"/>
      <w:bookmarkEnd w:id="7"/>
      <w:r>
        <w:rPr>
          <w:rFonts w:ascii="Arial" w:hAnsi="Arial"/>
          <w:b/>
          <w:color w:val="000000"/>
          <w:sz w:val="20"/>
        </w:rPr>
        <w:t>CONDENSED CONSOLIDATED STATEMENTS OF CHANGES IN REDEEMABLE CONVERTIBLE PREFERRED STOCK AND SHAREHOLDERS’ EQUITY</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tbl>
      <w:tblPr>
        <w:tblW w:w="12501" w:type="dxa"/>
        <w:jc w:val="left"/>
        <w:tblInd w:w="0" w:type="dxa"/>
        <w:tblLayout w:type="fixed"/>
        <w:tblCellMar>
          <w:top w:w="28" w:type="dxa"/>
          <w:left w:w="28" w:type="dxa"/>
          <w:bottom w:w="28" w:type="dxa"/>
          <w:right w:w="28" w:type="dxa"/>
        </w:tblCellMar>
      </w:tblPr>
      <w:tblGrid>
        <w:gridCol w:w="931"/>
        <w:gridCol w:w="146"/>
        <w:gridCol w:w="146"/>
        <w:gridCol w:w="841"/>
        <w:gridCol w:w="151"/>
        <w:gridCol w:w="146"/>
        <w:gridCol w:w="181"/>
        <w:gridCol w:w="526"/>
        <w:gridCol w:w="146"/>
        <w:gridCol w:w="146"/>
        <w:gridCol w:w="146"/>
        <w:gridCol w:w="146"/>
        <w:gridCol w:w="841"/>
        <w:gridCol w:w="151"/>
        <w:gridCol w:w="146"/>
        <w:gridCol w:w="190"/>
        <w:gridCol w:w="396"/>
        <w:gridCol w:w="151"/>
        <w:gridCol w:w="146"/>
        <w:gridCol w:w="146"/>
        <w:gridCol w:w="646"/>
        <w:gridCol w:w="151"/>
        <w:gridCol w:w="146"/>
        <w:gridCol w:w="190"/>
        <w:gridCol w:w="396"/>
        <w:gridCol w:w="151"/>
        <w:gridCol w:w="146"/>
        <w:gridCol w:w="192"/>
        <w:gridCol w:w="559"/>
        <w:gridCol w:w="151"/>
        <w:gridCol w:w="146"/>
        <w:gridCol w:w="224"/>
        <w:gridCol w:w="707"/>
        <w:gridCol w:w="151"/>
        <w:gridCol w:w="146"/>
        <w:gridCol w:w="356"/>
        <w:gridCol w:w="740"/>
        <w:gridCol w:w="151"/>
        <w:gridCol w:w="146"/>
        <w:gridCol w:w="253"/>
        <w:gridCol w:w="738"/>
        <w:gridCol w:w="196"/>
      </w:tblGrid>
      <w:tr>
        <w:trPr/>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93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9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Redeemable Convertible 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Common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7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Treasury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6"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center"/>
              <w:rPr/>
            </w:pPr>
            <w:r>
              <w:rPr/>
              <w:t> </w:t>
            </w:r>
          </w:p>
        </w:tc>
      </w:tr>
      <w:tr>
        <w:trPr/>
        <w:tc>
          <w:tcPr>
            <w:tcW w:w="931" w:type="dxa"/>
            <w:tcBorders/>
            <w:shd w:fill="FFFFFF" w:val="clear"/>
            <w:vAlign w:val="center"/>
          </w:tcPr>
          <w:p>
            <w:pPr>
              <w:pStyle w:val="TableContents"/>
              <w:bidi w:val="0"/>
              <w:spacing w:before="0" w:after="283"/>
              <w:jc w:val="left"/>
              <w:rPr>
                <w:rFonts w:ascii="Arial" w:hAnsi="Arial"/>
                <w:b w:val="false"/>
                <w:i/>
                <w:color w:val="000000"/>
                <w:sz w:val="14"/>
              </w:rPr>
            </w:pPr>
            <w:r>
              <w:rPr>
                <w:rFonts w:ascii="Arial" w:hAnsi="Arial"/>
                <w:b w:val="false"/>
                <w:i/>
                <w:color w:val="000000"/>
                <w:sz w:val="14"/>
              </w:rPr>
              <w:t>(In thousands, except share and per share data)</w:t>
            </w:r>
          </w:p>
        </w:tc>
        <w:tc>
          <w:tcPr>
            <w:tcW w:w="146" w:type="dxa"/>
            <w:tcBorders/>
            <w:shd w:fill="FFFFFF" w:val="cle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Additional</w:t>
              <w:br/>
              <w:t>Paid-In</w:t>
              <w:br/>
              <w:t>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Accumulated</w:t>
              <w:b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Accumulated</w:t>
              <w:br/>
              <w:t>Other</w:t>
              <w:br/>
              <w:t>Comprehensive</w:t>
              <w:br/>
              <w:t>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Total</w:t>
              <w:br/>
              <w:t>Shareholders'</w:t>
              <w:br/>
              <w:t>Equity</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31" w:type="dxa"/>
            <w:tcBorders/>
            <w:shd w:fill="CFF0FC" w:val="clear"/>
            <w:vAlign w:val="center"/>
          </w:tcPr>
          <w:p>
            <w:pPr>
              <w:pStyle w:val="TableContents"/>
              <w:bidi w:val="0"/>
              <w:spacing w:before="0" w:after="283"/>
              <w:jc w:val="left"/>
              <w:rPr>
                <w:rFonts w:ascii="Arial" w:hAnsi="Arial"/>
                <w:b/>
                <w:color w:val="000000"/>
                <w:sz w:val="14"/>
              </w:rPr>
            </w:pPr>
            <w:r>
              <w:rPr>
                <w:rFonts w:ascii="Arial" w:hAnsi="Arial"/>
                <w:b/>
                <w:color w:val="000000"/>
                <w:sz w:val="14"/>
              </w:rPr>
              <w:t>BALANCE, December 31,</w:t>
              <w:br/>
              <w:t>   2021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20,370,377</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526" w:type="dxa"/>
            <w:tcBorders/>
            <w:shd w:fill="CFF0FC"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16,689</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53,175,028</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0" w:type="dxa"/>
            <w:tcBorders/>
            <w:shd w:fill="CFF0FC" w:val="cle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396" w:type="dxa"/>
            <w:tcBorders/>
            <w:shd w:fill="CFF0FC"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532</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(811,156</w:t>
            </w:r>
          </w:p>
        </w:tc>
        <w:tc>
          <w:tcPr>
            <w:tcW w:w="151" w:type="dxa"/>
            <w:tcBorders/>
            <w:shd w:fill="CFF0FC" w:val="cle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90" w:type="dxa"/>
            <w:tcBorders/>
            <w:shd w:fill="CFF0FC" w:val="cle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396" w:type="dxa"/>
            <w:tcBorders/>
            <w:shd w:fill="CFF0FC"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(933</w:t>
            </w:r>
          </w:p>
        </w:tc>
        <w:tc>
          <w:tcPr>
            <w:tcW w:w="151" w:type="dxa"/>
            <w:tcBorders/>
            <w:shd w:fill="CFF0FC" w:val="cle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92" w:type="dxa"/>
            <w:tcBorders/>
            <w:shd w:fill="CFF0FC" w:val="cle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559" w:type="dxa"/>
            <w:tcBorders/>
            <w:shd w:fill="CFF0FC"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53,979</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707" w:type="dxa"/>
            <w:tcBorders/>
            <w:shd w:fill="CFF0FC"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(42,134</w:t>
            </w:r>
          </w:p>
        </w:tc>
        <w:tc>
          <w:tcPr>
            <w:tcW w:w="151" w:type="dxa"/>
            <w:tcBorders/>
            <w:shd w:fill="CFF0FC" w:val="cle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740" w:type="dxa"/>
            <w:tcBorders/>
            <w:shd w:fill="CFF0FC"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(284</w:t>
            </w:r>
          </w:p>
        </w:tc>
        <w:tc>
          <w:tcPr>
            <w:tcW w:w="151" w:type="dxa"/>
            <w:tcBorders/>
            <w:shd w:fill="CFF0FC" w:val="cle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738" w:type="dxa"/>
            <w:tcBorders/>
            <w:shd w:fill="CFF0FC"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11,160</w:t>
            </w:r>
          </w:p>
        </w:tc>
        <w:tc>
          <w:tcPr>
            <w:tcW w:w="196" w:type="dxa"/>
            <w:tcBorders/>
            <w:shd w:fill="CFF0FC" w:val="clear"/>
            <w:vAlign w:val="center"/>
          </w:tcPr>
          <w:p>
            <w:pPr>
              <w:pStyle w:val="TableContents"/>
              <w:bidi w:val="0"/>
              <w:spacing w:before="0" w:after="283"/>
              <w:jc w:val="left"/>
              <w:rPr/>
            </w:pPr>
            <w:r>
              <w:rPr/>
              <w:t> </w:t>
            </w:r>
          </w:p>
        </w:tc>
      </w:tr>
      <w:tr>
        <w:trPr/>
        <w:tc>
          <w:tcPr>
            <w:tcW w:w="931" w:type="dxa"/>
            <w:tcBorders/>
            <w:shd w:fill="FFFFFF" w:val="cle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Retroactive application of Merger</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(13,650,736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(41,223,891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(531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811,156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933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(402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931" w:type="dxa"/>
            <w:tcBorders/>
            <w:shd w:fill="CFF0FC" w:val="clear"/>
            <w:vAlign w:val="center"/>
          </w:tcPr>
          <w:p>
            <w:pPr>
              <w:pStyle w:val="TableContents"/>
              <w:bidi w:val="0"/>
              <w:spacing w:before="0" w:after="283"/>
              <w:jc w:val="left"/>
              <w:rPr>
                <w:rFonts w:ascii="Arial" w:hAnsi="Arial"/>
                <w:b/>
                <w:color w:val="000000"/>
                <w:sz w:val="14"/>
              </w:rPr>
            </w:pPr>
            <w:r>
              <w:rPr>
                <w:rFonts w:ascii="Arial" w:hAnsi="Arial"/>
                <w:b/>
                <w:color w:val="000000"/>
                <w:sz w:val="14"/>
              </w:rPr>
              <w:t>Adjusted Balances, beginning of period*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6,719,641</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16,689</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11,951,137</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0" w:type="dxa"/>
            <w:tcBorders/>
            <w:shd w:fill="CFF0FC" w:val="clear"/>
            <w:vAlign w:val="center"/>
          </w:tcPr>
          <w:p>
            <w:pPr>
              <w:pStyle w:val="TableContents"/>
              <w:bidi w:val="0"/>
              <w:spacing w:before="0" w:after="283"/>
              <w:jc w:val="left"/>
              <w:rPr/>
            </w:pPr>
            <w:r>
              <w:rPr/>
              <w:t> </w:t>
            </w:r>
          </w:p>
        </w:tc>
        <w:tc>
          <w:tcPr>
            <w:tcW w:w="396" w:type="dxa"/>
            <w:tcBorders/>
            <w:shd w:fill="CFF0FC"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1</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0" w:type="dxa"/>
            <w:tcBorders/>
            <w:shd w:fill="CFF0FC" w:val="clear"/>
            <w:vAlign w:val="center"/>
          </w:tcPr>
          <w:p>
            <w:pPr>
              <w:pStyle w:val="TableContents"/>
              <w:bidi w:val="0"/>
              <w:spacing w:before="0" w:after="283"/>
              <w:jc w:val="left"/>
              <w:rPr/>
            </w:pPr>
            <w:r>
              <w:rPr/>
              <w:t> </w:t>
            </w:r>
          </w:p>
        </w:tc>
        <w:tc>
          <w:tcPr>
            <w:tcW w:w="39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2"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53,577</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(42,134</w:t>
            </w:r>
          </w:p>
        </w:tc>
        <w:tc>
          <w:tcPr>
            <w:tcW w:w="151" w:type="dxa"/>
            <w:tcBorders/>
            <w:shd w:fill="CFF0FC" w:val="cle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left"/>
              <w:rPr/>
            </w:pPr>
            <w:r>
              <w:rPr/>
              <w:t> </w:t>
            </w:r>
          </w:p>
        </w:tc>
        <w:tc>
          <w:tcPr>
            <w:tcW w:w="740" w:type="dxa"/>
            <w:tcBorders/>
            <w:shd w:fill="CFF0FC"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(284</w:t>
            </w:r>
          </w:p>
        </w:tc>
        <w:tc>
          <w:tcPr>
            <w:tcW w:w="151" w:type="dxa"/>
            <w:tcBorders/>
            <w:shd w:fill="CFF0FC" w:val="cle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pPr>
            <w:r>
              <w:rPr/>
              <w:t> </w:t>
            </w:r>
          </w:p>
        </w:tc>
        <w:tc>
          <w:tcPr>
            <w:tcW w:w="738" w:type="dxa"/>
            <w:tcBorders/>
            <w:shd w:fill="CFF0FC"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11,160</w:t>
            </w:r>
          </w:p>
        </w:tc>
        <w:tc>
          <w:tcPr>
            <w:tcW w:w="196" w:type="dxa"/>
            <w:tcBorders/>
            <w:shd w:fill="CFF0FC" w:val="clear"/>
            <w:vAlign w:val="center"/>
          </w:tcPr>
          <w:p>
            <w:pPr>
              <w:pStyle w:val="TableContents"/>
              <w:bidi w:val="0"/>
              <w:spacing w:before="0" w:after="283"/>
              <w:jc w:val="left"/>
              <w:rPr/>
            </w:pPr>
            <w:r>
              <w:rPr/>
              <w:t> </w:t>
            </w:r>
          </w:p>
        </w:tc>
      </w:tr>
      <w:tr>
        <w:trPr/>
        <w:tc>
          <w:tcPr>
            <w:tcW w:w="931" w:type="dxa"/>
            <w:tcBorders/>
            <w:shd w:fill="FFFFFF" w:val="cle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Accretion of redeemable</w:t>
              <w:br/>
              <w:t>   convertible preferred</w:t>
              <w:br/>
              <w:t>   stock to redemption</w:t>
              <w:br/>
              <w:t>   value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294</w:t>
            </w:r>
          </w:p>
        </w:tc>
        <w:tc>
          <w:tcPr>
            <w:tcW w:w="14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396" w:type="dxa"/>
            <w:tcBorders/>
            <w:shd w:fill="FFFFFF"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396" w:type="dxa"/>
            <w:tcBorders/>
            <w:shd w:fill="FFFFFF"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(294</w:t>
            </w:r>
          </w:p>
        </w:tc>
        <w:tc>
          <w:tcPr>
            <w:tcW w:w="151" w:type="dxa"/>
            <w:tcBorders/>
            <w:shd w:fill="FFFFFF" w:val="cle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(294</w:t>
            </w:r>
          </w:p>
        </w:tc>
        <w:tc>
          <w:tcPr>
            <w:tcW w:w="196" w:type="dxa"/>
            <w:tcBorders/>
            <w:shd w:fill="FFFFFF" w:val="cle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r>
      <w:tr>
        <w:trPr/>
        <w:tc>
          <w:tcPr>
            <w:tcW w:w="931" w:type="dxa"/>
            <w:tcBorders/>
            <w:shd w:fill="CFF0FC" w:val="cle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Foreign currency</w:t>
              <w:br/>
              <w:t>   translation adjustment,</w:t>
              <w:br/>
              <w:t>   net of tax</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0" w:type="dxa"/>
            <w:tcBorders/>
            <w:shd w:fill="CFF0FC" w:val="clear"/>
            <w:vAlign w:val="center"/>
          </w:tcPr>
          <w:p>
            <w:pPr>
              <w:pStyle w:val="TableContents"/>
              <w:bidi w:val="0"/>
              <w:spacing w:before="0" w:after="283"/>
              <w:jc w:val="left"/>
              <w:rPr/>
            </w:pPr>
            <w:r>
              <w:rPr/>
              <w:t> </w:t>
            </w:r>
          </w:p>
        </w:tc>
        <w:tc>
          <w:tcPr>
            <w:tcW w:w="396" w:type="dxa"/>
            <w:tcBorders/>
            <w:shd w:fill="CFF0FC"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0" w:type="dxa"/>
            <w:tcBorders/>
            <w:shd w:fill="CFF0FC" w:val="clear"/>
            <w:vAlign w:val="center"/>
          </w:tcPr>
          <w:p>
            <w:pPr>
              <w:pStyle w:val="TableContents"/>
              <w:bidi w:val="0"/>
              <w:spacing w:before="0" w:after="283"/>
              <w:jc w:val="left"/>
              <w:rPr/>
            </w:pPr>
            <w:r>
              <w:rPr/>
              <w:t> </w:t>
            </w:r>
          </w:p>
        </w:tc>
        <w:tc>
          <w:tcPr>
            <w:tcW w:w="396" w:type="dxa"/>
            <w:tcBorders/>
            <w:shd w:fill="CFF0FC"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2"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left"/>
              <w:rPr/>
            </w:pPr>
            <w:r>
              <w:rPr/>
              <w:t> </w:t>
            </w:r>
          </w:p>
        </w:tc>
        <w:tc>
          <w:tcPr>
            <w:tcW w:w="740" w:type="dxa"/>
            <w:tcBorders/>
            <w:shd w:fill="CFF0FC"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(75</w:t>
            </w:r>
          </w:p>
        </w:tc>
        <w:tc>
          <w:tcPr>
            <w:tcW w:w="151" w:type="dxa"/>
            <w:tcBorders/>
            <w:shd w:fill="CFF0FC" w:val="cle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pPr>
            <w:r>
              <w:rPr/>
              <w:t> </w:t>
            </w:r>
          </w:p>
        </w:tc>
        <w:tc>
          <w:tcPr>
            <w:tcW w:w="738" w:type="dxa"/>
            <w:tcBorders/>
            <w:shd w:fill="CFF0FC"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(75</w:t>
            </w:r>
          </w:p>
        </w:tc>
        <w:tc>
          <w:tcPr>
            <w:tcW w:w="196" w:type="dxa"/>
            <w:tcBorders/>
            <w:shd w:fill="CFF0FC" w:val="cle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r>
      <w:tr>
        <w:trPr/>
        <w:tc>
          <w:tcPr>
            <w:tcW w:w="931" w:type="dxa"/>
            <w:tcBorders/>
            <w:shd w:fill="FFFFFF" w:val="cle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Net income</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1,333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1,333</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931" w:type="dxa"/>
            <w:tcBorders/>
            <w:shd w:fill="CFF0FC" w:val="clear"/>
            <w:vAlign w:val="center"/>
          </w:tcPr>
          <w:p>
            <w:pPr>
              <w:pStyle w:val="TableContents"/>
              <w:bidi w:val="0"/>
              <w:spacing w:before="0" w:after="283"/>
              <w:jc w:val="left"/>
              <w:rPr>
                <w:rFonts w:ascii="Arial" w:hAnsi="Arial"/>
                <w:b/>
                <w:color w:val="000000"/>
                <w:sz w:val="14"/>
              </w:rPr>
            </w:pPr>
            <w:r>
              <w:rPr>
                <w:rFonts w:ascii="Arial" w:hAnsi="Arial"/>
                <w:b/>
                <w:color w:val="000000"/>
                <w:sz w:val="14"/>
              </w:rPr>
              <w:t>BALANCE, March 31, 2022</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6,719,641</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16,983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11,951,137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3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1</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3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5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53,283</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7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(40,801</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7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(359</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2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7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12,124</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931" w:type="dxa"/>
            <w:tcBorders/>
            <w:shd w:fill="FFFFFF" w:val="cle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Accretion of redeemable</w:t>
              <w:br/>
              <w:t>   convertible preferred</w:t>
              <w:br/>
              <w:t>   stock to redemption</w:t>
              <w:br/>
              <w:t>   value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295</w:t>
            </w:r>
          </w:p>
        </w:tc>
        <w:tc>
          <w:tcPr>
            <w:tcW w:w="14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396" w:type="dxa"/>
            <w:tcBorders/>
            <w:shd w:fill="FFFFFF"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396" w:type="dxa"/>
            <w:tcBorders/>
            <w:shd w:fill="FFFFFF"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(295</w:t>
            </w:r>
          </w:p>
        </w:tc>
        <w:tc>
          <w:tcPr>
            <w:tcW w:w="151" w:type="dxa"/>
            <w:tcBorders/>
            <w:shd w:fill="FFFFFF" w:val="cle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(295</w:t>
            </w:r>
          </w:p>
        </w:tc>
        <w:tc>
          <w:tcPr>
            <w:tcW w:w="196" w:type="dxa"/>
            <w:tcBorders/>
            <w:shd w:fill="FFFFFF" w:val="cle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r>
      <w:tr>
        <w:trPr/>
        <w:tc>
          <w:tcPr>
            <w:tcW w:w="931" w:type="dxa"/>
            <w:tcBorders/>
            <w:shd w:fill="CFF0FC" w:val="cle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Foreign currency</w:t>
              <w:br/>
              <w:t>   translation adjustment,</w:t>
              <w:br/>
              <w:t>   net of tax</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0" w:type="dxa"/>
            <w:tcBorders/>
            <w:shd w:fill="CFF0FC" w:val="clear"/>
            <w:vAlign w:val="center"/>
          </w:tcPr>
          <w:p>
            <w:pPr>
              <w:pStyle w:val="TableContents"/>
              <w:bidi w:val="0"/>
              <w:spacing w:before="0" w:after="283"/>
              <w:jc w:val="left"/>
              <w:rPr/>
            </w:pPr>
            <w:r>
              <w:rPr/>
              <w:t> </w:t>
            </w:r>
          </w:p>
        </w:tc>
        <w:tc>
          <w:tcPr>
            <w:tcW w:w="396" w:type="dxa"/>
            <w:tcBorders/>
            <w:shd w:fill="CFF0FC"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0" w:type="dxa"/>
            <w:tcBorders/>
            <w:shd w:fill="CFF0FC" w:val="clear"/>
            <w:vAlign w:val="center"/>
          </w:tcPr>
          <w:p>
            <w:pPr>
              <w:pStyle w:val="TableContents"/>
              <w:bidi w:val="0"/>
              <w:spacing w:before="0" w:after="283"/>
              <w:jc w:val="left"/>
              <w:rPr/>
            </w:pPr>
            <w:r>
              <w:rPr/>
              <w:t> </w:t>
            </w:r>
          </w:p>
        </w:tc>
        <w:tc>
          <w:tcPr>
            <w:tcW w:w="396" w:type="dxa"/>
            <w:tcBorders/>
            <w:shd w:fill="CFF0FC"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2"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left"/>
              <w:rPr/>
            </w:pPr>
            <w:r>
              <w:rPr/>
              <w:t> </w:t>
            </w:r>
          </w:p>
        </w:tc>
        <w:tc>
          <w:tcPr>
            <w:tcW w:w="740" w:type="dxa"/>
            <w:tcBorders/>
            <w:shd w:fill="CFF0FC"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13</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pPr>
            <w:r>
              <w:rPr/>
              <w:t> </w:t>
            </w:r>
          </w:p>
        </w:tc>
        <w:tc>
          <w:tcPr>
            <w:tcW w:w="738" w:type="dxa"/>
            <w:tcBorders/>
            <w:shd w:fill="CFF0FC"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13</w:t>
            </w:r>
          </w:p>
        </w:tc>
        <w:tc>
          <w:tcPr>
            <w:tcW w:w="196" w:type="dxa"/>
            <w:tcBorders/>
            <w:shd w:fill="CFF0FC" w:val="clear"/>
            <w:vAlign w:val="center"/>
          </w:tcPr>
          <w:p>
            <w:pPr>
              <w:pStyle w:val="TableContents"/>
              <w:bidi w:val="0"/>
              <w:spacing w:before="0" w:after="283"/>
              <w:jc w:val="left"/>
              <w:rPr/>
            </w:pPr>
            <w:r>
              <w:rPr/>
              <w:t> </w:t>
            </w:r>
          </w:p>
        </w:tc>
      </w:tr>
      <w:tr>
        <w:trPr/>
        <w:tc>
          <w:tcPr>
            <w:tcW w:w="931" w:type="dxa"/>
            <w:tcBorders/>
            <w:shd w:fill="FFFFFF" w:val="cle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Net income</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5,934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5,934</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931" w:type="dxa"/>
            <w:tcBorders/>
            <w:shd w:fill="CFF0FC" w:val="clear"/>
            <w:vAlign w:val="center"/>
          </w:tcPr>
          <w:p>
            <w:pPr>
              <w:pStyle w:val="TableContents"/>
              <w:bidi w:val="0"/>
              <w:spacing w:before="0" w:after="283"/>
              <w:jc w:val="left"/>
              <w:rPr>
                <w:rFonts w:ascii="Arial" w:hAnsi="Arial"/>
                <w:b/>
                <w:color w:val="000000"/>
                <w:sz w:val="14"/>
              </w:rPr>
            </w:pPr>
            <w:r>
              <w:rPr>
                <w:rFonts w:ascii="Arial" w:hAnsi="Arial"/>
                <w:b/>
                <w:color w:val="000000"/>
                <w:sz w:val="14"/>
              </w:rPr>
              <w:t>BALANCE, June 30, 2022</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6,719,641</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17,278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11,951,137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3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1</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3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5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52,988</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7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(34,867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7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(346</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2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7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17,776</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931" w:type="dxa"/>
            <w:tcBorders/>
            <w:shd w:fill="FFFFFF" w:val="cle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Accretion of redeemable</w:t>
              <w:br/>
              <w:t>   convertible preferred</w:t>
              <w:br/>
              <w:t>   stock to redemption</w:t>
              <w:br/>
              <w:t>   value</w:t>
            </w:r>
          </w:p>
        </w:tc>
        <w:tc>
          <w:tcPr>
            <w:tcW w:w="146" w:type="dxa"/>
            <w:tcBorders/>
            <w:shd w:fill="FFFFFF" w:val="clear"/>
            <w:vAlign w:val="center"/>
          </w:tcPr>
          <w:p>
            <w:pPr>
              <w:pStyle w:val="TableContents"/>
              <w:bidi w:val="0"/>
              <w:spacing w:before="0" w:after="283"/>
              <w:jc w:val="left"/>
              <w:rPr/>
            </w:pPr>
            <w:r>
              <w:rPr/>
              <w:t> </w:t>
            </w:r>
          </w:p>
        </w:tc>
        <w:tc>
          <w:tcPr>
            <w:tcW w:w="987"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294</w:t>
            </w:r>
          </w:p>
        </w:tc>
        <w:tc>
          <w:tcPr>
            <w:tcW w:w="14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87"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(294</w:t>
            </w:r>
          </w:p>
        </w:tc>
        <w:tc>
          <w:tcPr>
            <w:tcW w:w="151" w:type="dxa"/>
            <w:tcBorders/>
            <w:shd w:fill="FFFFFF" w:val="cle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931"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96"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(294</w:t>
            </w:r>
          </w:p>
        </w:tc>
        <w:tc>
          <w:tcPr>
            <w:tcW w:w="196" w:type="dxa"/>
            <w:tcBorders/>
            <w:shd w:fill="FFFFFF" w:val="cle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r>
      <w:tr>
        <w:trPr/>
        <w:tc>
          <w:tcPr>
            <w:tcW w:w="931" w:type="dxa"/>
            <w:tcBorders/>
            <w:shd w:fill="CFF0FC" w:val="cle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Foreign currency</w:t>
              <w:br/>
              <w:t>   translation adjustment,</w:t>
              <w:br/>
              <w:t>   net of tax</w:t>
            </w:r>
          </w:p>
        </w:tc>
        <w:tc>
          <w:tcPr>
            <w:tcW w:w="146" w:type="dxa"/>
            <w:tcBorders/>
            <w:shd w:fill="CFF0FC" w:val="clear"/>
            <w:vAlign w:val="center"/>
          </w:tcPr>
          <w:p>
            <w:pPr>
              <w:pStyle w:val="TableContents"/>
              <w:bidi w:val="0"/>
              <w:spacing w:before="0" w:after="283"/>
              <w:jc w:val="left"/>
              <w:rPr/>
            </w:pPr>
            <w:r>
              <w:rPr/>
              <w:t> </w:t>
            </w:r>
          </w:p>
        </w:tc>
        <w:tc>
          <w:tcPr>
            <w:tcW w:w="987" w:type="dxa"/>
            <w:gridSpan w:val="2"/>
            <w:tcBorders/>
            <w:shd w:fill="CFF0FC" w:val="clear"/>
            <w:vAlign w:val="center"/>
          </w:tcPr>
          <w:p>
            <w:pPr>
              <w:pStyle w:val="TableContents"/>
              <w:bidi w:val="0"/>
              <w:spacing w:before="0" w:after="283"/>
              <w:jc w:val="right"/>
              <w:rPr/>
            </w:pPr>
            <w:r>
              <w:rPr/>
              <w:t> </w:t>
            </w:r>
          </w:p>
        </w:tc>
        <w:tc>
          <w:tcPr>
            <w:tcW w:w="15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0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87" w:type="dxa"/>
            <w:gridSpan w:val="2"/>
            <w:tcBorders/>
            <w:shd w:fill="CFF0FC" w:val="clear"/>
            <w:vAlign w:val="center"/>
          </w:tcPr>
          <w:p>
            <w:pPr>
              <w:pStyle w:val="TableContents"/>
              <w:bidi w:val="0"/>
              <w:spacing w:before="0" w:after="283"/>
              <w:jc w:val="right"/>
              <w:rPr/>
            </w:pPr>
            <w:r>
              <w:rPr/>
              <w:t> </w:t>
            </w:r>
          </w:p>
        </w:tc>
        <w:tc>
          <w:tcPr>
            <w:tcW w:w="15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gridSpan w:val="2"/>
            <w:tcBorders/>
            <w:shd w:fill="CFF0FC" w:val="clear"/>
            <w:vAlign w:val="center"/>
          </w:tcPr>
          <w:p>
            <w:pPr>
              <w:pStyle w:val="TableContents"/>
              <w:bidi w:val="0"/>
              <w:spacing w:before="0" w:after="283"/>
              <w:jc w:val="right"/>
              <w:rPr/>
            </w:pPr>
            <w:r>
              <w:rPr/>
              <w:t> </w:t>
            </w:r>
          </w:p>
        </w:tc>
        <w:tc>
          <w:tcPr>
            <w:tcW w:w="15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2" w:type="dxa"/>
            <w:gridSpan w:val="2"/>
            <w:tcBorders/>
            <w:shd w:fill="CFF0FC" w:val="clear"/>
            <w:vAlign w:val="center"/>
          </w:tcPr>
          <w:p>
            <w:pPr>
              <w:pStyle w:val="TableContents"/>
              <w:bidi w:val="0"/>
              <w:spacing w:before="0" w:after="283"/>
              <w:jc w:val="right"/>
              <w:rPr/>
            </w:pPr>
            <w:r>
              <w:rPr/>
              <w:t> </w:t>
            </w:r>
          </w:p>
        </w:tc>
        <w:tc>
          <w:tcPr>
            <w:tcW w:w="15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gridSpan w:val="2"/>
            <w:tcBorders/>
            <w:shd w:fill="CFF0FC" w:val="clear"/>
            <w:vAlign w:val="center"/>
          </w:tcPr>
          <w:p>
            <w:pPr>
              <w:pStyle w:val="TableContents"/>
              <w:bidi w:val="0"/>
              <w:spacing w:before="0" w:after="283"/>
              <w:jc w:val="right"/>
              <w:rPr/>
            </w:pPr>
            <w:r>
              <w:rPr/>
              <w:t> </w:t>
            </w:r>
          </w:p>
        </w:tc>
        <w:tc>
          <w:tcPr>
            <w:tcW w:w="15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51" w:type="dxa"/>
            <w:gridSpan w:val="2"/>
            <w:tcBorders/>
            <w:shd w:fill="CFF0FC" w:val="clear"/>
            <w:vAlign w:val="center"/>
          </w:tcPr>
          <w:p>
            <w:pPr>
              <w:pStyle w:val="TableContents"/>
              <w:bidi w:val="0"/>
              <w:spacing w:before="0" w:after="283"/>
              <w:jc w:val="right"/>
              <w:rPr/>
            </w:pPr>
            <w:r>
              <w:rPr/>
              <w:t> </w:t>
            </w:r>
          </w:p>
        </w:tc>
        <w:tc>
          <w:tcPr>
            <w:tcW w:w="15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gridSpan w:val="2"/>
            <w:tcBorders/>
            <w:shd w:fill="CFF0FC" w:val="clear"/>
            <w:vAlign w:val="center"/>
          </w:tcPr>
          <w:p>
            <w:pPr>
              <w:pStyle w:val="TableContents"/>
              <w:bidi w:val="0"/>
              <w:spacing w:before="0" w:after="283"/>
              <w:jc w:val="right"/>
              <w:rPr/>
            </w:pPr>
            <w:r>
              <w:rPr/>
              <w:t> </w:t>
            </w:r>
          </w:p>
        </w:tc>
        <w:tc>
          <w:tcPr>
            <w:tcW w:w="15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left"/>
              <w:rPr/>
            </w:pPr>
            <w:r>
              <w:rPr/>
              <w:t> </w:t>
            </w:r>
          </w:p>
        </w:tc>
        <w:tc>
          <w:tcPr>
            <w:tcW w:w="740" w:type="dxa"/>
            <w:tcBorders/>
            <w:shd w:fill="CFF0FC"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(24</w:t>
            </w:r>
          </w:p>
        </w:tc>
        <w:tc>
          <w:tcPr>
            <w:tcW w:w="151" w:type="dxa"/>
            <w:tcBorders/>
            <w:shd w:fill="CFF0FC" w:val="cle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pPr>
            <w:r>
              <w:rPr/>
              <w:t> </w:t>
            </w:r>
          </w:p>
        </w:tc>
        <w:tc>
          <w:tcPr>
            <w:tcW w:w="738" w:type="dxa"/>
            <w:tcBorders/>
            <w:shd w:fill="CFF0FC"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(24</w:t>
            </w:r>
          </w:p>
        </w:tc>
        <w:tc>
          <w:tcPr>
            <w:tcW w:w="196" w:type="dxa"/>
            <w:tcBorders/>
            <w:shd w:fill="CFF0FC" w:val="cle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r>
      <w:tr>
        <w:trPr/>
        <w:tc>
          <w:tcPr>
            <w:tcW w:w="931" w:type="dxa"/>
            <w:tcBorders/>
            <w:shd w:fill="FFFFFF" w:val="cle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Net income</w:t>
            </w:r>
          </w:p>
        </w:tc>
        <w:tc>
          <w:tcPr>
            <w:tcW w:w="146" w:type="dxa"/>
            <w:tcBorders/>
            <w:shd w:fill="FFFFFF" w:val="cle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6,996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6,996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931" w:type="dxa"/>
            <w:tcBorders/>
            <w:shd w:fill="CFF0FC" w:val="clear"/>
            <w:vAlign w:val="center"/>
          </w:tcPr>
          <w:p>
            <w:pPr>
              <w:pStyle w:val="TableContents"/>
              <w:bidi w:val="0"/>
              <w:spacing w:before="0" w:after="283"/>
              <w:jc w:val="left"/>
              <w:rPr>
                <w:rFonts w:ascii="Arial" w:hAnsi="Arial"/>
                <w:b/>
                <w:color w:val="000000"/>
                <w:sz w:val="14"/>
              </w:rPr>
            </w:pPr>
            <w:r>
              <w:rPr>
                <w:rFonts w:ascii="Arial" w:hAnsi="Arial"/>
                <w:b/>
                <w:color w:val="000000"/>
                <w:sz w:val="14"/>
              </w:rPr>
              <w:t>BALANCE, September 30, 2022</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6,719,641</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17,572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11,951,137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3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1</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3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5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52,694</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7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(27,871</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7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(370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2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7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24,454</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both"/>
        <w:rPr>
          <w:rFonts w:ascii="Arial" w:hAnsi="Arial"/>
          <w:b w:val="false"/>
          <w:color w:val="000000"/>
          <w:sz w:val="20"/>
        </w:rPr>
      </w:pPr>
      <w:r>
        <w:rPr>
          <w:rFonts w:ascii="Arial" w:hAnsi="Arial"/>
          <w:b w:val="false"/>
          <w:color w:val="000000"/>
          <w:sz w:val="20"/>
        </w:rPr>
        <w:t>* Shares of legacy redeemable convertible preferred stock and legacy common stock have been retroactively restated to give effect to the Merger.</w:t>
      </w:r>
    </w:p>
    <w:p>
      <w:pPr>
        <w:pStyle w:val="TextBody"/>
        <w:bidi w:val="0"/>
        <w:jc w:val="center"/>
        <w:rPr/>
      </w:pPr>
      <w:r>
        <w:rPr/>
        <w:t> </w:t>
      </w:r>
    </w:p>
    <w:p>
      <w:pPr>
        <w:pStyle w:val="TextBody"/>
        <w:bidi w:val="0"/>
        <w:jc w:val="center"/>
        <w:rPr>
          <w:rFonts w:ascii="Arial" w:hAnsi="Arial"/>
          <w:b w:val="false"/>
          <w:color w:val="000000"/>
          <w:sz w:val="20"/>
        </w:rPr>
      </w:pPr>
      <w:r>
        <w:rPr>
          <w:rFonts w:ascii="Arial" w:hAnsi="Arial"/>
          <w:b w:val="false"/>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12626" w:type="dxa"/>
        <w:jc w:val="left"/>
        <w:tblInd w:w="0" w:type="dxa"/>
        <w:tblLayout w:type="fixed"/>
        <w:tblCellMar>
          <w:top w:w="28" w:type="dxa"/>
          <w:left w:w="28" w:type="dxa"/>
          <w:bottom w:w="28" w:type="dxa"/>
          <w:right w:w="28" w:type="dxa"/>
        </w:tblCellMar>
      </w:tblPr>
      <w:tblGrid>
        <w:gridCol w:w="1006"/>
        <w:gridCol w:w="146"/>
        <w:gridCol w:w="146"/>
        <w:gridCol w:w="841"/>
        <w:gridCol w:w="151"/>
        <w:gridCol w:w="146"/>
        <w:gridCol w:w="181"/>
        <w:gridCol w:w="571"/>
        <w:gridCol w:w="151"/>
        <w:gridCol w:w="146"/>
        <w:gridCol w:w="146"/>
        <w:gridCol w:w="146"/>
        <w:gridCol w:w="841"/>
        <w:gridCol w:w="151"/>
        <w:gridCol w:w="146"/>
        <w:gridCol w:w="190"/>
        <w:gridCol w:w="396"/>
        <w:gridCol w:w="151"/>
        <w:gridCol w:w="146"/>
        <w:gridCol w:w="146"/>
        <w:gridCol w:w="646"/>
        <w:gridCol w:w="151"/>
        <w:gridCol w:w="146"/>
        <w:gridCol w:w="190"/>
        <w:gridCol w:w="396"/>
        <w:gridCol w:w="151"/>
        <w:gridCol w:w="146"/>
        <w:gridCol w:w="192"/>
        <w:gridCol w:w="559"/>
        <w:gridCol w:w="151"/>
        <w:gridCol w:w="146"/>
        <w:gridCol w:w="224"/>
        <w:gridCol w:w="707"/>
        <w:gridCol w:w="151"/>
        <w:gridCol w:w="146"/>
        <w:gridCol w:w="356"/>
        <w:gridCol w:w="740"/>
        <w:gridCol w:w="151"/>
        <w:gridCol w:w="146"/>
        <w:gridCol w:w="253"/>
        <w:gridCol w:w="738"/>
        <w:gridCol w:w="196"/>
      </w:tblGrid>
      <w:tr>
        <w:trPr/>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00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0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Redeemable Convertible Preferred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Common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7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Treasury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6"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center"/>
              <w:rPr/>
            </w:pPr>
            <w:r>
              <w:rPr/>
              <w:t> </w:t>
            </w:r>
          </w:p>
        </w:tc>
      </w:tr>
      <w:tr>
        <w:trPr/>
        <w:tc>
          <w:tcPr>
            <w:tcW w:w="1006" w:type="dxa"/>
            <w:tcBorders/>
            <w:shd w:fill="FFFFFF" w:val="clear"/>
            <w:vAlign w:val="center"/>
          </w:tcPr>
          <w:p>
            <w:pPr>
              <w:pStyle w:val="TableContents"/>
              <w:bidi w:val="0"/>
              <w:spacing w:before="0" w:after="283"/>
              <w:jc w:val="left"/>
              <w:rPr>
                <w:rFonts w:ascii="Arial" w:hAnsi="Arial"/>
                <w:b w:val="false"/>
                <w:i/>
                <w:color w:val="000000"/>
                <w:sz w:val="14"/>
              </w:rPr>
            </w:pPr>
            <w:r>
              <w:rPr>
                <w:rFonts w:ascii="Arial" w:hAnsi="Arial"/>
                <w:b w:val="false"/>
                <w:i/>
                <w:color w:val="000000"/>
                <w:sz w:val="14"/>
              </w:rPr>
              <w:t>(In thousands, except share and per share data)</w:t>
            </w:r>
          </w:p>
        </w:tc>
        <w:tc>
          <w:tcPr>
            <w:tcW w:w="146" w:type="dxa"/>
            <w:tcBorders/>
            <w:shd w:fill="FFFFFF" w:val="cle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Additional</w:t>
              <w:br/>
              <w:t>Paid-In</w:t>
              <w:br/>
              <w:t>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Accumulated</w:t>
              <w:b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Accumulated</w:t>
              <w:br/>
              <w:t>Other</w:t>
              <w:br/>
              <w:t>Comprehensive</w:t>
              <w:br/>
              <w:t>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Total</w:t>
              <w:br/>
              <w:t>Shareholders'</w:t>
              <w:br/>
              <w:t>Equity</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06" w:type="dxa"/>
            <w:tcBorders/>
            <w:shd w:fill="FFFFFF" w:val="clear"/>
            <w:vAlign w:val="center"/>
          </w:tcPr>
          <w:p>
            <w:pPr>
              <w:pStyle w:val="TableContents"/>
              <w:bidi w:val="0"/>
              <w:spacing w:before="0" w:after="283"/>
              <w:jc w:val="left"/>
              <w:rPr>
                <w:rFonts w:ascii="Arial" w:hAnsi="Arial"/>
                <w:b/>
                <w:color w:val="000000"/>
                <w:sz w:val="14"/>
              </w:rPr>
            </w:pPr>
            <w:r>
              <w:rPr>
                <w:rFonts w:ascii="Arial" w:hAnsi="Arial"/>
                <w:b/>
                <w:color w:val="000000"/>
                <w:sz w:val="14"/>
              </w:rPr>
              <w:t>BALANCE, December 31,</w:t>
              <w:br/>
              <w:t>   2022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20,370,377</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571" w:type="dxa"/>
            <w:tcBorders/>
            <w:shd w:fill="FFFFFF"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17,878</w:t>
            </w:r>
          </w:p>
        </w:tc>
        <w:tc>
          <w:tcPr>
            <w:tcW w:w="151"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53,175,028</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396" w:type="dxa"/>
            <w:tcBorders/>
            <w:shd w:fill="FFFFFF"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532</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(811,156</w:t>
            </w:r>
          </w:p>
        </w:tc>
        <w:tc>
          <w:tcPr>
            <w:tcW w:w="151" w:type="dxa"/>
            <w:tcBorders/>
            <w:shd w:fill="FFFFFF" w:val="cle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396" w:type="dxa"/>
            <w:tcBorders/>
            <w:shd w:fill="FFFFFF"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(933</w:t>
            </w:r>
          </w:p>
        </w:tc>
        <w:tc>
          <w:tcPr>
            <w:tcW w:w="151" w:type="dxa"/>
            <w:tcBorders/>
            <w:shd w:fill="FFFFFF" w:val="cle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559" w:type="dxa"/>
            <w:tcBorders/>
            <w:shd w:fill="FFFFFF"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52,790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707" w:type="dxa"/>
            <w:tcBorders/>
            <w:shd w:fill="FFFFFF"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(21,054</w:t>
            </w:r>
          </w:p>
        </w:tc>
        <w:tc>
          <w:tcPr>
            <w:tcW w:w="151" w:type="dxa"/>
            <w:tcBorders/>
            <w:shd w:fill="FFFFFF" w:val="cle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740" w:type="dxa"/>
            <w:tcBorders/>
            <w:shd w:fill="FFFFFF"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(111</w:t>
            </w:r>
          </w:p>
        </w:tc>
        <w:tc>
          <w:tcPr>
            <w:tcW w:w="151" w:type="dxa"/>
            <w:tcBorders/>
            <w:shd w:fill="FFFFFF" w:val="cle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738" w:type="dxa"/>
            <w:tcBorders/>
            <w:shd w:fill="FFFFFF"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31,224</w:t>
            </w:r>
          </w:p>
        </w:tc>
        <w:tc>
          <w:tcPr>
            <w:tcW w:w="196" w:type="dxa"/>
            <w:tcBorders/>
            <w:shd w:fill="FFFFFF" w:val="clear"/>
            <w:vAlign w:val="center"/>
          </w:tcPr>
          <w:p>
            <w:pPr>
              <w:pStyle w:val="TableContents"/>
              <w:bidi w:val="0"/>
              <w:spacing w:before="0" w:after="283"/>
              <w:jc w:val="left"/>
              <w:rPr/>
            </w:pPr>
            <w:r>
              <w:rPr/>
              <w:t> </w:t>
            </w:r>
          </w:p>
        </w:tc>
      </w:tr>
      <w:tr>
        <w:trPr/>
        <w:tc>
          <w:tcPr>
            <w:tcW w:w="1006" w:type="dxa"/>
            <w:tcBorders/>
            <w:shd w:fill="CFF0FC" w:val="cle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Retroactive application of Merger</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(13,650,736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(41,223,891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(531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811,156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933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(402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06" w:type="dxa"/>
            <w:tcBorders/>
            <w:shd w:fill="FFFFFF" w:val="clear"/>
            <w:vAlign w:val="center"/>
          </w:tcPr>
          <w:p>
            <w:pPr>
              <w:pStyle w:val="TableContents"/>
              <w:bidi w:val="0"/>
              <w:spacing w:before="0" w:after="283"/>
              <w:jc w:val="left"/>
              <w:rPr>
                <w:rFonts w:ascii="Arial" w:hAnsi="Arial"/>
                <w:b/>
                <w:color w:val="000000"/>
                <w:sz w:val="14"/>
              </w:rPr>
            </w:pPr>
            <w:r>
              <w:rPr>
                <w:rFonts w:ascii="Arial" w:hAnsi="Arial"/>
                <w:b/>
                <w:color w:val="000000"/>
                <w:sz w:val="14"/>
              </w:rPr>
              <w:t>Adjusted Balances, beginning of period*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6,719,641</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17,878</w:t>
            </w:r>
          </w:p>
        </w:tc>
        <w:tc>
          <w:tcPr>
            <w:tcW w:w="151"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11,951,137</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396" w:type="dxa"/>
            <w:tcBorders/>
            <w:shd w:fill="FFFFFF"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1</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396" w:type="dxa"/>
            <w:tcBorders/>
            <w:shd w:fill="FFFFFF"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52,388</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(21,054</w:t>
            </w:r>
          </w:p>
        </w:tc>
        <w:tc>
          <w:tcPr>
            <w:tcW w:w="151" w:type="dxa"/>
            <w:tcBorders/>
            <w:shd w:fill="FFFFFF" w:val="cle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(111</w:t>
            </w:r>
          </w:p>
        </w:tc>
        <w:tc>
          <w:tcPr>
            <w:tcW w:w="151" w:type="dxa"/>
            <w:tcBorders/>
            <w:shd w:fill="FFFFFF" w:val="cle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31,224</w:t>
            </w:r>
          </w:p>
        </w:tc>
        <w:tc>
          <w:tcPr>
            <w:tcW w:w="196" w:type="dxa"/>
            <w:tcBorders/>
            <w:shd w:fill="FFFFFF" w:val="clear"/>
            <w:vAlign w:val="center"/>
          </w:tcPr>
          <w:p>
            <w:pPr>
              <w:pStyle w:val="TableContents"/>
              <w:bidi w:val="0"/>
              <w:spacing w:before="0" w:after="283"/>
              <w:jc w:val="left"/>
              <w:rPr/>
            </w:pPr>
            <w:r>
              <w:rPr/>
              <w:t> </w:t>
            </w:r>
          </w:p>
        </w:tc>
      </w:tr>
      <w:tr>
        <w:trPr/>
        <w:tc>
          <w:tcPr>
            <w:tcW w:w="1006" w:type="dxa"/>
            <w:tcBorders/>
            <w:shd w:fill="CFF0FC" w:val="cle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Accretion of redeemable</w:t>
              <w:br/>
              <w:t>   convertible preferred</w:t>
              <w:br/>
              <w:t>   stock to redemption</w:t>
              <w:br/>
              <w:t>   value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314</w:t>
            </w:r>
          </w:p>
        </w:tc>
        <w:tc>
          <w:tcPr>
            <w:tcW w:w="151"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0" w:type="dxa"/>
            <w:tcBorders/>
            <w:shd w:fill="CFF0FC" w:val="clear"/>
            <w:vAlign w:val="center"/>
          </w:tcPr>
          <w:p>
            <w:pPr>
              <w:pStyle w:val="TableContents"/>
              <w:bidi w:val="0"/>
              <w:spacing w:before="0" w:after="283"/>
              <w:jc w:val="left"/>
              <w:rPr/>
            </w:pPr>
            <w:r>
              <w:rPr/>
              <w:t> </w:t>
            </w:r>
          </w:p>
        </w:tc>
        <w:tc>
          <w:tcPr>
            <w:tcW w:w="396" w:type="dxa"/>
            <w:tcBorders/>
            <w:shd w:fill="CFF0FC"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0" w:type="dxa"/>
            <w:tcBorders/>
            <w:shd w:fill="CFF0FC" w:val="clear"/>
            <w:vAlign w:val="center"/>
          </w:tcPr>
          <w:p>
            <w:pPr>
              <w:pStyle w:val="TableContents"/>
              <w:bidi w:val="0"/>
              <w:spacing w:before="0" w:after="283"/>
              <w:jc w:val="left"/>
              <w:rPr/>
            </w:pPr>
            <w:r>
              <w:rPr/>
              <w:t> </w:t>
            </w:r>
          </w:p>
        </w:tc>
        <w:tc>
          <w:tcPr>
            <w:tcW w:w="396" w:type="dxa"/>
            <w:tcBorders/>
            <w:shd w:fill="CFF0FC"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2"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(314</w:t>
            </w:r>
          </w:p>
        </w:tc>
        <w:tc>
          <w:tcPr>
            <w:tcW w:w="151" w:type="dxa"/>
            <w:tcBorders/>
            <w:shd w:fill="CFF0FC" w:val="cle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left"/>
              <w:rPr/>
            </w:pPr>
            <w:r>
              <w:rPr/>
              <w:t> </w:t>
            </w:r>
          </w:p>
        </w:tc>
        <w:tc>
          <w:tcPr>
            <w:tcW w:w="740" w:type="dxa"/>
            <w:tcBorders/>
            <w:shd w:fill="CFF0FC"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pPr>
            <w:r>
              <w:rPr/>
              <w:t> </w:t>
            </w:r>
          </w:p>
        </w:tc>
        <w:tc>
          <w:tcPr>
            <w:tcW w:w="738" w:type="dxa"/>
            <w:tcBorders/>
            <w:shd w:fill="CFF0FC"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(314</w:t>
            </w:r>
          </w:p>
        </w:tc>
        <w:tc>
          <w:tcPr>
            <w:tcW w:w="196" w:type="dxa"/>
            <w:tcBorders/>
            <w:shd w:fill="CFF0FC" w:val="cle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r>
      <w:tr>
        <w:trPr/>
        <w:tc>
          <w:tcPr>
            <w:tcW w:w="1006" w:type="dxa"/>
            <w:tcBorders/>
            <w:shd w:fill="FFFFFF" w:val="cle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Foreign currency</w:t>
              <w:br/>
              <w:t>   translation adjustment,</w:t>
              <w:br/>
              <w:t>   net of tax</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w:t>
            </w:r>
          </w:p>
        </w:tc>
        <w:tc>
          <w:tcPr>
            <w:tcW w:w="151"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396" w:type="dxa"/>
            <w:tcBorders/>
            <w:shd w:fill="FFFFFF"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396" w:type="dxa"/>
            <w:tcBorders/>
            <w:shd w:fill="FFFFFF"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w:t>
            </w:r>
          </w:p>
        </w:tc>
        <w:tc>
          <w:tcPr>
            <w:tcW w:w="196" w:type="dxa"/>
            <w:tcBorders/>
            <w:shd w:fill="FFFFFF" w:val="clear"/>
            <w:vAlign w:val="center"/>
          </w:tcPr>
          <w:p>
            <w:pPr>
              <w:pStyle w:val="TableContents"/>
              <w:bidi w:val="0"/>
              <w:spacing w:before="0" w:after="283"/>
              <w:jc w:val="left"/>
              <w:rPr/>
            </w:pPr>
            <w:r>
              <w:rPr/>
              <w:t> </w:t>
            </w:r>
          </w:p>
        </w:tc>
      </w:tr>
      <w:tr>
        <w:trPr/>
        <w:tc>
          <w:tcPr>
            <w:tcW w:w="1006" w:type="dxa"/>
            <w:tcBorders/>
            <w:shd w:fill="CFF0FC" w:val="cle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Net income</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5,701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5,701</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06" w:type="dxa"/>
            <w:tcBorders/>
            <w:shd w:fill="FFFFFF" w:val="clear"/>
            <w:vAlign w:val="center"/>
          </w:tcPr>
          <w:p>
            <w:pPr>
              <w:pStyle w:val="TableContents"/>
              <w:bidi w:val="0"/>
              <w:spacing w:before="0" w:after="283"/>
              <w:jc w:val="left"/>
              <w:rPr>
                <w:rFonts w:ascii="Arial" w:hAnsi="Arial"/>
                <w:b/>
                <w:color w:val="000000"/>
                <w:sz w:val="14"/>
              </w:rPr>
            </w:pPr>
            <w:r>
              <w:rPr>
                <w:rFonts w:ascii="Arial" w:hAnsi="Arial"/>
                <w:b/>
                <w:color w:val="000000"/>
                <w:sz w:val="14"/>
              </w:rPr>
              <w:t>BALANCE, March 31,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6,719,641</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18,192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11,951,137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3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1</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3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5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52,074</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7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(15,353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7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(111</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7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36,611</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06" w:type="dxa"/>
            <w:tcBorders/>
            <w:shd w:fill="CFF0FC" w:val="cle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Net exercise of DTIH stockholders stock options (Note 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w:t>
            </w:r>
          </w:p>
        </w:tc>
        <w:tc>
          <w:tcPr>
            <w:tcW w:w="151"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36,163</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0" w:type="dxa"/>
            <w:tcBorders/>
            <w:shd w:fill="CFF0FC" w:val="clear"/>
            <w:vAlign w:val="center"/>
          </w:tcPr>
          <w:p>
            <w:pPr>
              <w:pStyle w:val="TableContents"/>
              <w:bidi w:val="0"/>
              <w:spacing w:before="0" w:after="283"/>
              <w:jc w:val="left"/>
              <w:rPr/>
            </w:pPr>
            <w:r>
              <w:rPr/>
              <w:t> </w:t>
            </w:r>
          </w:p>
        </w:tc>
        <w:tc>
          <w:tcPr>
            <w:tcW w:w="396" w:type="dxa"/>
            <w:tcBorders/>
            <w:shd w:fill="CFF0FC"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0" w:type="dxa"/>
            <w:tcBorders/>
            <w:shd w:fill="CFF0FC" w:val="clear"/>
            <w:vAlign w:val="center"/>
          </w:tcPr>
          <w:p>
            <w:pPr>
              <w:pStyle w:val="TableContents"/>
              <w:bidi w:val="0"/>
              <w:spacing w:before="0" w:after="283"/>
              <w:jc w:val="left"/>
              <w:rPr/>
            </w:pPr>
            <w:r>
              <w:rPr/>
              <w:t> </w:t>
            </w:r>
          </w:p>
        </w:tc>
        <w:tc>
          <w:tcPr>
            <w:tcW w:w="396" w:type="dxa"/>
            <w:tcBorders/>
            <w:shd w:fill="CFF0FC"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2"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left"/>
              <w:rPr/>
            </w:pPr>
            <w:r>
              <w:rPr/>
              <w:t> </w:t>
            </w:r>
          </w:p>
        </w:tc>
        <w:tc>
          <w:tcPr>
            <w:tcW w:w="740" w:type="dxa"/>
            <w:tcBorders/>
            <w:shd w:fill="CFF0FC"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pPr>
            <w:r>
              <w:rPr/>
              <w:t> </w:t>
            </w:r>
          </w:p>
        </w:tc>
        <w:tc>
          <w:tcPr>
            <w:tcW w:w="738" w:type="dxa"/>
            <w:tcBorders/>
            <w:shd w:fill="CFF0FC"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w:t>
            </w:r>
          </w:p>
        </w:tc>
        <w:tc>
          <w:tcPr>
            <w:tcW w:w="196" w:type="dxa"/>
            <w:tcBorders/>
            <w:shd w:fill="CFF0FC" w:val="clear"/>
            <w:vAlign w:val="center"/>
          </w:tcPr>
          <w:p>
            <w:pPr>
              <w:pStyle w:val="TableContents"/>
              <w:bidi w:val="0"/>
              <w:spacing w:before="0" w:after="283"/>
              <w:jc w:val="left"/>
              <w:rPr/>
            </w:pPr>
            <w:r>
              <w:rPr/>
              <w:t> </w:t>
            </w:r>
          </w:p>
        </w:tc>
      </w:tr>
      <w:tr>
        <w:trPr/>
        <w:tc>
          <w:tcPr>
            <w:tcW w:w="1006" w:type="dxa"/>
            <w:tcBorders/>
            <w:shd w:fill="FFFFFF" w:val="cle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Exchange of DTIH redeemable convertible preferred stock for DTIC Common Stock (Note 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(6,719,641</w:t>
            </w:r>
          </w:p>
        </w:tc>
        <w:tc>
          <w:tcPr>
            <w:tcW w:w="151" w:type="dxa"/>
            <w:tcBorders/>
            <w:shd w:fill="FFFFFF" w:val="cle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(18,192</w:t>
            </w:r>
          </w:p>
        </w:tc>
        <w:tc>
          <w:tcPr>
            <w:tcW w:w="151" w:type="dxa"/>
            <w:tcBorders/>
            <w:shd w:fill="FFFFFF" w:val="cle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6,719,641</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396" w:type="dxa"/>
            <w:tcBorders/>
            <w:shd w:fill="FFFFFF"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1</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396" w:type="dxa"/>
            <w:tcBorders/>
            <w:shd w:fill="FFFFFF"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7,192</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7,193</w:t>
            </w:r>
          </w:p>
        </w:tc>
        <w:tc>
          <w:tcPr>
            <w:tcW w:w="196" w:type="dxa"/>
            <w:tcBorders/>
            <w:shd w:fill="FFFFFF" w:val="clear"/>
            <w:vAlign w:val="center"/>
          </w:tcPr>
          <w:p>
            <w:pPr>
              <w:pStyle w:val="TableContents"/>
              <w:bidi w:val="0"/>
              <w:spacing w:before="0" w:after="283"/>
              <w:jc w:val="left"/>
              <w:rPr/>
            </w:pPr>
            <w:r>
              <w:rPr/>
              <w:t> </w:t>
            </w:r>
          </w:p>
        </w:tc>
      </w:tr>
      <w:tr>
        <w:trPr/>
        <w:tc>
          <w:tcPr>
            <w:tcW w:w="1006" w:type="dxa"/>
            <w:tcBorders/>
            <w:shd w:fill="CFF0FC" w:val="cle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Issuance of DTIC Common Stock to former holders of DTIH redeemable convertible preferred stock in connection with Exchange Agreements (Note 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w:t>
            </w:r>
          </w:p>
        </w:tc>
        <w:tc>
          <w:tcPr>
            <w:tcW w:w="151"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2,042,181</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0" w:type="dxa"/>
            <w:tcBorders/>
            <w:shd w:fill="CFF0FC" w:val="clear"/>
            <w:vAlign w:val="center"/>
          </w:tcPr>
          <w:p>
            <w:pPr>
              <w:pStyle w:val="TableContents"/>
              <w:bidi w:val="0"/>
              <w:spacing w:before="0" w:after="283"/>
              <w:jc w:val="left"/>
              <w:rPr/>
            </w:pPr>
            <w:r>
              <w:rPr/>
              <w:t> </w:t>
            </w:r>
          </w:p>
        </w:tc>
        <w:tc>
          <w:tcPr>
            <w:tcW w:w="396" w:type="dxa"/>
            <w:tcBorders/>
            <w:shd w:fill="CFF0FC"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0" w:type="dxa"/>
            <w:tcBorders/>
            <w:shd w:fill="CFF0FC" w:val="clear"/>
            <w:vAlign w:val="center"/>
          </w:tcPr>
          <w:p>
            <w:pPr>
              <w:pStyle w:val="TableContents"/>
              <w:bidi w:val="0"/>
              <w:spacing w:before="0" w:after="283"/>
              <w:jc w:val="left"/>
              <w:rPr/>
            </w:pPr>
            <w:r>
              <w:rPr/>
              <w:t> </w:t>
            </w:r>
          </w:p>
        </w:tc>
        <w:tc>
          <w:tcPr>
            <w:tcW w:w="396" w:type="dxa"/>
            <w:tcBorders/>
            <w:shd w:fill="CFF0FC"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2"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10,805</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left"/>
              <w:rPr/>
            </w:pPr>
            <w:r>
              <w:rPr/>
              <w:t> </w:t>
            </w:r>
          </w:p>
        </w:tc>
        <w:tc>
          <w:tcPr>
            <w:tcW w:w="740" w:type="dxa"/>
            <w:tcBorders/>
            <w:shd w:fill="CFF0FC"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pPr>
            <w:r>
              <w:rPr/>
              <w:t> </w:t>
            </w:r>
          </w:p>
        </w:tc>
        <w:tc>
          <w:tcPr>
            <w:tcW w:w="738" w:type="dxa"/>
            <w:tcBorders/>
            <w:shd w:fill="CFF0FC"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10,805</w:t>
            </w:r>
          </w:p>
        </w:tc>
        <w:tc>
          <w:tcPr>
            <w:tcW w:w="196" w:type="dxa"/>
            <w:tcBorders/>
            <w:shd w:fill="CFF0FC" w:val="clear"/>
            <w:vAlign w:val="center"/>
          </w:tcPr>
          <w:p>
            <w:pPr>
              <w:pStyle w:val="TableContents"/>
              <w:bidi w:val="0"/>
              <w:spacing w:before="0" w:after="283"/>
              <w:jc w:val="left"/>
              <w:rPr/>
            </w:pPr>
            <w:r>
              <w:rPr/>
              <w:t> </w:t>
            </w:r>
          </w:p>
        </w:tc>
      </w:tr>
      <w:tr>
        <w:trPr/>
        <w:tc>
          <w:tcPr>
            <w:tcW w:w="1006" w:type="dxa"/>
            <w:tcBorders/>
            <w:shd w:fill="FFFFFF" w:val="cle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Merger, net of redemptions and transaction costs (Note 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w:t>
            </w:r>
          </w:p>
        </w:tc>
        <w:tc>
          <w:tcPr>
            <w:tcW w:w="151"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5,711,721</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396" w:type="dxa"/>
            <w:tcBorders/>
            <w:shd w:fill="FFFFFF"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1</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396" w:type="dxa"/>
            <w:tcBorders/>
            <w:shd w:fill="FFFFFF"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(8,839</w:t>
            </w:r>
          </w:p>
        </w:tc>
        <w:tc>
          <w:tcPr>
            <w:tcW w:w="151" w:type="dxa"/>
            <w:tcBorders/>
            <w:shd w:fill="FFFFFF" w:val="cle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(8,838</w:t>
            </w:r>
          </w:p>
        </w:tc>
        <w:tc>
          <w:tcPr>
            <w:tcW w:w="196" w:type="dxa"/>
            <w:tcBorders/>
            <w:shd w:fill="FFFFFF" w:val="cle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r>
      <w:tr>
        <w:trPr/>
        <w:tc>
          <w:tcPr>
            <w:tcW w:w="1006" w:type="dxa"/>
            <w:tcBorders/>
            <w:shd w:fill="CFF0FC" w:val="cle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Issuance of DTIC Common Stock in connection with the consummation of the PIPE Financing (Note 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w:t>
            </w:r>
          </w:p>
        </w:tc>
        <w:tc>
          <w:tcPr>
            <w:tcW w:w="151"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2,970,296</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0" w:type="dxa"/>
            <w:tcBorders/>
            <w:shd w:fill="CFF0FC" w:val="clear"/>
            <w:vAlign w:val="center"/>
          </w:tcPr>
          <w:p>
            <w:pPr>
              <w:pStyle w:val="TableContents"/>
              <w:bidi w:val="0"/>
              <w:spacing w:before="0" w:after="283"/>
              <w:jc w:val="left"/>
              <w:rPr/>
            </w:pPr>
            <w:r>
              <w:rPr/>
              <w:t> </w:t>
            </w:r>
          </w:p>
        </w:tc>
        <w:tc>
          <w:tcPr>
            <w:tcW w:w="396" w:type="dxa"/>
            <w:tcBorders/>
            <w:shd w:fill="CFF0FC"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0" w:type="dxa"/>
            <w:tcBorders/>
            <w:shd w:fill="CFF0FC" w:val="clear"/>
            <w:vAlign w:val="center"/>
          </w:tcPr>
          <w:p>
            <w:pPr>
              <w:pStyle w:val="TableContents"/>
              <w:bidi w:val="0"/>
              <w:spacing w:before="0" w:after="283"/>
              <w:jc w:val="left"/>
              <w:rPr/>
            </w:pPr>
            <w:r>
              <w:rPr/>
              <w:t> </w:t>
            </w:r>
          </w:p>
        </w:tc>
        <w:tc>
          <w:tcPr>
            <w:tcW w:w="396" w:type="dxa"/>
            <w:tcBorders/>
            <w:shd w:fill="CFF0FC"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2"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30,000</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left"/>
              <w:rPr/>
            </w:pPr>
            <w:r>
              <w:rPr/>
              <w:t> </w:t>
            </w:r>
          </w:p>
        </w:tc>
        <w:tc>
          <w:tcPr>
            <w:tcW w:w="740" w:type="dxa"/>
            <w:tcBorders/>
            <w:shd w:fill="CFF0FC"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pPr>
            <w:r>
              <w:rPr/>
              <w:t> </w:t>
            </w:r>
          </w:p>
        </w:tc>
        <w:tc>
          <w:tcPr>
            <w:tcW w:w="738" w:type="dxa"/>
            <w:tcBorders/>
            <w:shd w:fill="CFF0FC"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30,000</w:t>
            </w:r>
          </w:p>
        </w:tc>
        <w:tc>
          <w:tcPr>
            <w:tcW w:w="196" w:type="dxa"/>
            <w:tcBorders/>
            <w:shd w:fill="CFF0FC" w:val="clear"/>
            <w:vAlign w:val="center"/>
          </w:tcPr>
          <w:p>
            <w:pPr>
              <w:pStyle w:val="TableContents"/>
              <w:bidi w:val="0"/>
              <w:spacing w:before="0" w:after="283"/>
              <w:jc w:val="left"/>
              <w:rPr/>
            </w:pPr>
            <w:r>
              <w:rPr/>
              <w:t> </w:t>
            </w:r>
          </w:p>
        </w:tc>
      </w:tr>
      <w:tr>
        <w:trPr/>
        <w:tc>
          <w:tcPr>
            <w:tcW w:w="1006" w:type="dxa"/>
            <w:tcBorders/>
            <w:shd w:fill="FFFFFF" w:val="cle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Stock-based compensation</w:t>
            </w:r>
          </w:p>
        </w:tc>
        <w:tc>
          <w:tcPr>
            <w:tcW w:w="146" w:type="dxa"/>
            <w:tcBorders/>
            <w:shd w:fill="FFFFFF" w:val="clear"/>
            <w:vAlign w:val="center"/>
          </w:tcPr>
          <w:p>
            <w:pPr>
              <w:pStyle w:val="TableContents"/>
              <w:bidi w:val="0"/>
              <w:spacing w:before="0" w:after="283"/>
              <w:jc w:val="left"/>
              <w:rPr/>
            </w:pPr>
            <w:r>
              <w:rPr/>
              <w:t> </w:t>
            </w:r>
          </w:p>
        </w:tc>
        <w:tc>
          <w:tcPr>
            <w:tcW w:w="987"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5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337,429</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3,986</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96"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3,986</w:t>
            </w:r>
          </w:p>
        </w:tc>
        <w:tc>
          <w:tcPr>
            <w:tcW w:w="196" w:type="dxa"/>
            <w:tcBorders/>
            <w:shd w:fill="FFFFFF" w:val="clear"/>
            <w:vAlign w:val="center"/>
          </w:tcPr>
          <w:p>
            <w:pPr>
              <w:pStyle w:val="TableContents"/>
              <w:bidi w:val="0"/>
              <w:spacing w:before="0" w:after="283"/>
              <w:jc w:val="left"/>
              <w:rPr/>
            </w:pPr>
            <w:r>
              <w:rPr/>
              <w:t> </w:t>
            </w:r>
          </w:p>
        </w:tc>
      </w:tr>
      <w:tr>
        <w:trPr/>
        <w:tc>
          <w:tcPr>
            <w:tcW w:w="1006" w:type="dxa"/>
            <w:tcBorders/>
            <w:shd w:fill="CFF0FC" w:val="cle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Foreign currency translation adjustment, net of tax</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w:t>
            </w:r>
          </w:p>
        </w:tc>
        <w:tc>
          <w:tcPr>
            <w:tcW w:w="151"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0" w:type="dxa"/>
            <w:tcBorders/>
            <w:shd w:fill="CFF0FC" w:val="clear"/>
            <w:vAlign w:val="center"/>
          </w:tcPr>
          <w:p>
            <w:pPr>
              <w:pStyle w:val="TableContents"/>
              <w:bidi w:val="0"/>
              <w:spacing w:before="0" w:after="283"/>
              <w:jc w:val="left"/>
              <w:rPr/>
            </w:pPr>
            <w:r>
              <w:rPr/>
              <w:t> </w:t>
            </w:r>
          </w:p>
        </w:tc>
        <w:tc>
          <w:tcPr>
            <w:tcW w:w="396" w:type="dxa"/>
            <w:tcBorders/>
            <w:shd w:fill="CFF0FC"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92" w:type="dxa"/>
            <w:gridSpan w:val="2"/>
            <w:tcBorders/>
            <w:shd w:fill="CFF0FC" w:val="clear"/>
            <w:vAlign w:val="center"/>
          </w:tcPr>
          <w:p>
            <w:pPr>
              <w:pStyle w:val="TableContents"/>
              <w:bidi w:val="0"/>
              <w:spacing w:before="0" w:after="283"/>
              <w:jc w:val="right"/>
              <w:rPr/>
            </w:pPr>
            <w:r>
              <w:rPr/>
              <w:t> </w:t>
            </w:r>
          </w:p>
        </w:tc>
        <w:tc>
          <w:tcPr>
            <w:tcW w:w="15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0" w:type="dxa"/>
            <w:tcBorders/>
            <w:shd w:fill="CFF0FC" w:val="clear"/>
            <w:vAlign w:val="center"/>
          </w:tcPr>
          <w:p>
            <w:pPr>
              <w:pStyle w:val="TableContents"/>
              <w:bidi w:val="0"/>
              <w:spacing w:before="0" w:after="283"/>
              <w:jc w:val="left"/>
              <w:rPr/>
            </w:pPr>
            <w:r>
              <w:rPr/>
              <w:t> </w:t>
            </w:r>
          </w:p>
        </w:tc>
        <w:tc>
          <w:tcPr>
            <w:tcW w:w="396" w:type="dxa"/>
            <w:tcBorders/>
            <w:shd w:fill="CFF0FC"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2"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left"/>
              <w:rPr/>
            </w:pPr>
            <w:r>
              <w:rPr/>
              <w:t> </w:t>
            </w:r>
          </w:p>
        </w:tc>
        <w:tc>
          <w:tcPr>
            <w:tcW w:w="740" w:type="dxa"/>
            <w:tcBorders/>
            <w:shd w:fill="CFF0FC"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(207</w:t>
            </w:r>
          </w:p>
        </w:tc>
        <w:tc>
          <w:tcPr>
            <w:tcW w:w="151" w:type="dxa"/>
            <w:tcBorders/>
            <w:shd w:fill="CFF0FC" w:val="cle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pPr>
            <w:r>
              <w:rPr/>
              <w:t> </w:t>
            </w:r>
          </w:p>
        </w:tc>
        <w:tc>
          <w:tcPr>
            <w:tcW w:w="738" w:type="dxa"/>
            <w:tcBorders/>
            <w:shd w:fill="CFF0FC"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(207</w:t>
            </w:r>
          </w:p>
        </w:tc>
        <w:tc>
          <w:tcPr>
            <w:tcW w:w="196" w:type="dxa"/>
            <w:tcBorders/>
            <w:shd w:fill="CFF0FC" w:val="cle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r>
      <w:tr>
        <w:trPr/>
        <w:tc>
          <w:tcPr>
            <w:tcW w:w="1006" w:type="dxa"/>
            <w:tcBorders/>
            <w:shd w:fill="FFFFFF" w:val="cle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Net income</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937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937</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06" w:type="dxa"/>
            <w:tcBorders/>
            <w:shd w:fill="CFF0FC" w:val="clear"/>
            <w:vAlign w:val="center"/>
          </w:tcPr>
          <w:p>
            <w:pPr>
              <w:pStyle w:val="TableContents"/>
              <w:bidi w:val="0"/>
              <w:spacing w:before="0" w:after="283"/>
              <w:jc w:val="left"/>
              <w:rPr>
                <w:rFonts w:ascii="Arial" w:hAnsi="Arial"/>
                <w:b/>
                <w:color w:val="000000"/>
                <w:sz w:val="14"/>
              </w:rPr>
            </w:pPr>
            <w:r>
              <w:rPr>
                <w:rFonts w:ascii="Arial" w:hAnsi="Arial"/>
                <w:b/>
                <w:color w:val="000000"/>
                <w:sz w:val="14"/>
              </w:rPr>
              <w:t>BALANCE, June 30,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29,768,568</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3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3</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3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5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95,218</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7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(14,416</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7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(318</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2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7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80,487</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06" w:type="dxa"/>
            <w:tcBorders/>
            <w:shd w:fill="FFFFFF" w:val="cle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Foreign currency</w:t>
              <w:br/>
              <w:t>   translation adjustment,</w:t>
              <w:br/>
              <w:t>   net of tax</w:t>
            </w:r>
          </w:p>
        </w:tc>
        <w:tc>
          <w:tcPr>
            <w:tcW w:w="146" w:type="dxa"/>
            <w:tcBorders/>
            <w:shd w:fill="FFFFFF" w:val="clear"/>
            <w:vAlign w:val="center"/>
          </w:tcPr>
          <w:p>
            <w:pPr>
              <w:pStyle w:val="TableContents"/>
              <w:bidi w:val="0"/>
              <w:spacing w:before="0" w:after="283"/>
              <w:jc w:val="left"/>
              <w:rPr/>
            </w:pPr>
            <w:r>
              <w:rPr/>
              <w:t> </w:t>
            </w:r>
          </w:p>
        </w:tc>
        <w:tc>
          <w:tcPr>
            <w:tcW w:w="987"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5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87"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90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90</w:t>
            </w:r>
          </w:p>
        </w:tc>
        <w:tc>
          <w:tcPr>
            <w:tcW w:w="196" w:type="dxa"/>
            <w:tcBorders/>
            <w:shd w:fill="FFFFFF" w:val="clear"/>
            <w:vAlign w:val="center"/>
          </w:tcPr>
          <w:p>
            <w:pPr>
              <w:pStyle w:val="TableContents"/>
              <w:bidi w:val="0"/>
              <w:spacing w:before="0" w:after="283"/>
              <w:jc w:val="left"/>
              <w:rPr/>
            </w:pPr>
            <w:r>
              <w:rPr/>
              <w:t> </w:t>
            </w:r>
          </w:p>
        </w:tc>
      </w:tr>
      <w:tr>
        <w:trPr/>
        <w:tc>
          <w:tcPr>
            <w:tcW w:w="1006" w:type="dxa"/>
            <w:tcBorders/>
            <w:shd w:fill="CFF0FC" w:val="cle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Net income</w:t>
            </w:r>
          </w:p>
        </w:tc>
        <w:tc>
          <w:tcPr>
            <w:tcW w:w="146" w:type="dxa"/>
            <w:tcBorders/>
            <w:shd w:fill="CFF0FC" w:val="clear"/>
            <w:vAlign w:val="center"/>
          </w:tcPr>
          <w:p>
            <w:pPr>
              <w:pStyle w:val="TableContents"/>
              <w:bidi w:val="0"/>
              <w:spacing w:before="0" w:after="283"/>
              <w:jc w:val="left"/>
              <w:rPr/>
            </w:pPr>
            <w:r>
              <w:rPr/>
              <w:t> </w:t>
            </w:r>
          </w:p>
        </w:tc>
        <w:tc>
          <w:tcPr>
            <w:tcW w:w="98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5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8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5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4,287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9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4,287</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06" w:type="dxa"/>
            <w:tcBorders/>
            <w:shd w:fill="FFFFFF" w:val="clear"/>
            <w:vAlign w:val="center"/>
          </w:tcPr>
          <w:p>
            <w:pPr>
              <w:pStyle w:val="TableContents"/>
              <w:bidi w:val="0"/>
              <w:spacing w:before="0" w:after="283"/>
              <w:jc w:val="left"/>
              <w:rPr>
                <w:rFonts w:ascii="Arial" w:hAnsi="Arial"/>
                <w:b/>
                <w:color w:val="000000"/>
                <w:sz w:val="14"/>
              </w:rPr>
            </w:pPr>
            <w:r>
              <w:rPr>
                <w:rFonts w:ascii="Arial" w:hAnsi="Arial"/>
                <w:b/>
                <w:color w:val="000000"/>
                <w:sz w:val="14"/>
              </w:rPr>
              <w:t>BALANCE, September 30,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29,768,568</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3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3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5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95,218</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7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(10,129</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7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(228</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7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84,864</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both"/>
        <w:rPr>
          <w:rFonts w:ascii="Arial" w:hAnsi="Arial"/>
          <w:b w:val="false"/>
          <w:color w:val="000000"/>
          <w:sz w:val="20"/>
        </w:rPr>
      </w:pPr>
      <w:r>
        <w:rPr>
          <w:rFonts w:ascii="Arial" w:hAnsi="Arial"/>
          <w:b w:val="false"/>
          <w:color w:val="000000"/>
          <w:sz w:val="20"/>
        </w:rPr>
        <w:t>* Shares of legacy redeemable convertible preferred stock and legacy common stock have been retroactively restated to give effect to the Merger.</w:t>
      </w:r>
    </w:p>
    <w:p>
      <w:pPr>
        <w:pStyle w:val="TextBody"/>
        <w:bidi w:val="0"/>
        <w:jc w:val="center"/>
        <w:rPr>
          <w:rFonts w:ascii="Times New Roman" w:hAnsi="Times New Roman"/>
          <w:sz w:val="20"/>
        </w:rPr>
      </w:pPr>
      <w:r>
        <w:rPr>
          <w:rFonts w:ascii="Arial" w:hAnsi="Arial"/>
          <w:b w:val="false"/>
          <w:i/>
          <w:color w:val="000000"/>
          <w:sz w:val="16"/>
        </w:rPr>
        <w:t>The accompanying notes are an integral part of these unaudited condensed consolidated financial statements</w:t>
      </w:r>
      <w:r>
        <w:rPr>
          <w:rFonts w:ascii="Arial" w:hAnsi="Arial"/>
          <w:b w:val="false"/>
          <w:i/>
          <w:color w:val="000000"/>
          <w:sz w:val="20"/>
        </w:rPr>
        <w:t>.</w:t>
      </w:r>
    </w:p>
    <w:p>
      <w:pPr>
        <w:pStyle w:val="TextBody"/>
        <w:bidi w:val="0"/>
        <w:jc w:val="center"/>
        <w:rPr/>
      </w:pPr>
      <w:r>
        <w:rPr/>
        <w:t> </w:t>
      </w:r>
    </w:p>
    <w:p>
      <w:pPr>
        <w:pStyle w:val="TextBody"/>
        <w:bidi w:val="0"/>
        <w:jc w:val="center"/>
        <w:rPr>
          <w:rFonts w:ascii="Arial" w:hAnsi="Arial"/>
          <w:b w:val="false"/>
          <w:color w:val="000000"/>
          <w:sz w:val="20"/>
        </w:rPr>
      </w:pPr>
      <w:r>
        <w:rPr>
          <w:rFonts w:ascii="Arial" w:hAnsi="Arial"/>
          <w:b w:val="false"/>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0"/>
        </w:rPr>
        <w:t>DRILLING TOOLS INTERNATIONAL CORPORATION</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8" w:name="consolidated_statements_of_cash_flows"/>
      <w:bookmarkEnd w:id="8"/>
      <w:r>
        <w:rPr>
          <w:rFonts w:ascii="Arial" w:hAnsi="Arial"/>
          <w:b/>
          <w:color w:val="000000"/>
          <w:sz w:val="20"/>
        </w:rPr>
        <w:t>UNAUDITED CONDENSED CONSOLIDATED STATEMENTS OF CASH FLOWS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119"/>
        <w:gridCol w:w="146"/>
        <w:gridCol w:w="244"/>
        <w:gridCol w:w="825"/>
        <w:gridCol w:w="207"/>
        <w:gridCol w:w="182"/>
        <w:gridCol w:w="244"/>
        <w:gridCol w:w="825"/>
        <w:gridCol w:w="413"/>
      </w:tblGrid>
      <w:tr>
        <w:trPr/>
        <w:tc>
          <w:tcPr>
            <w:tcW w:w="71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7119"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52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 September 30,</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19" w:type="dxa"/>
            <w:tcBorders/>
            <w:shd w:fill="FFFFFF" w:val="clear"/>
            <w:vAlign w:val="center"/>
          </w:tcPr>
          <w:p>
            <w:pPr>
              <w:pStyle w:val="TableContents"/>
              <w:bidi w:val="0"/>
              <w:spacing w:before="0" w:after="283"/>
              <w:jc w:val="left"/>
              <w:rPr>
                <w:rFonts w:ascii="Arial" w:hAnsi="Arial"/>
                <w:b w:val="false"/>
                <w:i/>
                <w:color w:val="000000"/>
                <w:sz w:val="16"/>
              </w:rPr>
            </w:pPr>
            <w:r>
              <w:rPr>
                <w:rFonts w:ascii="Arial" w:hAnsi="Arial"/>
                <w:b w:val="false"/>
                <w:i/>
                <w:color w:val="000000"/>
                <w:sz w:val="16"/>
              </w:rPr>
              <w:t>(In thousands)</w:t>
            </w:r>
          </w:p>
        </w:tc>
        <w:tc>
          <w:tcPr>
            <w:tcW w:w="146" w:type="dxa"/>
            <w:tcBorders/>
            <w:shd w:fill="FFFFFF" w:val="clear"/>
            <w:vAlign w:val="center"/>
          </w:tcPr>
          <w:p>
            <w:pPr>
              <w:pStyle w:val="TableContents"/>
              <w:bidi w:val="0"/>
              <w:spacing w:before="0" w:after="283"/>
              <w:jc w:val="left"/>
              <w:rPr/>
            </w:pPr>
            <w:r>
              <w:rPr/>
              <w:t> </w:t>
            </w:r>
          </w:p>
        </w:tc>
        <w:tc>
          <w:tcPr>
            <w:tcW w:w="10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2" w:type="dxa"/>
            <w:tcBorders/>
            <w:shd w:fill="FFFFFF" w:val="clear"/>
            <w:vAlign w:val="center"/>
          </w:tcPr>
          <w:p>
            <w:pPr>
              <w:pStyle w:val="TableContents"/>
              <w:bidi w:val="0"/>
              <w:spacing w:before="0" w:after="283"/>
              <w:jc w:val="left"/>
              <w:rPr/>
            </w:pPr>
            <w:r>
              <w:rPr/>
              <w:t> </w:t>
            </w:r>
          </w:p>
        </w:tc>
        <w:tc>
          <w:tcPr>
            <w:tcW w:w="10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2022</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19" w:type="dxa"/>
            <w:tcBorders/>
            <w:shd w:fill="CFF0FC" w:val="clear"/>
            <w:vAlign w:val="center"/>
          </w:tcPr>
          <w:p>
            <w:pPr>
              <w:pStyle w:val="TableContents"/>
              <w:bidi w:val="0"/>
              <w:spacing w:before="0" w:after="283"/>
              <w:jc w:val="left"/>
              <w:rPr>
                <w:rFonts w:ascii="Arial" w:hAnsi="Arial"/>
                <w:b/>
                <w:color w:val="000000"/>
                <w:sz w:val="16"/>
              </w:rPr>
            </w:pPr>
            <w:r>
              <w:rPr>
                <w:rFonts w:ascii="Arial" w:hAnsi="Arial"/>
                <w:b/>
                <w:color w:val="000000"/>
                <w:sz w:val="16"/>
              </w:rPr>
              <w:t>Cash flows from operating activities:</w:t>
            </w:r>
          </w:p>
        </w:tc>
        <w:tc>
          <w:tcPr>
            <w:tcW w:w="146" w:type="dxa"/>
            <w:tcBorders/>
            <w:shd w:fill="CFF0FC" w:val="clear"/>
            <w:vAlign w:val="center"/>
          </w:tcPr>
          <w:p>
            <w:pPr>
              <w:pStyle w:val="TableContents"/>
              <w:bidi w:val="0"/>
              <w:spacing w:before="0" w:after="283"/>
              <w:jc w:val="left"/>
              <w:rPr/>
            </w:pPr>
            <w:r>
              <w:rPr/>
              <w:t> </w:t>
            </w:r>
          </w:p>
        </w:tc>
        <w:tc>
          <w:tcPr>
            <w:tcW w:w="1069" w:type="dxa"/>
            <w:gridSpan w:val="2"/>
            <w:tcBorders/>
            <w:shd w:fill="CFF0FC" w:val="clear"/>
            <w:vAlign w:val="center"/>
          </w:tcPr>
          <w:p>
            <w:pPr>
              <w:pStyle w:val="TableContents"/>
              <w:bidi w:val="0"/>
              <w:spacing w:before="0" w:after="283"/>
              <w:jc w:val="right"/>
              <w:rPr/>
            </w:pPr>
            <w:r>
              <w:rPr/>
              <w:t> </w:t>
            </w:r>
          </w:p>
        </w:tc>
        <w:tc>
          <w:tcPr>
            <w:tcW w:w="207" w:type="dxa"/>
            <w:tcBorders/>
            <w:shd w:fill="CFF0FC" w:val="clear"/>
            <w:vAlign w:val="center"/>
          </w:tcPr>
          <w:p>
            <w:pPr>
              <w:pStyle w:val="TableContents"/>
              <w:bidi w:val="0"/>
              <w:spacing w:before="0" w:after="283"/>
              <w:jc w:val="right"/>
              <w:rPr/>
            </w:pPr>
            <w:r>
              <w:rPr/>
              <w:t> </w:t>
            </w:r>
          </w:p>
        </w:tc>
        <w:tc>
          <w:tcPr>
            <w:tcW w:w="182" w:type="dxa"/>
            <w:tcBorders/>
            <w:shd w:fill="CFF0FC" w:val="clear"/>
            <w:vAlign w:val="center"/>
          </w:tcPr>
          <w:p>
            <w:pPr>
              <w:pStyle w:val="TableContents"/>
              <w:bidi w:val="0"/>
              <w:spacing w:before="0" w:after="283"/>
              <w:jc w:val="left"/>
              <w:rPr/>
            </w:pPr>
            <w:r>
              <w:rPr/>
              <w:t> </w:t>
            </w:r>
          </w:p>
        </w:tc>
        <w:tc>
          <w:tcPr>
            <w:tcW w:w="1069" w:type="dxa"/>
            <w:gridSpan w:val="2"/>
            <w:tcBorders/>
            <w:shd w:fill="CFF0FC" w:val="clear"/>
            <w:vAlign w:val="center"/>
          </w:tcPr>
          <w:p>
            <w:pPr>
              <w:pStyle w:val="TableContents"/>
              <w:bidi w:val="0"/>
              <w:spacing w:before="0" w:after="283"/>
              <w:jc w:val="right"/>
              <w:rPr/>
            </w:pPr>
            <w:r>
              <w:rPr/>
              <w:t> </w:t>
            </w:r>
          </w:p>
        </w:tc>
        <w:tc>
          <w:tcPr>
            <w:tcW w:w="413" w:type="dxa"/>
            <w:tcBorders/>
            <w:shd w:fill="CFF0FC" w:val="clear"/>
            <w:vAlign w:val="center"/>
          </w:tcPr>
          <w:p>
            <w:pPr>
              <w:pStyle w:val="TableContents"/>
              <w:bidi w:val="0"/>
              <w:spacing w:before="0" w:after="283"/>
              <w:ind w:left="0" w:right="0" w:firstLine="200"/>
              <w:jc w:val="right"/>
              <w:rPr/>
            </w:pPr>
            <w:r>
              <w:rPr/>
              <w:t> </w:t>
            </w:r>
          </w:p>
        </w:tc>
      </w:tr>
      <w:tr>
        <w:trPr/>
        <w:tc>
          <w:tcPr>
            <w:tcW w:w="7119" w:type="dxa"/>
            <w:tcBorders/>
            <w:shd w:fill="FFFFFF" w:val="clear"/>
            <w:vAlign w:val="center"/>
          </w:tcPr>
          <w:p>
            <w:pPr>
              <w:pStyle w:val="TableContents"/>
              <w:bidi w:val="0"/>
              <w:spacing w:before="0" w:after="283"/>
              <w:ind w:left="200" w:right="0" w:firstLine="200"/>
              <w:jc w:val="left"/>
              <w:rPr>
                <w:rFonts w:ascii="Arial" w:hAnsi="Arial"/>
                <w:b w:val="false"/>
                <w:color w:val="000000"/>
                <w:sz w:val="16"/>
              </w:rPr>
            </w:pPr>
            <w:r>
              <w:rPr>
                <w:rFonts w:ascii="Arial" w:hAnsi="Arial"/>
                <w:b w:val="false"/>
                <w:color w:val="000000"/>
                <w:sz w:val="16"/>
              </w:rPr>
              <w:t>Net income</w:t>
            </w:r>
          </w:p>
        </w:tc>
        <w:tc>
          <w:tcPr>
            <w:tcW w:w="14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825" w:type="dxa"/>
            <w:tcBorders/>
            <w:shd w:fill="FFFFFF"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10,925</w:t>
            </w:r>
          </w:p>
        </w:tc>
        <w:tc>
          <w:tcPr>
            <w:tcW w:w="207"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825" w:type="dxa"/>
            <w:tcBorders/>
            <w:shd w:fill="FFFFFF"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14,263</w:t>
            </w:r>
          </w:p>
        </w:tc>
        <w:tc>
          <w:tcPr>
            <w:tcW w:w="413" w:type="dxa"/>
            <w:tcBorders/>
            <w:shd w:fill="FFFFFF" w:val="clear"/>
            <w:vAlign w:val="center"/>
          </w:tcPr>
          <w:p>
            <w:pPr>
              <w:pStyle w:val="TableContents"/>
              <w:bidi w:val="0"/>
              <w:spacing w:before="0" w:after="283"/>
              <w:jc w:val="left"/>
              <w:rPr/>
            </w:pPr>
            <w:r>
              <w:rPr/>
              <w:t> </w:t>
            </w:r>
          </w:p>
        </w:tc>
      </w:tr>
      <w:tr>
        <w:trPr/>
        <w:tc>
          <w:tcPr>
            <w:tcW w:w="7119" w:type="dxa"/>
            <w:tcBorders/>
            <w:shd w:fill="CFF0FC"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Adjustments to reconcile net income to net cash from operating activities:</w:t>
            </w:r>
          </w:p>
        </w:tc>
        <w:tc>
          <w:tcPr>
            <w:tcW w:w="146" w:type="dxa"/>
            <w:tcBorders/>
            <w:shd w:fill="CFF0FC" w:val="clear"/>
            <w:vAlign w:val="center"/>
          </w:tcPr>
          <w:p>
            <w:pPr>
              <w:pStyle w:val="TableContents"/>
              <w:bidi w:val="0"/>
              <w:spacing w:before="0" w:after="283"/>
              <w:jc w:val="left"/>
              <w:rPr/>
            </w:pPr>
            <w:r>
              <w:rPr/>
              <w:t> </w:t>
            </w:r>
          </w:p>
        </w:tc>
        <w:tc>
          <w:tcPr>
            <w:tcW w:w="1069" w:type="dxa"/>
            <w:gridSpan w:val="2"/>
            <w:tcBorders/>
            <w:shd w:fill="CFF0FC" w:val="clear"/>
            <w:vAlign w:val="center"/>
          </w:tcPr>
          <w:p>
            <w:pPr>
              <w:pStyle w:val="TableContents"/>
              <w:bidi w:val="0"/>
              <w:spacing w:before="0" w:after="283"/>
              <w:jc w:val="right"/>
              <w:rPr/>
            </w:pPr>
            <w:r>
              <w:rPr/>
              <w:t> </w:t>
            </w:r>
          </w:p>
        </w:tc>
        <w:tc>
          <w:tcPr>
            <w:tcW w:w="207" w:type="dxa"/>
            <w:tcBorders/>
            <w:shd w:fill="CFF0FC" w:val="clear"/>
            <w:vAlign w:val="center"/>
          </w:tcPr>
          <w:p>
            <w:pPr>
              <w:pStyle w:val="TableContents"/>
              <w:bidi w:val="0"/>
              <w:spacing w:before="0" w:after="283"/>
              <w:jc w:val="right"/>
              <w:rPr/>
            </w:pPr>
            <w:r>
              <w:rPr/>
              <w:t> </w:t>
            </w:r>
          </w:p>
        </w:tc>
        <w:tc>
          <w:tcPr>
            <w:tcW w:w="182" w:type="dxa"/>
            <w:tcBorders/>
            <w:shd w:fill="CFF0FC" w:val="clear"/>
            <w:vAlign w:val="center"/>
          </w:tcPr>
          <w:p>
            <w:pPr>
              <w:pStyle w:val="TableContents"/>
              <w:bidi w:val="0"/>
              <w:spacing w:before="0" w:after="283"/>
              <w:jc w:val="left"/>
              <w:rPr/>
            </w:pPr>
            <w:r>
              <w:rPr/>
              <w:t> </w:t>
            </w:r>
          </w:p>
        </w:tc>
        <w:tc>
          <w:tcPr>
            <w:tcW w:w="1069" w:type="dxa"/>
            <w:gridSpan w:val="2"/>
            <w:tcBorders/>
            <w:shd w:fill="CFF0FC" w:val="clear"/>
            <w:vAlign w:val="center"/>
          </w:tcPr>
          <w:p>
            <w:pPr>
              <w:pStyle w:val="TableContents"/>
              <w:bidi w:val="0"/>
              <w:spacing w:before="0" w:after="283"/>
              <w:jc w:val="right"/>
              <w:rPr/>
            </w:pPr>
            <w:r>
              <w:rPr/>
              <w:t> </w:t>
            </w:r>
          </w:p>
        </w:tc>
        <w:tc>
          <w:tcPr>
            <w:tcW w:w="413" w:type="dxa"/>
            <w:tcBorders/>
            <w:shd w:fill="CFF0FC" w:val="clear"/>
            <w:vAlign w:val="center"/>
          </w:tcPr>
          <w:p>
            <w:pPr>
              <w:pStyle w:val="TableContents"/>
              <w:bidi w:val="0"/>
              <w:spacing w:before="0" w:after="283"/>
              <w:ind w:left="0" w:right="0" w:firstLine="200"/>
              <w:jc w:val="right"/>
              <w:rPr/>
            </w:pPr>
            <w:r>
              <w:rPr/>
              <w:t> </w:t>
            </w:r>
          </w:p>
        </w:tc>
      </w:tr>
      <w:tr>
        <w:trPr/>
        <w:tc>
          <w:tcPr>
            <w:tcW w:w="7119" w:type="dxa"/>
            <w:tcBorders/>
            <w:shd w:fill="FFFFFF" w:val="clear"/>
            <w:vAlign w:val="center"/>
          </w:tcPr>
          <w:p>
            <w:pPr>
              <w:pStyle w:val="TableContents"/>
              <w:bidi w:val="0"/>
              <w:spacing w:before="0" w:after="283"/>
              <w:ind w:left="200" w:right="0" w:firstLine="200"/>
              <w:jc w:val="left"/>
              <w:rPr>
                <w:rFonts w:ascii="Arial" w:hAnsi="Arial"/>
                <w:b w:val="false"/>
                <w:color w:val="000000"/>
                <w:sz w:val="16"/>
              </w:rPr>
            </w:pPr>
            <w:r>
              <w:rPr>
                <w:rFonts w:ascii="Arial" w:hAnsi="Arial"/>
                <w:b w:val="false"/>
                <w:color w:val="000000"/>
                <w:sz w:val="16"/>
              </w:rPr>
              <w:t>Depreciation and amortization</w:t>
            </w:r>
          </w:p>
        </w:tc>
        <w:tc>
          <w:tcPr>
            <w:tcW w:w="14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15,035</w:t>
            </w:r>
          </w:p>
        </w:tc>
        <w:tc>
          <w:tcPr>
            <w:tcW w:w="207"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14,782</w:t>
            </w:r>
          </w:p>
        </w:tc>
        <w:tc>
          <w:tcPr>
            <w:tcW w:w="413" w:type="dxa"/>
            <w:tcBorders/>
            <w:shd w:fill="FFFFFF" w:val="clear"/>
            <w:vAlign w:val="center"/>
          </w:tcPr>
          <w:p>
            <w:pPr>
              <w:pStyle w:val="TableContents"/>
              <w:bidi w:val="0"/>
              <w:spacing w:before="0" w:after="283"/>
              <w:ind w:left="0" w:right="0" w:firstLine="200"/>
              <w:jc w:val="left"/>
              <w:rPr/>
            </w:pPr>
            <w:r>
              <w:rPr/>
              <w:t> </w:t>
            </w:r>
          </w:p>
        </w:tc>
      </w:tr>
      <w:tr>
        <w:trPr/>
        <w:tc>
          <w:tcPr>
            <w:tcW w:w="7119" w:type="dxa"/>
            <w:tcBorders/>
            <w:shd w:fill="CFF0FC" w:val="clear"/>
            <w:vAlign w:val="center"/>
          </w:tcPr>
          <w:p>
            <w:pPr>
              <w:pStyle w:val="TableContents"/>
              <w:bidi w:val="0"/>
              <w:spacing w:before="0" w:after="283"/>
              <w:ind w:left="200" w:right="0" w:firstLine="200"/>
              <w:jc w:val="left"/>
              <w:rPr>
                <w:rFonts w:ascii="Arial" w:hAnsi="Arial"/>
                <w:b w:val="false"/>
                <w:color w:val="000000"/>
                <w:sz w:val="16"/>
              </w:rPr>
            </w:pPr>
            <w:r>
              <w:rPr>
                <w:rFonts w:ascii="Arial" w:hAnsi="Arial"/>
                <w:b w:val="false"/>
                <w:color w:val="000000"/>
                <w:sz w:val="16"/>
              </w:rPr>
              <w:t>Amortization of deferred financing costs</w:t>
            </w:r>
          </w:p>
        </w:tc>
        <w:tc>
          <w:tcPr>
            <w:tcW w:w="146"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825" w:type="dxa"/>
            <w:tcBorders/>
            <w:shd w:fill="CFF0FC"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88</w:t>
            </w:r>
          </w:p>
        </w:tc>
        <w:tc>
          <w:tcPr>
            <w:tcW w:w="207" w:type="dxa"/>
            <w:tcBorders/>
            <w:shd w:fill="CFF0FC" w:val="cle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825" w:type="dxa"/>
            <w:tcBorders/>
            <w:shd w:fill="CFF0FC"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74</w:t>
            </w:r>
          </w:p>
        </w:tc>
        <w:tc>
          <w:tcPr>
            <w:tcW w:w="413" w:type="dxa"/>
            <w:tcBorders/>
            <w:shd w:fill="CFF0FC" w:val="clear"/>
            <w:vAlign w:val="center"/>
          </w:tcPr>
          <w:p>
            <w:pPr>
              <w:pStyle w:val="TableContents"/>
              <w:bidi w:val="0"/>
              <w:spacing w:before="0" w:after="283"/>
              <w:ind w:left="0" w:right="0" w:firstLine="200"/>
              <w:jc w:val="left"/>
              <w:rPr/>
            </w:pPr>
            <w:r>
              <w:rPr/>
              <w:t> </w:t>
            </w:r>
          </w:p>
        </w:tc>
      </w:tr>
      <w:tr>
        <w:trPr/>
        <w:tc>
          <w:tcPr>
            <w:tcW w:w="7119" w:type="dxa"/>
            <w:tcBorders/>
            <w:shd w:fill="FFFFFF" w:val="clear"/>
            <w:vAlign w:val="center"/>
          </w:tcPr>
          <w:p>
            <w:pPr>
              <w:pStyle w:val="TableContents"/>
              <w:bidi w:val="0"/>
              <w:spacing w:before="0" w:after="283"/>
              <w:ind w:left="200" w:right="0" w:firstLine="200"/>
              <w:jc w:val="left"/>
              <w:rPr>
                <w:rFonts w:ascii="Arial" w:hAnsi="Arial"/>
                <w:b w:val="false"/>
                <w:color w:val="000000"/>
                <w:sz w:val="16"/>
              </w:rPr>
            </w:pPr>
            <w:r>
              <w:rPr>
                <w:rFonts w:ascii="Arial" w:hAnsi="Arial"/>
                <w:b w:val="false"/>
                <w:color w:val="000000"/>
                <w:sz w:val="16"/>
              </w:rPr>
              <w:t>Amortization of debt discount</w:t>
            </w:r>
          </w:p>
        </w:tc>
        <w:tc>
          <w:tcPr>
            <w:tcW w:w="14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w:t>
            </w:r>
          </w:p>
        </w:tc>
        <w:tc>
          <w:tcPr>
            <w:tcW w:w="207"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52</w:t>
            </w:r>
          </w:p>
        </w:tc>
        <w:tc>
          <w:tcPr>
            <w:tcW w:w="413" w:type="dxa"/>
            <w:tcBorders/>
            <w:shd w:fill="FFFFFF" w:val="clear"/>
            <w:vAlign w:val="center"/>
          </w:tcPr>
          <w:p>
            <w:pPr>
              <w:pStyle w:val="TableContents"/>
              <w:bidi w:val="0"/>
              <w:spacing w:before="0" w:after="283"/>
              <w:ind w:left="0" w:right="0" w:firstLine="200"/>
              <w:jc w:val="left"/>
              <w:rPr/>
            </w:pPr>
            <w:r>
              <w:rPr/>
              <w:t> </w:t>
            </w:r>
          </w:p>
        </w:tc>
      </w:tr>
      <w:tr>
        <w:trPr/>
        <w:tc>
          <w:tcPr>
            <w:tcW w:w="7119" w:type="dxa"/>
            <w:tcBorders/>
            <w:shd w:fill="CFF0FC" w:val="clear"/>
            <w:vAlign w:val="center"/>
          </w:tcPr>
          <w:p>
            <w:pPr>
              <w:pStyle w:val="TableContents"/>
              <w:bidi w:val="0"/>
              <w:spacing w:before="0" w:after="283"/>
              <w:ind w:left="200" w:right="0" w:firstLine="200"/>
              <w:jc w:val="left"/>
              <w:rPr>
                <w:rFonts w:ascii="Arial" w:hAnsi="Arial"/>
                <w:b w:val="false"/>
                <w:color w:val="000000"/>
                <w:sz w:val="16"/>
              </w:rPr>
            </w:pPr>
            <w:r>
              <w:rPr>
                <w:rFonts w:ascii="Arial" w:hAnsi="Arial"/>
                <w:b w:val="false"/>
                <w:color w:val="000000"/>
                <w:sz w:val="16"/>
              </w:rPr>
              <w:t>Non-cash lease expense</w:t>
            </w:r>
          </w:p>
        </w:tc>
        <w:tc>
          <w:tcPr>
            <w:tcW w:w="146"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825" w:type="dxa"/>
            <w:tcBorders/>
            <w:shd w:fill="CFF0FC"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3,418</w:t>
            </w:r>
          </w:p>
        </w:tc>
        <w:tc>
          <w:tcPr>
            <w:tcW w:w="207" w:type="dxa"/>
            <w:tcBorders/>
            <w:shd w:fill="CFF0FC" w:val="cle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825" w:type="dxa"/>
            <w:tcBorders/>
            <w:shd w:fill="CFF0FC"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3,087</w:t>
            </w:r>
          </w:p>
        </w:tc>
        <w:tc>
          <w:tcPr>
            <w:tcW w:w="413" w:type="dxa"/>
            <w:tcBorders/>
            <w:shd w:fill="CFF0FC" w:val="clear"/>
            <w:vAlign w:val="center"/>
          </w:tcPr>
          <w:p>
            <w:pPr>
              <w:pStyle w:val="TableContents"/>
              <w:bidi w:val="0"/>
              <w:spacing w:before="0" w:after="283"/>
              <w:ind w:left="0" w:right="0" w:firstLine="200"/>
              <w:jc w:val="left"/>
              <w:rPr/>
            </w:pPr>
            <w:r>
              <w:rPr/>
              <w:t> </w:t>
            </w:r>
          </w:p>
        </w:tc>
      </w:tr>
      <w:tr>
        <w:trPr/>
        <w:tc>
          <w:tcPr>
            <w:tcW w:w="7119" w:type="dxa"/>
            <w:tcBorders/>
            <w:shd w:fill="FFFFFF" w:val="clear"/>
            <w:vAlign w:val="center"/>
          </w:tcPr>
          <w:p>
            <w:pPr>
              <w:pStyle w:val="TableContents"/>
              <w:bidi w:val="0"/>
              <w:spacing w:before="0" w:after="283"/>
              <w:ind w:left="200" w:right="0" w:firstLine="200"/>
              <w:jc w:val="left"/>
              <w:rPr>
                <w:rFonts w:ascii="Arial" w:hAnsi="Arial"/>
                <w:b w:val="false"/>
                <w:color w:val="000000"/>
                <w:sz w:val="16"/>
              </w:rPr>
            </w:pPr>
            <w:r>
              <w:rPr>
                <w:rFonts w:ascii="Arial" w:hAnsi="Arial"/>
                <w:b w:val="false"/>
                <w:color w:val="000000"/>
                <w:sz w:val="16"/>
              </w:rPr>
              <w:t>Provision for excess and obsolete inventory</w:t>
            </w:r>
          </w:p>
        </w:tc>
        <w:tc>
          <w:tcPr>
            <w:tcW w:w="14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22</w:t>
            </w:r>
          </w:p>
        </w:tc>
        <w:tc>
          <w:tcPr>
            <w:tcW w:w="207"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29</w:t>
            </w:r>
          </w:p>
        </w:tc>
        <w:tc>
          <w:tcPr>
            <w:tcW w:w="413" w:type="dxa"/>
            <w:tcBorders/>
            <w:shd w:fill="FFFFFF" w:val="clear"/>
            <w:vAlign w:val="center"/>
          </w:tcPr>
          <w:p>
            <w:pPr>
              <w:pStyle w:val="TableContents"/>
              <w:bidi w:val="0"/>
              <w:spacing w:before="0" w:after="283"/>
              <w:ind w:left="0" w:right="0" w:firstLine="200"/>
              <w:jc w:val="left"/>
              <w:rPr/>
            </w:pPr>
            <w:r>
              <w:rPr/>
              <w:t> </w:t>
            </w:r>
          </w:p>
        </w:tc>
      </w:tr>
      <w:tr>
        <w:trPr/>
        <w:tc>
          <w:tcPr>
            <w:tcW w:w="7119" w:type="dxa"/>
            <w:tcBorders/>
            <w:shd w:fill="CFF0FC" w:val="clear"/>
            <w:vAlign w:val="center"/>
          </w:tcPr>
          <w:p>
            <w:pPr>
              <w:pStyle w:val="TableContents"/>
              <w:bidi w:val="0"/>
              <w:spacing w:before="0" w:after="283"/>
              <w:ind w:left="200" w:right="0" w:firstLine="200"/>
              <w:jc w:val="left"/>
              <w:rPr>
                <w:rFonts w:ascii="Arial" w:hAnsi="Arial"/>
                <w:b w:val="false"/>
                <w:color w:val="000000"/>
                <w:sz w:val="16"/>
              </w:rPr>
            </w:pPr>
            <w:r>
              <w:rPr>
                <w:rFonts w:ascii="Arial" w:hAnsi="Arial"/>
                <w:b w:val="false"/>
                <w:color w:val="000000"/>
                <w:sz w:val="16"/>
              </w:rPr>
              <w:t>Provision for excess and obsolete property and equipment</w:t>
            </w:r>
          </w:p>
        </w:tc>
        <w:tc>
          <w:tcPr>
            <w:tcW w:w="146"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825" w:type="dxa"/>
            <w:tcBorders/>
            <w:shd w:fill="CFF0FC"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381</w:t>
            </w:r>
          </w:p>
        </w:tc>
        <w:tc>
          <w:tcPr>
            <w:tcW w:w="207" w:type="dxa"/>
            <w:tcBorders/>
            <w:shd w:fill="CFF0FC" w:val="cle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825" w:type="dxa"/>
            <w:tcBorders/>
            <w:shd w:fill="CFF0FC"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400</w:t>
            </w:r>
          </w:p>
        </w:tc>
        <w:tc>
          <w:tcPr>
            <w:tcW w:w="413" w:type="dxa"/>
            <w:tcBorders/>
            <w:shd w:fill="CFF0FC" w:val="clear"/>
            <w:vAlign w:val="center"/>
          </w:tcPr>
          <w:p>
            <w:pPr>
              <w:pStyle w:val="TableContents"/>
              <w:bidi w:val="0"/>
              <w:spacing w:before="0" w:after="283"/>
              <w:ind w:left="0" w:right="0" w:firstLine="200"/>
              <w:jc w:val="left"/>
              <w:rPr/>
            </w:pPr>
            <w:r>
              <w:rPr/>
              <w:t> </w:t>
            </w:r>
          </w:p>
        </w:tc>
      </w:tr>
      <w:tr>
        <w:trPr/>
        <w:tc>
          <w:tcPr>
            <w:tcW w:w="7119" w:type="dxa"/>
            <w:tcBorders/>
            <w:shd w:fill="FFFFFF" w:val="clear"/>
            <w:vAlign w:val="center"/>
          </w:tcPr>
          <w:p>
            <w:pPr>
              <w:pStyle w:val="TableContents"/>
              <w:bidi w:val="0"/>
              <w:spacing w:before="0" w:after="283"/>
              <w:ind w:left="200" w:right="0" w:firstLine="200"/>
              <w:jc w:val="left"/>
              <w:rPr>
                <w:rFonts w:ascii="Arial" w:hAnsi="Arial"/>
                <w:b w:val="false"/>
                <w:color w:val="000000"/>
                <w:sz w:val="16"/>
              </w:rPr>
            </w:pPr>
            <w:r>
              <w:rPr>
                <w:rFonts w:ascii="Arial" w:hAnsi="Arial"/>
                <w:b w:val="false"/>
                <w:color w:val="000000"/>
                <w:sz w:val="16"/>
              </w:rPr>
              <w:t>Bad debt expense</w:t>
            </w:r>
          </w:p>
        </w:tc>
        <w:tc>
          <w:tcPr>
            <w:tcW w:w="14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502</w:t>
            </w:r>
          </w:p>
        </w:tc>
        <w:tc>
          <w:tcPr>
            <w:tcW w:w="207"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223</w:t>
            </w:r>
          </w:p>
        </w:tc>
        <w:tc>
          <w:tcPr>
            <w:tcW w:w="413" w:type="dxa"/>
            <w:tcBorders/>
            <w:shd w:fill="FFFFFF" w:val="clear"/>
            <w:vAlign w:val="center"/>
          </w:tcPr>
          <w:p>
            <w:pPr>
              <w:pStyle w:val="TableContents"/>
              <w:bidi w:val="0"/>
              <w:spacing w:before="0" w:after="283"/>
              <w:ind w:left="0" w:right="0" w:firstLine="200"/>
              <w:jc w:val="left"/>
              <w:rPr/>
            </w:pPr>
            <w:r>
              <w:rPr/>
              <w:t> </w:t>
            </w:r>
          </w:p>
        </w:tc>
      </w:tr>
      <w:tr>
        <w:trPr/>
        <w:tc>
          <w:tcPr>
            <w:tcW w:w="7119" w:type="dxa"/>
            <w:tcBorders/>
            <w:shd w:fill="CFF0FC" w:val="clear"/>
            <w:vAlign w:val="center"/>
          </w:tcPr>
          <w:p>
            <w:pPr>
              <w:pStyle w:val="TableContents"/>
              <w:bidi w:val="0"/>
              <w:spacing w:before="0" w:after="283"/>
              <w:ind w:left="200" w:right="0" w:firstLine="200"/>
              <w:jc w:val="left"/>
              <w:rPr>
                <w:rFonts w:ascii="Arial" w:hAnsi="Arial"/>
                <w:b w:val="false"/>
                <w:color w:val="000000"/>
                <w:sz w:val="16"/>
              </w:rPr>
            </w:pPr>
            <w:r>
              <w:rPr>
                <w:rFonts w:ascii="Arial" w:hAnsi="Arial"/>
                <w:b w:val="false"/>
                <w:color w:val="000000"/>
                <w:sz w:val="16"/>
              </w:rPr>
              <w:t>Deferred tax expense</w:t>
            </w:r>
          </w:p>
        </w:tc>
        <w:tc>
          <w:tcPr>
            <w:tcW w:w="146"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825" w:type="dxa"/>
            <w:tcBorders/>
            <w:shd w:fill="CFF0FC"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3,741</w:t>
            </w:r>
          </w:p>
        </w:tc>
        <w:tc>
          <w:tcPr>
            <w:tcW w:w="207" w:type="dxa"/>
            <w:tcBorders/>
            <w:shd w:fill="CFF0FC" w:val="cle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825" w:type="dxa"/>
            <w:tcBorders/>
            <w:shd w:fill="CFF0FC"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697</w:t>
            </w:r>
          </w:p>
        </w:tc>
        <w:tc>
          <w:tcPr>
            <w:tcW w:w="413" w:type="dxa"/>
            <w:tcBorders/>
            <w:shd w:fill="CFF0FC" w:val="clear"/>
            <w:vAlign w:val="center"/>
          </w:tcPr>
          <w:p>
            <w:pPr>
              <w:pStyle w:val="TableContents"/>
              <w:bidi w:val="0"/>
              <w:spacing w:before="0" w:after="283"/>
              <w:ind w:left="0" w:right="0" w:firstLine="200"/>
              <w:jc w:val="left"/>
              <w:rPr/>
            </w:pPr>
            <w:r>
              <w:rPr/>
              <w:t> </w:t>
            </w:r>
          </w:p>
        </w:tc>
      </w:tr>
      <w:tr>
        <w:trPr/>
        <w:tc>
          <w:tcPr>
            <w:tcW w:w="7119" w:type="dxa"/>
            <w:tcBorders/>
            <w:shd w:fill="FFFFFF" w:val="clear"/>
            <w:vAlign w:val="center"/>
          </w:tcPr>
          <w:p>
            <w:pPr>
              <w:pStyle w:val="TableContents"/>
              <w:bidi w:val="0"/>
              <w:spacing w:before="0" w:after="283"/>
              <w:ind w:left="200" w:right="0" w:firstLine="200"/>
              <w:jc w:val="left"/>
              <w:rPr>
                <w:rFonts w:ascii="Arial" w:hAnsi="Arial"/>
                <w:b w:val="false"/>
                <w:color w:val="000000"/>
                <w:sz w:val="16"/>
              </w:rPr>
            </w:pPr>
            <w:r>
              <w:rPr>
                <w:rFonts w:ascii="Arial" w:hAnsi="Arial"/>
                <w:b w:val="false"/>
                <w:color w:val="000000"/>
                <w:sz w:val="16"/>
              </w:rPr>
              <w:t>Gain on sale of property</w:t>
            </w:r>
          </w:p>
        </w:tc>
        <w:tc>
          <w:tcPr>
            <w:tcW w:w="14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(68</w:t>
            </w:r>
          </w:p>
        </w:tc>
        <w:tc>
          <w:tcPr>
            <w:tcW w:w="207" w:type="dxa"/>
            <w:tcBorders/>
            <w:shd w:fill="FFFFFF"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182"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(107</w:t>
            </w:r>
          </w:p>
        </w:tc>
        <w:tc>
          <w:tcPr>
            <w:tcW w:w="413" w:type="dxa"/>
            <w:tcBorders/>
            <w:shd w:fill="FFFFFF" w:val="clear"/>
            <w:vAlign w:val="center"/>
          </w:tcPr>
          <w:p>
            <w:pPr>
              <w:pStyle w:val="TableContents"/>
              <w:bidi w:val="0"/>
              <w:spacing w:before="0" w:after="283"/>
              <w:ind w:left="0" w:right="0" w:firstLine="200"/>
              <w:jc w:val="left"/>
              <w:rPr>
                <w:rFonts w:ascii="Arial" w:hAnsi="Arial"/>
                <w:b w:val="false"/>
                <w:color w:val="000000"/>
                <w:sz w:val="16"/>
              </w:rPr>
            </w:pPr>
            <w:r>
              <w:rPr>
                <w:rFonts w:ascii="Arial" w:hAnsi="Arial"/>
                <w:b w:val="false"/>
                <w:color w:val="000000"/>
                <w:sz w:val="16"/>
              </w:rPr>
              <w:t>)</w:t>
            </w:r>
          </w:p>
        </w:tc>
      </w:tr>
      <w:tr>
        <w:trPr/>
        <w:tc>
          <w:tcPr>
            <w:tcW w:w="7119" w:type="dxa"/>
            <w:tcBorders/>
            <w:shd w:fill="CFF0FC" w:val="clear"/>
            <w:vAlign w:val="center"/>
          </w:tcPr>
          <w:p>
            <w:pPr>
              <w:pStyle w:val="TableContents"/>
              <w:bidi w:val="0"/>
              <w:spacing w:before="0" w:after="283"/>
              <w:ind w:left="200" w:right="0" w:firstLine="200"/>
              <w:jc w:val="left"/>
              <w:rPr>
                <w:rFonts w:ascii="Arial" w:hAnsi="Arial"/>
                <w:b w:val="false"/>
                <w:color w:val="000000"/>
                <w:sz w:val="16"/>
              </w:rPr>
            </w:pPr>
            <w:r>
              <w:rPr>
                <w:rFonts w:ascii="Arial" w:hAnsi="Arial"/>
                <w:b w:val="false"/>
                <w:color w:val="000000"/>
                <w:sz w:val="16"/>
              </w:rPr>
              <w:t>Unrealized loss on equity securities</w:t>
            </w:r>
          </w:p>
        </w:tc>
        <w:tc>
          <w:tcPr>
            <w:tcW w:w="146"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825" w:type="dxa"/>
            <w:tcBorders/>
            <w:shd w:fill="CFF0FC"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148</w:t>
            </w:r>
          </w:p>
        </w:tc>
        <w:tc>
          <w:tcPr>
            <w:tcW w:w="207" w:type="dxa"/>
            <w:tcBorders/>
            <w:shd w:fill="CFF0FC" w:val="cle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825" w:type="dxa"/>
            <w:tcBorders/>
            <w:shd w:fill="CFF0FC"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75</w:t>
            </w:r>
          </w:p>
        </w:tc>
        <w:tc>
          <w:tcPr>
            <w:tcW w:w="413" w:type="dxa"/>
            <w:tcBorders/>
            <w:shd w:fill="CFF0FC" w:val="clear"/>
            <w:vAlign w:val="center"/>
          </w:tcPr>
          <w:p>
            <w:pPr>
              <w:pStyle w:val="TableContents"/>
              <w:bidi w:val="0"/>
              <w:spacing w:before="0" w:after="283"/>
              <w:ind w:left="0" w:right="0" w:firstLine="200"/>
              <w:jc w:val="left"/>
              <w:rPr/>
            </w:pPr>
            <w:r>
              <w:rPr/>
              <w:t> </w:t>
            </w:r>
          </w:p>
        </w:tc>
      </w:tr>
      <w:tr>
        <w:trPr/>
        <w:tc>
          <w:tcPr>
            <w:tcW w:w="7119" w:type="dxa"/>
            <w:tcBorders/>
            <w:shd w:fill="FFFFFF" w:val="clear"/>
            <w:vAlign w:val="center"/>
          </w:tcPr>
          <w:p>
            <w:pPr>
              <w:pStyle w:val="TableContents"/>
              <w:bidi w:val="0"/>
              <w:spacing w:before="0" w:after="283"/>
              <w:ind w:left="200" w:right="0" w:firstLine="200"/>
              <w:jc w:val="left"/>
              <w:rPr>
                <w:rFonts w:ascii="Arial" w:hAnsi="Arial"/>
                <w:b w:val="false"/>
                <w:color w:val="000000"/>
                <w:sz w:val="16"/>
              </w:rPr>
            </w:pPr>
            <w:r>
              <w:rPr>
                <w:rFonts w:ascii="Arial" w:hAnsi="Arial"/>
                <w:b w:val="false"/>
                <w:color w:val="000000"/>
                <w:sz w:val="16"/>
              </w:rPr>
              <w:t>Unrealized gain on interest rate swap</w:t>
            </w:r>
          </w:p>
        </w:tc>
        <w:tc>
          <w:tcPr>
            <w:tcW w:w="14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color w:val="000000"/>
              </w:rPr>
            </w:pPr>
            <w:r>
              <w:rPr>
                <w:color w:val="000000"/>
              </w:rPr>
              <w:t>—</w:t>
            </w:r>
          </w:p>
        </w:tc>
        <w:tc>
          <w:tcPr>
            <w:tcW w:w="207"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(1,373</w:t>
            </w:r>
          </w:p>
        </w:tc>
        <w:tc>
          <w:tcPr>
            <w:tcW w:w="413" w:type="dxa"/>
            <w:tcBorders/>
            <w:shd w:fill="FFFFFF" w:val="clear"/>
            <w:vAlign w:val="center"/>
          </w:tcPr>
          <w:p>
            <w:pPr>
              <w:pStyle w:val="TableContents"/>
              <w:bidi w:val="0"/>
              <w:spacing w:before="0" w:after="283"/>
              <w:ind w:left="0" w:right="0" w:firstLine="200"/>
              <w:jc w:val="left"/>
              <w:rPr>
                <w:rFonts w:ascii="Arial" w:hAnsi="Arial"/>
                <w:b w:val="false"/>
                <w:color w:val="000000"/>
                <w:sz w:val="16"/>
              </w:rPr>
            </w:pPr>
            <w:r>
              <w:rPr>
                <w:rFonts w:ascii="Arial" w:hAnsi="Arial"/>
                <w:b w:val="false"/>
                <w:color w:val="000000"/>
                <w:sz w:val="16"/>
              </w:rPr>
              <w:t>)</w:t>
            </w:r>
          </w:p>
        </w:tc>
      </w:tr>
      <w:tr>
        <w:trPr/>
        <w:tc>
          <w:tcPr>
            <w:tcW w:w="7119" w:type="dxa"/>
            <w:tcBorders/>
            <w:shd w:fill="CFF0FC" w:val="clear"/>
            <w:vAlign w:val="center"/>
          </w:tcPr>
          <w:p>
            <w:pPr>
              <w:pStyle w:val="TableContents"/>
              <w:bidi w:val="0"/>
              <w:spacing w:before="0" w:after="283"/>
              <w:ind w:left="200" w:right="0" w:firstLine="200"/>
              <w:jc w:val="left"/>
              <w:rPr>
                <w:rFonts w:ascii="Arial" w:hAnsi="Arial"/>
                <w:b w:val="false"/>
                <w:color w:val="000000"/>
                <w:sz w:val="16"/>
              </w:rPr>
            </w:pPr>
            <w:r>
              <w:rPr>
                <w:rFonts w:ascii="Arial" w:hAnsi="Arial"/>
                <w:b w:val="false"/>
                <w:color w:val="000000"/>
                <w:sz w:val="16"/>
              </w:rPr>
              <w:t>Realized loss on interest rate swap</w:t>
            </w:r>
          </w:p>
        </w:tc>
        <w:tc>
          <w:tcPr>
            <w:tcW w:w="146"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825" w:type="dxa"/>
            <w:tcBorders/>
            <w:shd w:fill="CFF0FC"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4</w:t>
            </w:r>
          </w:p>
        </w:tc>
        <w:tc>
          <w:tcPr>
            <w:tcW w:w="207" w:type="dxa"/>
            <w:tcBorders/>
            <w:shd w:fill="CFF0FC" w:val="cle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825" w:type="dxa"/>
            <w:tcBorders/>
            <w:shd w:fill="CFF0FC" w:val="clear"/>
            <w:vAlign w:val="center"/>
          </w:tcPr>
          <w:p>
            <w:pPr>
              <w:pStyle w:val="TableContents"/>
              <w:bidi w:val="0"/>
              <w:spacing w:before="0" w:after="283"/>
              <w:jc w:val="right"/>
              <w:rPr>
                <w:color w:val="000000"/>
              </w:rPr>
            </w:pPr>
            <w:r>
              <w:rPr>
                <w:color w:val="000000"/>
              </w:rPr>
              <w:t>—</w:t>
            </w:r>
          </w:p>
        </w:tc>
        <w:tc>
          <w:tcPr>
            <w:tcW w:w="413" w:type="dxa"/>
            <w:tcBorders/>
            <w:shd w:fill="CFF0FC" w:val="clear"/>
            <w:vAlign w:val="center"/>
          </w:tcPr>
          <w:p>
            <w:pPr>
              <w:pStyle w:val="TableContents"/>
              <w:bidi w:val="0"/>
              <w:spacing w:before="0" w:after="283"/>
              <w:ind w:left="0" w:right="0" w:firstLine="200"/>
              <w:jc w:val="left"/>
              <w:rPr/>
            </w:pPr>
            <w:r>
              <w:rPr/>
              <w:t> </w:t>
            </w:r>
          </w:p>
        </w:tc>
      </w:tr>
      <w:tr>
        <w:trPr/>
        <w:tc>
          <w:tcPr>
            <w:tcW w:w="7119" w:type="dxa"/>
            <w:tcBorders/>
            <w:shd w:fill="FFFFFF" w:val="clear"/>
            <w:vAlign w:val="center"/>
          </w:tcPr>
          <w:p>
            <w:pPr>
              <w:pStyle w:val="TableContents"/>
              <w:bidi w:val="0"/>
              <w:spacing w:before="0" w:after="283"/>
              <w:ind w:left="200" w:right="0" w:firstLine="200"/>
              <w:jc w:val="left"/>
              <w:rPr>
                <w:rFonts w:ascii="Arial" w:hAnsi="Arial"/>
                <w:b w:val="false"/>
                <w:color w:val="000000"/>
                <w:sz w:val="16"/>
              </w:rPr>
            </w:pPr>
            <w:r>
              <w:rPr>
                <w:rFonts w:ascii="Arial" w:hAnsi="Arial"/>
                <w:b w:val="false"/>
                <w:color w:val="000000"/>
                <w:sz w:val="16"/>
              </w:rPr>
              <w:t>Gross profit from sale of lost-in-hole equipment</w:t>
            </w:r>
          </w:p>
        </w:tc>
        <w:tc>
          <w:tcPr>
            <w:tcW w:w="14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(13,968</w:t>
            </w:r>
          </w:p>
        </w:tc>
        <w:tc>
          <w:tcPr>
            <w:tcW w:w="207" w:type="dxa"/>
            <w:tcBorders/>
            <w:shd w:fill="FFFFFF"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182"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(12,595</w:t>
            </w:r>
          </w:p>
        </w:tc>
        <w:tc>
          <w:tcPr>
            <w:tcW w:w="413" w:type="dxa"/>
            <w:tcBorders/>
            <w:shd w:fill="FFFFFF" w:val="clear"/>
            <w:vAlign w:val="center"/>
          </w:tcPr>
          <w:p>
            <w:pPr>
              <w:pStyle w:val="TableContents"/>
              <w:bidi w:val="0"/>
              <w:spacing w:before="0" w:after="283"/>
              <w:ind w:left="0" w:right="0" w:firstLine="200"/>
              <w:jc w:val="left"/>
              <w:rPr>
                <w:rFonts w:ascii="Arial" w:hAnsi="Arial"/>
                <w:b w:val="false"/>
                <w:color w:val="000000"/>
                <w:sz w:val="16"/>
              </w:rPr>
            </w:pPr>
            <w:r>
              <w:rPr>
                <w:rFonts w:ascii="Arial" w:hAnsi="Arial"/>
                <w:b w:val="false"/>
                <w:color w:val="000000"/>
                <w:sz w:val="16"/>
              </w:rPr>
              <w:t>)</w:t>
            </w:r>
          </w:p>
        </w:tc>
      </w:tr>
      <w:tr>
        <w:trPr/>
        <w:tc>
          <w:tcPr>
            <w:tcW w:w="7119" w:type="dxa"/>
            <w:tcBorders/>
            <w:shd w:fill="CFF0FC" w:val="clear"/>
            <w:vAlign w:val="center"/>
          </w:tcPr>
          <w:p>
            <w:pPr>
              <w:pStyle w:val="TableContents"/>
              <w:bidi w:val="0"/>
              <w:spacing w:before="0" w:after="283"/>
              <w:ind w:left="200" w:right="0" w:firstLine="200"/>
              <w:jc w:val="left"/>
              <w:rPr>
                <w:rFonts w:ascii="Arial" w:hAnsi="Arial"/>
                <w:b w:val="false"/>
                <w:color w:val="000000"/>
                <w:sz w:val="16"/>
              </w:rPr>
            </w:pPr>
            <w:r>
              <w:rPr>
                <w:rFonts w:ascii="Arial" w:hAnsi="Arial"/>
                <w:b w:val="false"/>
                <w:color w:val="000000"/>
                <w:sz w:val="16"/>
              </w:rPr>
              <w:t>Stock-based compensation expense</w:t>
            </w:r>
          </w:p>
        </w:tc>
        <w:tc>
          <w:tcPr>
            <w:tcW w:w="146"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825" w:type="dxa"/>
            <w:tcBorders/>
            <w:shd w:fill="CFF0FC"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3,986</w:t>
            </w:r>
          </w:p>
        </w:tc>
        <w:tc>
          <w:tcPr>
            <w:tcW w:w="207" w:type="dxa"/>
            <w:tcBorders/>
            <w:shd w:fill="CFF0FC" w:val="cle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825" w:type="dxa"/>
            <w:tcBorders/>
            <w:shd w:fill="CFF0FC" w:val="clear"/>
            <w:vAlign w:val="center"/>
          </w:tcPr>
          <w:p>
            <w:pPr>
              <w:pStyle w:val="TableContents"/>
              <w:bidi w:val="0"/>
              <w:spacing w:before="0" w:after="283"/>
              <w:jc w:val="right"/>
              <w:rPr>
                <w:color w:val="000000"/>
              </w:rPr>
            </w:pPr>
            <w:r>
              <w:rPr>
                <w:color w:val="000000"/>
              </w:rPr>
              <w:t>—</w:t>
            </w:r>
          </w:p>
        </w:tc>
        <w:tc>
          <w:tcPr>
            <w:tcW w:w="413" w:type="dxa"/>
            <w:tcBorders/>
            <w:shd w:fill="CFF0FC" w:val="clear"/>
            <w:vAlign w:val="center"/>
          </w:tcPr>
          <w:p>
            <w:pPr>
              <w:pStyle w:val="TableContents"/>
              <w:bidi w:val="0"/>
              <w:spacing w:before="0" w:after="283"/>
              <w:jc w:val="left"/>
              <w:rPr/>
            </w:pPr>
            <w:r>
              <w:rPr/>
              <w:t> </w:t>
            </w:r>
          </w:p>
        </w:tc>
      </w:tr>
      <w:tr>
        <w:trPr/>
        <w:tc>
          <w:tcPr>
            <w:tcW w:w="7119" w:type="dxa"/>
            <w:tcBorders/>
            <w:shd w:fill="FFFFFF"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Changes in operating assets and liabilities:</w:t>
            </w:r>
          </w:p>
        </w:tc>
        <w:tc>
          <w:tcPr>
            <w:tcW w:w="146" w:type="dxa"/>
            <w:tcBorders/>
            <w:shd w:fill="FFFFFF" w:val="clear"/>
            <w:vAlign w:val="center"/>
          </w:tcPr>
          <w:p>
            <w:pPr>
              <w:pStyle w:val="TableContents"/>
              <w:bidi w:val="0"/>
              <w:spacing w:before="0" w:after="283"/>
              <w:jc w:val="left"/>
              <w:rPr/>
            </w:pPr>
            <w:r>
              <w:rPr/>
              <w:t> </w:t>
            </w:r>
          </w:p>
        </w:tc>
        <w:tc>
          <w:tcPr>
            <w:tcW w:w="1069" w:type="dxa"/>
            <w:gridSpan w:val="2"/>
            <w:tcBorders/>
            <w:shd w:fill="FFFFFF" w:val="clear"/>
            <w:vAlign w:val="center"/>
          </w:tcPr>
          <w:p>
            <w:pPr>
              <w:pStyle w:val="TableContents"/>
              <w:bidi w:val="0"/>
              <w:spacing w:before="0" w:after="283"/>
              <w:jc w:val="right"/>
              <w:rPr/>
            </w:pPr>
            <w:r>
              <w:rPr/>
              <w:t> </w:t>
            </w:r>
          </w:p>
        </w:tc>
        <w:tc>
          <w:tcPr>
            <w:tcW w:w="207" w:type="dxa"/>
            <w:tcBorders/>
            <w:shd w:fill="FFFFFF" w:val="clear"/>
            <w:vAlign w:val="center"/>
          </w:tcPr>
          <w:p>
            <w:pPr>
              <w:pStyle w:val="TableContents"/>
              <w:bidi w:val="0"/>
              <w:spacing w:before="0" w:after="283"/>
              <w:jc w:val="right"/>
              <w:rPr/>
            </w:pPr>
            <w:r>
              <w:rPr/>
              <w:t> </w:t>
            </w:r>
          </w:p>
        </w:tc>
        <w:tc>
          <w:tcPr>
            <w:tcW w:w="182" w:type="dxa"/>
            <w:tcBorders/>
            <w:shd w:fill="FFFFFF" w:val="clear"/>
            <w:vAlign w:val="center"/>
          </w:tcPr>
          <w:p>
            <w:pPr>
              <w:pStyle w:val="TableContents"/>
              <w:bidi w:val="0"/>
              <w:spacing w:before="0" w:after="283"/>
              <w:jc w:val="left"/>
              <w:rPr/>
            </w:pPr>
            <w:r>
              <w:rPr/>
              <w:t> </w:t>
            </w:r>
          </w:p>
        </w:tc>
        <w:tc>
          <w:tcPr>
            <w:tcW w:w="1069" w:type="dxa"/>
            <w:gridSpan w:val="2"/>
            <w:tcBorders/>
            <w:shd w:fill="FFFFFF" w:val="clear"/>
            <w:vAlign w:val="center"/>
          </w:tcPr>
          <w:p>
            <w:pPr>
              <w:pStyle w:val="TableContents"/>
              <w:bidi w:val="0"/>
              <w:spacing w:before="0" w:after="283"/>
              <w:jc w:val="right"/>
              <w:rPr/>
            </w:pPr>
            <w:r>
              <w:rPr/>
              <w:t> </w:t>
            </w:r>
          </w:p>
        </w:tc>
        <w:tc>
          <w:tcPr>
            <w:tcW w:w="413" w:type="dxa"/>
            <w:tcBorders/>
            <w:shd w:fill="FFFFFF" w:val="clear"/>
            <w:vAlign w:val="center"/>
          </w:tcPr>
          <w:p>
            <w:pPr>
              <w:pStyle w:val="TableContents"/>
              <w:bidi w:val="0"/>
              <w:spacing w:before="0" w:after="283"/>
              <w:ind w:left="0" w:right="0" w:firstLine="200"/>
              <w:jc w:val="right"/>
              <w:rPr/>
            </w:pPr>
            <w:r>
              <w:rPr/>
              <w:t> </w:t>
            </w:r>
          </w:p>
        </w:tc>
      </w:tr>
      <w:tr>
        <w:trPr/>
        <w:tc>
          <w:tcPr>
            <w:tcW w:w="7119" w:type="dxa"/>
            <w:tcBorders/>
            <w:shd w:fill="CFF0FC" w:val="clear"/>
            <w:vAlign w:val="center"/>
          </w:tcPr>
          <w:p>
            <w:pPr>
              <w:pStyle w:val="TableContents"/>
              <w:bidi w:val="0"/>
              <w:spacing w:before="0" w:after="283"/>
              <w:ind w:left="200" w:right="0" w:firstLine="200"/>
              <w:jc w:val="left"/>
              <w:rPr>
                <w:rFonts w:ascii="Arial" w:hAnsi="Arial"/>
                <w:b w:val="false"/>
                <w:color w:val="000000"/>
                <w:sz w:val="16"/>
              </w:rPr>
            </w:pPr>
            <w:r>
              <w:rPr>
                <w:rFonts w:ascii="Arial" w:hAnsi="Arial"/>
                <w:b w:val="false"/>
                <w:color w:val="000000"/>
                <w:sz w:val="16"/>
              </w:rPr>
              <w:t>Accounts receivable, net</w:t>
            </w:r>
          </w:p>
        </w:tc>
        <w:tc>
          <w:tcPr>
            <w:tcW w:w="146"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825" w:type="dxa"/>
            <w:tcBorders/>
            <w:shd w:fill="CFF0FC"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(577</w:t>
            </w:r>
          </w:p>
        </w:tc>
        <w:tc>
          <w:tcPr>
            <w:tcW w:w="207" w:type="dxa"/>
            <w:tcBorders/>
            <w:shd w:fill="CFF0FC"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182"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825" w:type="dxa"/>
            <w:tcBorders/>
            <w:shd w:fill="CFF0FC"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(8,531</w:t>
            </w:r>
          </w:p>
        </w:tc>
        <w:tc>
          <w:tcPr>
            <w:tcW w:w="413" w:type="dxa"/>
            <w:tcBorders/>
            <w:shd w:fill="CFF0FC" w:val="clear"/>
            <w:vAlign w:val="center"/>
          </w:tcPr>
          <w:p>
            <w:pPr>
              <w:pStyle w:val="TableContents"/>
              <w:bidi w:val="0"/>
              <w:spacing w:before="0" w:after="283"/>
              <w:ind w:left="0" w:right="0" w:firstLine="200"/>
              <w:jc w:val="left"/>
              <w:rPr>
                <w:rFonts w:ascii="Arial" w:hAnsi="Arial"/>
                <w:b w:val="false"/>
                <w:color w:val="000000"/>
                <w:sz w:val="16"/>
              </w:rPr>
            </w:pPr>
            <w:r>
              <w:rPr>
                <w:rFonts w:ascii="Arial" w:hAnsi="Arial"/>
                <w:b w:val="false"/>
                <w:color w:val="000000"/>
                <w:sz w:val="16"/>
              </w:rPr>
              <w:t>)</w:t>
            </w:r>
          </w:p>
        </w:tc>
      </w:tr>
      <w:tr>
        <w:trPr/>
        <w:tc>
          <w:tcPr>
            <w:tcW w:w="7119" w:type="dxa"/>
            <w:tcBorders/>
            <w:shd w:fill="FFFFFF" w:val="clear"/>
            <w:vAlign w:val="center"/>
          </w:tcPr>
          <w:p>
            <w:pPr>
              <w:pStyle w:val="TableContents"/>
              <w:bidi w:val="0"/>
              <w:spacing w:before="0" w:after="283"/>
              <w:ind w:left="200" w:right="0" w:firstLine="200"/>
              <w:jc w:val="left"/>
              <w:rPr>
                <w:rFonts w:ascii="Arial" w:hAnsi="Arial"/>
                <w:b w:val="false"/>
                <w:color w:val="000000"/>
                <w:sz w:val="16"/>
              </w:rPr>
            </w:pPr>
            <w:r>
              <w:rPr>
                <w:rFonts w:ascii="Arial" w:hAnsi="Arial"/>
                <w:b w:val="false"/>
                <w:color w:val="000000"/>
                <w:sz w:val="16"/>
              </w:rPr>
              <w:t>Prepaid expenses and other current assets</w:t>
            </w:r>
          </w:p>
        </w:tc>
        <w:tc>
          <w:tcPr>
            <w:tcW w:w="14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(92</w:t>
            </w:r>
          </w:p>
        </w:tc>
        <w:tc>
          <w:tcPr>
            <w:tcW w:w="207" w:type="dxa"/>
            <w:tcBorders/>
            <w:shd w:fill="FFFFFF"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182"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(5,456</w:t>
            </w:r>
          </w:p>
        </w:tc>
        <w:tc>
          <w:tcPr>
            <w:tcW w:w="413" w:type="dxa"/>
            <w:tcBorders/>
            <w:shd w:fill="FFFFFF" w:val="clear"/>
            <w:vAlign w:val="center"/>
          </w:tcPr>
          <w:p>
            <w:pPr>
              <w:pStyle w:val="TableContents"/>
              <w:bidi w:val="0"/>
              <w:spacing w:before="0" w:after="283"/>
              <w:ind w:left="0" w:right="0" w:firstLine="200"/>
              <w:jc w:val="left"/>
              <w:rPr>
                <w:rFonts w:ascii="Arial" w:hAnsi="Arial"/>
                <w:b w:val="false"/>
                <w:color w:val="000000"/>
                <w:sz w:val="16"/>
              </w:rPr>
            </w:pPr>
            <w:r>
              <w:rPr>
                <w:rFonts w:ascii="Arial" w:hAnsi="Arial"/>
                <w:b w:val="false"/>
                <w:color w:val="000000"/>
                <w:sz w:val="16"/>
              </w:rPr>
              <w:t>)</w:t>
            </w:r>
          </w:p>
        </w:tc>
      </w:tr>
      <w:tr>
        <w:trPr/>
        <w:tc>
          <w:tcPr>
            <w:tcW w:w="7119" w:type="dxa"/>
            <w:tcBorders/>
            <w:shd w:fill="CFF0FC" w:val="clear"/>
            <w:vAlign w:val="center"/>
          </w:tcPr>
          <w:p>
            <w:pPr>
              <w:pStyle w:val="TableContents"/>
              <w:bidi w:val="0"/>
              <w:spacing w:before="0" w:after="283"/>
              <w:ind w:left="200" w:right="0" w:firstLine="200"/>
              <w:jc w:val="left"/>
              <w:rPr>
                <w:rFonts w:ascii="Arial" w:hAnsi="Arial"/>
                <w:b w:val="false"/>
                <w:color w:val="000000"/>
                <w:sz w:val="16"/>
              </w:rPr>
            </w:pPr>
            <w:r>
              <w:rPr>
                <w:rFonts w:ascii="Arial" w:hAnsi="Arial"/>
                <w:b w:val="false"/>
                <w:color w:val="000000"/>
                <w:sz w:val="16"/>
              </w:rPr>
              <w:t>Inventories, net</w:t>
            </w:r>
          </w:p>
        </w:tc>
        <w:tc>
          <w:tcPr>
            <w:tcW w:w="146"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825" w:type="dxa"/>
            <w:tcBorders/>
            <w:shd w:fill="CFF0FC"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(2,876</w:t>
            </w:r>
          </w:p>
        </w:tc>
        <w:tc>
          <w:tcPr>
            <w:tcW w:w="207" w:type="dxa"/>
            <w:tcBorders/>
            <w:shd w:fill="CFF0FC"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182"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825" w:type="dxa"/>
            <w:tcBorders/>
            <w:shd w:fill="CFF0FC"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(261</w:t>
            </w:r>
          </w:p>
        </w:tc>
        <w:tc>
          <w:tcPr>
            <w:tcW w:w="413" w:type="dxa"/>
            <w:tcBorders/>
            <w:shd w:fill="CFF0FC" w:val="clear"/>
            <w:vAlign w:val="center"/>
          </w:tcPr>
          <w:p>
            <w:pPr>
              <w:pStyle w:val="TableContents"/>
              <w:bidi w:val="0"/>
              <w:spacing w:before="0" w:after="283"/>
              <w:ind w:left="0" w:right="0" w:firstLine="200"/>
              <w:jc w:val="left"/>
              <w:rPr>
                <w:rFonts w:ascii="Arial" w:hAnsi="Arial"/>
                <w:b w:val="false"/>
                <w:color w:val="000000"/>
                <w:sz w:val="16"/>
              </w:rPr>
            </w:pPr>
            <w:r>
              <w:rPr>
                <w:rFonts w:ascii="Arial" w:hAnsi="Arial"/>
                <w:b w:val="false"/>
                <w:color w:val="000000"/>
                <w:sz w:val="16"/>
              </w:rPr>
              <w:t>)</w:t>
            </w:r>
          </w:p>
        </w:tc>
      </w:tr>
      <w:tr>
        <w:trPr/>
        <w:tc>
          <w:tcPr>
            <w:tcW w:w="7119" w:type="dxa"/>
            <w:tcBorders/>
            <w:shd w:fill="FFFFFF" w:val="clear"/>
            <w:vAlign w:val="center"/>
          </w:tcPr>
          <w:p>
            <w:pPr>
              <w:pStyle w:val="TableContents"/>
              <w:bidi w:val="0"/>
              <w:spacing w:before="0" w:after="283"/>
              <w:ind w:left="200" w:right="0" w:firstLine="200"/>
              <w:jc w:val="left"/>
              <w:rPr>
                <w:rFonts w:ascii="Arial" w:hAnsi="Arial"/>
                <w:b w:val="false"/>
                <w:color w:val="000000"/>
                <w:sz w:val="16"/>
              </w:rPr>
            </w:pPr>
            <w:r>
              <w:rPr>
                <w:rFonts w:ascii="Arial" w:hAnsi="Arial"/>
                <w:b w:val="false"/>
                <w:color w:val="000000"/>
                <w:sz w:val="16"/>
              </w:rPr>
              <w:t>Operating lease liabilities</w:t>
            </w:r>
          </w:p>
        </w:tc>
        <w:tc>
          <w:tcPr>
            <w:tcW w:w="14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(3,311</w:t>
            </w:r>
          </w:p>
        </w:tc>
        <w:tc>
          <w:tcPr>
            <w:tcW w:w="207" w:type="dxa"/>
            <w:tcBorders/>
            <w:shd w:fill="FFFFFF"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182"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(3,100</w:t>
            </w:r>
          </w:p>
        </w:tc>
        <w:tc>
          <w:tcPr>
            <w:tcW w:w="413" w:type="dxa"/>
            <w:tcBorders/>
            <w:shd w:fill="FFFFFF" w:val="clear"/>
            <w:vAlign w:val="center"/>
          </w:tcPr>
          <w:p>
            <w:pPr>
              <w:pStyle w:val="TableContents"/>
              <w:bidi w:val="0"/>
              <w:spacing w:before="0" w:after="283"/>
              <w:ind w:left="0" w:right="0" w:firstLine="200"/>
              <w:jc w:val="left"/>
              <w:rPr>
                <w:rFonts w:ascii="Arial" w:hAnsi="Arial"/>
                <w:b w:val="false"/>
                <w:color w:val="000000"/>
                <w:sz w:val="16"/>
              </w:rPr>
            </w:pPr>
            <w:r>
              <w:rPr>
                <w:rFonts w:ascii="Arial" w:hAnsi="Arial"/>
                <w:b w:val="false"/>
                <w:color w:val="000000"/>
                <w:sz w:val="16"/>
              </w:rPr>
              <w:t>)</w:t>
            </w:r>
          </w:p>
        </w:tc>
      </w:tr>
      <w:tr>
        <w:trPr/>
        <w:tc>
          <w:tcPr>
            <w:tcW w:w="7119" w:type="dxa"/>
            <w:tcBorders/>
            <w:shd w:fill="CFF0FC" w:val="clear"/>
            <w:vAlign w:val="center"/>
          </w:tcPr>
          <w:p>
            <w:pPr>
              <w:pStyle w:val="TableContents"/>
              <w:bidi w:val="0"/>
              <w:spacing w:before="0" w:after="283"/>
              <w:ind w:left="200" w:right="0" w:firstLine="200"/>
              <w:jc w:val="left"/>
              <w:rPr>
                <w:rFonts w:ascii="Arial" w:hAnsi="Arial"/>
                <w:b w:val="false"/>
                <w:color w:val="000000"/>
                <w:sz w:val="16"/>
              </w:rPr>
            </w:pPr>
            <w:r>
              <w:rPr>
                <w:rFonts w:ascii="Arial" w:hAnsi="Arial"/>
                <w:b w:val="false"/>
                <w:color w:val="000000"/>
                <w:sz w:val="16"/>
              </w:rPr>
              <w:t>Accounts payable</w:t>
            </w:r>
          </w:p>
        </w:tc>
        <w:tc>
          <w:tcPr>
            <w:tcW w:w="146"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825" w:type="dxa"/>
            <w:tcBorders/>
            <w:shd w:fill="CFF0FC"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(888</w:t>
            </w:r>
          </w:p>
        </w:tc>
        <w:tc>
          <w:tcPr>
            <w:tcW w:w="207" w:type="dxa"/>
            <w:tcBorders/>
            <w:shd w:fill="CFF0FC"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182"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825" w:type="dxa"/>
            <w:tcBorders/>
            <w:shd w:fill="CFF0FC"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(2,046</w:t>
            </w:r>
          </w:p>
        </w:tc>
        <w:tc>
          <w:tcPr>
            <w:tcW w:w="413" w:type="dxa"/>
            <w:tcBorders/>
            <w:shd w:fill="CFF0FC" w:val="clear"/>
            <w:vAlign w:val="center"/>
          </w:tcPr>
          <w:p>
            <w:pPr>
              <w:pStyle w:val="TableContents"/>
              <w:bidi w:val="0"/>
              <w:spacing w:before="0" w:after="283"/>
              <w:ind w:left="0" w:right="0" w:firstLine="200"/>
              <w:jc w:val="left"/>
              <w:rPr>
                <w:rFonts w:ascii="Arial" w:hAnsi="Arial"/>
                <w:b w:val="false"/>
                <w:color w:val="000000"/>
                <w:sz w:val="16"/>
              </w:rPr>
            </w:pPr>
            <w:r>
              <w:rPr>
                <w:rFonts w:ascii="Arial" w:hAnsi="Arial"/>
                <w:b w:val="false"/>
                <w:color w:val="000000"/>
                <w:sz w:val="16"/>
              </w:rPr>
              <w:t>)</w:t>
            </w:r>
          </w:p>
        </w:tc>
      </w:tr>
      <w:tr>
        <w:trPr/>
        <w:tc>
          <w:tcPr>
            <w:tcW w:w="7119" w:type="dxa"/>
            <w:tcBorders/>
            <w:shd w:fill="FFFFFF" w:val="clear"/>
            <w:vAlign w:val="center"/>
          </w:tcPr>
          <w:p>
            <w:pPr>
              <w:pStyle w:val="TableContents"/>
              <w:bidi w:val="0"/>
              <w:spacing w:before="0" w:after="283"/>
              <w:ind w:left="200" w:right="0" w:firstLine="200"/>
              <w:jc w:val="left"/>
              <w:rPr>
                <w:rFonts w:ascii="Arial" w:hAnsi="Arial"/>
                <w:b w:val="false"/>
                <w:color w:val="000000"/>
                <w:sz w:val="16"/>
              </w:rPr>
            </w:pPr>
            <w:r>
              <w:rPr>
                <w:rFonts w:ascii="Arial" w:hAnsi="Arial"/>
                <w:b w:val="false"/>
                <w:color w:val="000000"/>
                <w:sz w:val="16"/>
              </w:rPr>
              <w:t>Accrued expenses and other current liabilities</w:t>
            </w:r>
          </w:p>
        </w:tc>
        <w:tc>
          <w:tcPr>
            <w:tcW w:w="146" w:type="dxa"/>
            <w:tcBorders/>
            <w:shd w:fill="FFFFFF" w:val="cle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1,014</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5,428</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19" w:type="dxa"/>
            <w:tcBorders/>
            <w:shd w:fill="CFF0FC" w:val="clear"/>
            <w:vAlign w:val="center"/>
          </w:tcPr>
          <w:p>
            <w:pPr>
              <w:pStyle w:val="TableContents"/>
              <w:bidi w:val="0"/>
              <w:spacing w:before="0" w:after="283"/>
              <w:jc w:val="left"/>
              <w:rPr>
                <w:rFonts w:ascii="Arial" w:hAnsi="Arial"/>
                <w:b/>
                <w:color w:val="000000"/>
                <w:sz w:val="16"/>
              </w:rPr>
            </w:pPr>
            <w:r>
              <w:rPr>
                <w:rFonts w:ascii="Arial" w:hAnsi="Arial"/>
                <w:b/>
                <w:color w:val="000000"/>
                <w:sz w:val="16"/>
              </w:rPr>
              <w:t>Net cash flows from operating activities</w:t>
            </w:r>
          </w:p>
        </w:tc>
        <w:tc>
          <w:tcPr>
            <w:tcW w:w="146" w:type="dxa"/>
            <w:tcBorders/>
            <w:shd w:fill="CFF0FC" w:val="cle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17,484</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5,641</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19" w:type="dxa"/>
            <w:tcBorders/>
            <w:shd w:fill="FFFFFF" w:val="clear"/>
            <w:vAlign w:val="center"/>
          </w:tcPr>
          <w:p>
            <w:pPr>
              <w:pStyle w:val="TableContents"/>
              <w:bidi w:val="0"/>
              <w:spacing w:before="0" w:after="283"/>
              <w:jc w:val="left"/>
              <w:rPr>
                <w:rFonts w:ascii="Arial" w:hAnsi="Arial"/>
                <w:b/>
                <w:color w:val="000000"/>
                <w:sz w:val="16"/>
              </w:rPr>
            </w:pPr>
            <w:r>
              <w:rPr>
                <w:rFonts w:ascii="Arial" w:hAnsi="Arial"/>
                <w:b/>
                <w:color w:val="000000"/>
                <w:sz w:val="16"/>
              </w:rPr>
              <w:t>Cash flows from investing activities:</w:t>
            </w:r>
          </w:p>
        </w:tc>
        <w:tc>
          <w:tcPr>
            <w:tcW w:w="146" w:type="dxa"/>
            <w:tcBorders/>
            <w:shd w:fill="FFFFFF" w:val="clear"/>
            <w:vAlign w:val="center"/>
          </w:tcPr>
          <w:p>
            <w:pPr>
              <w:pStyle w:val="TableContents"/>
              <w:bidi w:val="0"/>
              <w:spacing w:before="0" w:after="283"/>
              <w:jc w:val="left"/>
              <w:rPr/>
            </w:pPr>
            <w:r>
              <w:rPr/>
              <w:t> </w:t>
            </w:r>
          </w:p>
        </w:tc>
        <w:tc>
          <w:tcPr>
            <w:tcW w:w="1069" w:type="dxa"/>
            <w:gridSpan w:val="2"/>
            <w:tcBorders/>
            <w:shd w:fill="FFFFFF" w:val="clear"/>
            <w:vAlign w:val="center"/>
          </w:tcPr>
          <w:p>
            <w:pPr>
              <w:pStyle w:val="TableContents"/>
              <w:bidi w:val="0"/>
              <w:spacing w:before="0" w:after="283"/>
              <w:jc w:val="right"/>
              <w:rPr/>
            </w:pPr>
            <w:r>
              <w:rPr/>
              <w:t> </w:t>
            </w:r>
          </w:p>
        </w:tc>
        <w:tc>
          <w:tcPr>
            <w:tcW w:w="207" w:type="dxa"/>
            <w:tcBorders/>
            <w:shd w:fill="FFFFFF" w:val="clear"/>
            <w:vAlign w:val="center"/>
          </w:tcPr>
          <w:p>
            <w:pPr>
              <w:pStyle w:val="TableContents"/>
              <w:bidi w:val="0"/>
              <w:spacing w:before="0" w:after="283"/>
              <w:jc w:val="right"/>
              <w:rPr/>
            </w:pPr>
            <w:r>
              <w:rPr/>
              <w:t> </w:t>
            </w:r>
          </w:p>
        </w:tc>
        <w:tc>
          <w:tcPr>
            <w:tcW w:w="182" w:type="dxa"/>
            <w:tcBorders/>
            <w:shd w:fill="FFFFFF" w:val="clear"/>
            <w:vAlign w:val="center"/>
          </w:tcPr>
          <w:p>
            <w:pPr>
              <w:pStyle w:val="TableContents"/>
              <w:bidi w:val="0"/>
              <w:spacing w:before="0" w:after="283"/>
              <w:jc w:val="left"/>
              <w:rPr/>
            </w:pPr>
            <w:r>
              <w:rPr/>
              <w:t> </w:t>
            </w:r>
          </w:p>
        </w:tc>
        <w:tc>
          <w:tcPr>
            <w:tcW w:w="1069" w:type="dxa"/>
            <w:gridSpan w:val="2"/>
            <w:tcBorders/>
            <w:shd w:fill="FFFFFF" w:val="clear"/>
            <w:vAlign w:val="center"/>
          </w:tcPr>
          <w:p>
            <w:pPr>
              <w:pStyle w:val="TableContents"/>
              <w:bidi w:val="0"/>
              <w:spacing w:before="0" w:after="283"/>
              <w:jc w:val="right"/>
              <w:rPr/>
            </w:pPr>
            <w:r>
              <w:rPr/>
              <w:t> </w:t>
            </w:r>
          </w:p>
        </w:tc>
        <w:tc>
          <w:tcPr>
            <w:tcW w:w="413" w:type="dxa"/>
            <w:tcBorders/>
            <w:shd w:fill="FFFFFF" w:val="clear"/>
            <w:vAlign w:val="center"/>
          </w:tcPr>
          <w:p>
            <w:pPr>
              <w:pStyle w:val="TableContents"/>
              <w:bidi w:val="0"/>
              <w:spacing w:before="0" w:after="283"/>
              <w:ind w:left="0" w:right="0" w:firstLine="200"/>
              <w:jc w:val="right"/>
              <w:rPr/>
            </w:pPr>
            <w:r>
              <w:rPr/>
              <w:t> </w:t>
            </w:r>
          </w:p>
        </w:tc>
      </w:tr>
      <w:tr>
        <w:trPr/>
        <w:tc>
          <w:tcPr>
            <w:tcW w:w="7119" w:type="dxa"/>
            <w:tcBorders/>
            <w:shd w:fill="CFF0FC" w:val="clear"/>
            <w:vAlign w:val="center"/>
          </w:tcPr>
          <w:p>
            <w:pPr>
              <w:pStyle w:val="TableContents"/>
              <w:bidi w:val="0"/>
              <w:spacing w:before="0" w:after="283"/>
              <w:ind w:left="200" w:right="0" w:firstLine="200"/>
              <w:jc w:val="left"/>
              <w:rPr>
                <w:rFonts w:ascii="Arial" w:hAnsi="Arial"/>
                <w:b w:val="false"/>
                <w:color w:val="000000"/>
                <w:sz w:val="16"/>
              </w:rPr>
            </w:pPr>
            <w:r>
              <w:rPr>
                <w:rFonts w:ascii="Arial" w:hAnsi="Arial"/>
                <w:b w:val="false"/>
                <w:color w:val="000000"/>
                <w:sz w:val="16"/>
              </w:rPr>
              <w:t>Proceeds from sale of property and equipment</w:t>
            </w:r>
          </w:p>
        </w:tc>
        <w:tc>
          <w:tcPr>
            <w:tcW w:w="146"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825" w:type="dxa"/>
            <w:tcBorders/>
            <w:shd w:fill="CFF0FC"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126</w:t>
            </w:r>
          </w:p>
        </w:tc>
        <w:tc>
          <w:tcPr>
            <w:tcW w:w="207" w:type="dxa"/>
            <w:tcBorders/>
            <w:shd w:fill="CFF0FC" w:val="cle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825" w:type="dxa"/>
            <w:tcBorders/>
            <w:shd w:fill="CFF0FC"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1,021</w:t>
            </w:r>
          </w:p>
        </w:tc>
        <w:tc>
          <w:tcPr>
            <w:tcW w:w="413" w:type="dxa"/>
            <w:tcBorders/>
            <w:shd w:fill="CFF0FC" w:val="clear"/>
            <w:vAlign w:val="center"/>
          </w:tcPr>
          <w:p>
            <w:pPr>
              <w:pStyle w:val="TableContents"/>
              <w:bidi w:val="0"/>
              <w:spacing w:before="0" w:after="283"/>
              <w:ind w:left="0" w:right="0" w:firstLine="200"/>
              <w:jc w:val="left"/>
              <w:rPr/>
            </w:pPr>
            <w:r>
              <w:rPr/>
              <w:t> </w:t>
            </w:r>
          </w:p>
        </w:tc>
      </w:tr>
      <w:tr>
        <w:trPr/>
        <w:tc>
          <w:tcPr>
            <w:tcW w:w="7119" w:type="dxa"/>
            <w:tcBorders/>
            <w:shd w:fill="FFFFFF" w:val="clear"/>
            <w:vAlign w:val="center"/>
          </w:tcPr>
          <w:p>
            <w:pPr>
              <w:pStyle w:val="TableContents"/>
              <w:bidi w:val="0"/>
              <w:spacing w:before="0" w:after="283"/>
              <w:ind w:left="200" w:right="0" w:firstLine="200"/>
              <w:jc w:val="left"/>
              <w:rPr>
                <w:rFonts w:ascii="Arial" w:hAnsi="Arial"/>
                <w:b w:val="false"/>
                <w:color w:val="000000"/>
                <w:sz w:val="16"/>
              </w:rPr>
            </w:pPr>
            <w:r>
              <w:rPr>
                <w:rFonts w:ascii="Arial" w:hAnsi="Arial"/>
                <w:b w:val="false"/>
                <w:color w:val="000000"/>
                <w:sz w:val="16"/>
              </w:rPr>
              <w:t>Purchase of property, plant and equipment</w:t>
            </w:r>
          </w:p>
        </w:tc>
        <w:tc>
          <w:tcPr>
            <w:tcW w:w="14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(36,776</w:t>
            </w:r>
          </w:p>
        </w:tc>
        <w:tc>
          <w:tcPr>
            <w:tcW w:w="207" w:type="dxa"/>
            <w:tcBorders/>
            <w:shd w:fill="FFFFFF"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182"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(16,235</w:t>
            </w:r>
          </w:p>
        </w:tc>
        <w:tc>
          <w:tcPr>
            <w:tcW w:w="413" w:type="dxa"/>
            <w:tcBorders/>
            <w:shd w:fill="FFFFFF" w:val="clear"/>
            <w:vAlign w:val="center"/>
          </w:tcPr>
          <w:p>
            <w:pPr>
              <w:pStyle w:val="TableContents"/>
              <w:bidi w:val="0"/>
              <w:spacing w:before="0" w:after="283"/>
              <w:ind w:left="0" w:right="0" w:firstLine="200"/>
              <w:jc w:val="left"/>
              <w:rPr>
                <w:rFonts w:ascii="Arial" w:hAnsi="Arial"/>
                <w:b w:val="false"/>
                <w:color w:val="000000"/>
                <w:sz w:val="16"/>
              </w:rPr>
            </w:pPr>
            <w:r>
              <w:rPr>
                <w:rFonts w:ascii="Arial" w:hAnsi="Arial"/>
                <w:b w:val="false"/>
                <w:color w:val="000000"/>
                <w:sz w:val="16"/>
              </w:rPr>
              <w:t>)</w:t>
            </w:r>
          </w:p>
        </w:tc>
      </w:tr>
      <w:tr>
        <w:trPr/>
        <w:tc>
          <w:tcPr>
            <w:tcW w:w="7119" w:type="dxa"/>
            <w:tcBorders/>
            <w:shd w:fill="CFF0FC" w:val="clear"/>
            <w:vAlign w:val="center"/>
          </w:tcPr>
          <w:p>
            <w:pPr>
              <w:pStyle w:val="TableContents"/>
              <w:bidi w:val="0"/>
              <w:spacing w:before="0" w:after="283"/>
              <w:ind w:left="200" w:right="0" w:firstLine="200"/>
              <w:jc w:val="left"/>
              <w:rPr>
                <w:rFonts w:ascii="Arial" w:hAnsi="Arial"/>
                <w:b w:val="false"/>
                <w:color w:val="000000"/>
                <w:sz w:val="16"/>
              </w:rPr>
            </w:pPr>
            <w:r>
              <w:rPr>
                <w:rFonts w:ascii="Arial" w:hAnsi="Arial"/>
                <w:b w:val="false"/>
                <w:color w:val="000000"/>
                <w:sz w:val="16"/>
              </w:rPr>
              <w:t>Proceeds from sale of lost-in-hole equipment</w:t>
            </w:r>
          </w:p>
        </w:tc>
        <w:tc>
          <w:tcPr>
            <w:tcW w:w="146" w:type="dxa"/>
            <w:tcBorders/>
            <w:shd w:fill="CFF0FC" w:val="cle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16,623</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16,287</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19" w:type="dxa"/>
            <w:tcBorders/>
            <w:shd w:fill="FFFFFF" w:val="clear"/>
            <w:vAlign w:val="center"/>
          </w:tcPr>
          <w:p>
            <w:pPr>
              <w:pStyle w:val="TableContents"/>
              <w:bidi w:val="0"/>
              <w:spacing w:before="0" w:after="283"/>
              <w:jc w:val="left"/>
              <w:rPr>
                <w:rFonts w:ascii="Arial" w:hAnsi="Arial"/>
                <w:b/>
                <w:color w:val="000000"/>
                <w:sz w:val="16"/>
              </w:rPr>
            </w:pPr>
            <w:r>
              <w:rPr>
                <w:rFonts w:ascii="Arial" w:hAnsi="Arial"/>
                <w:b/>
                <w:color w:val="000000"/>
                <w:sz w:val="16"/>
              </w:rPr>
              <w:t>Net cash from investing activities</w:t>
            </w:r>
          </w:p>
        </w:tc>
        <w:tc>
          <w:tcPr>
            <w:tcW w:w="146" w:type="dxa"/>
            <w:tcBorders/>
            <w:shd w:fill="FFFFFF" w:val="cle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(20,027</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182" w:type="dxa"/>
            <w:tcBorders/>
            <w:shd w:fill="FFFFFF" w:val="cle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1,073</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19" w:type="dxa"/>
            <w:tcBorders/>
            <w:shd w:fill="CFF0FC" w:val="clear"/>
            <w:vAlign w:val="center"/>
          </w:tcPr>
          <w:p>
            <w:pPr>
              <w:pStyle w:val="TableContents"/>
              <w:bidi w:val="0"/>
              <w:spacing w:before="0" w:after="283"/>
              <w:jc w:val="left"/>
              <w:rPr>
                <w:rFonts w:ascii="Arial" w:hAnsi="Arial"/>
                <w:b/>
                <w:color w:val="000000"/>
                <w:sz w:val="16"/>
              </w:rPr>
            </w:pPr>
            <w:r>
              <w:rPr>
                <w:rFonts w:ascii="Arial" w:hAnsi="Arial"/>
                <w:b/>
                <w:color w:val="000000"/>
                <w:sz w:val="16"/>
              </w:rPr>
              <w:t>Cash flows from financing activities:</w:t>
            </w:r>
          </w:p>
        </w:tc>
        <w:tc>
          <w:tcPr>
            <w:tcW w:w="146" w:type="dxa"/>
            <w:tcBorders/>
            <w:shd w:fill="CFF0FC" w:val="clear"/>
            <w:vAlign w:val="center"/>
          </w:tcPr>
          <w:p>
            <w:pPr>
              <w:pStyle w:val="TableContents"/>
              <w:bidi w:val="0"/>
              <w:spacing w:before="0" w:after="283"/>
              <w:jc w:val="left"/>
              <w:rPr/>
            </w:pPr>
            <w:r>
              <w:rPr/>
              <w:t> </w:t>
            </w:r>
          </w:p>
        </w:tc>
        <w:tc>
          <w:tcPr>
            <w:tcW w:w="1069" w:type="dxa"/>
            <w:gridSpan w:val="2"/>
            <w:tcBorders/>
            <w:shd w:fill="CFF0FC" w:val="clear"/>
            <w:vAlign w:val="center"/>
          </w:tcPr>
          <w:p>
            <w:pPr>
              <w:pStyle w:val="TableContents"/>
              <w:bidi w:val="0"/>
              <w:spacing w:before="0" w:after="283"/>
              <w:jc w:val="right"/>
              <w:rPr/>
            </w:pPr>
            <w:r>
              <w:rPr/>
              <w:t> </w:t>
            </w:r>
          </w:p>
        </w:tc>
        <w:tc>
          <w:tcPr>
            <w:tcW w:w="207" w:type="dxa"/>
            <w:tcBorders/>
            <w:shd w:fill="CFF0FC" w:val="clear"/>
            <w:vAlign w:val="center"/>
          </w:tcPr>
          <w:p>
            <w:pPr>
              <w:pStyle w:val="TableContents"/>
              <w:bidi w:val="0"/>
              <w:spacing w:before="0" w:after="283"/>
              <w:jc w:val="right"/>
              <w:rPr/>
            </w:pPr>
            <w:r>
              <w:rPr/>
              <w:t> </w:t>
            </w:r>
          </w:p>
        </w:tc>
        <w:tc>
          <w:tcPr>
            <w:tcW w:w="182" w:type="dxa"/>
            <w:tcBorders/>
            <w:shd w:fill="CFF0FC" w:val="clear"/>
            <w:vAlign w:val="center"/>
          </w:tcPr>
          <w:p>
            <w:pPr>
              <w:pStyle w:val="TableContents"/>
              <w:bidi w:val="0"/>
              <w:spacing w:before="0" w:after="283"/>
              <w:jc w:val="left"/>
              <w:rPr/>
            </w:pPr>
            <w:r>
              <w:rPr/>
              <w:t> </w:t>
            </w:r>
          </w:p>
        </w:tc>
        <w:tc>
          <w:tcPr>
            <w:tcW w:w="1069" w:type="dxa"/>
            <w:gridSpan w:val="2"/>
            <w:tcBorders/>
            <w:shd w:fill="CFF0FC" w:val="clear"/>
            <w:vAlign w:val="center"/>
          </w:tcPr>
          <w:p>
            <w:pPr>
              <w:pStyle w:val="TableContents"/>
              <w:bidi w:val="0"/>
              <w:spacing w:before="0" w:after="283"/>
              <w:jc w:val="right"/>
              <w:rPr/>
            </w:pPr>
            <w:r>
              <w:rPr/>
              <w:t> </w:t>
            </w:r>
          </w:p>
        </w:tc>
        <w:tc>
          <w:tcPr>
            <w:tcW w:w="413" w:type="dxa"/>
            <w:tcBorders/>
            <w:shd w:fill="CFF0FC" w:val="clear"/>
            <w:vAlign w:val="center"/>
          </w:tcPr>
          <w:p>
            <w:pPr>
              <w:pStyle w:val="TableContents"/>
              <w:bidi w:val="0"/>
              <w:spacing w:before="0" w:after="283"/>
              <w:ind w:left="0" w:right="0" w:firstLine="200"/>
              <w:jc w:val="right"/>
              <w:rPr/>
            </w:pPr>
            <w:r>
              <w:rPr/>
              <w:t> </w:t>
            </w:r>
          </w:p>
        </w:tc>
      </w:tr>
      <w:tr>
        <w:trPr/>
        <w:tc>
          <w:tcPr>
            <w:tcW w:w="7119" w:type="dxa"/>
            <w:tcBorders/>
            <w:shd w:fill="FFFFFF" w:val="clear"/>
            <w:vAlign w:val="center"/>
          </w:tcPr>
          <w:p>
            <w:pPr>
              <w:pStyle w:val="TableContents"/>
              <w:bidi w:val="0"/>
              <w:spacing w:before="0" w:after="283"/>
              <w:ind w:left="200" w:right="0" w:firstLine="200"/>
              <w:jc w:val="left"/>
              <w:rPr>
                <w:rFonts w:ascii="Arial" w:hAnsi="Arial"/>
                <w:b w:val="false"/>
                <w:color w:val="000000"/>
                <w:sz w:val="16"/>
              </w:rPr>
            </w:pPr>
            <w:r>
              <w:rPr>
                <w:rFonts w:ascii="Arial" w:hAnsi="Arial"/>
                <w:b w:val="false"/>
                <w:color w:val="000000"/>
                <w:sz w:val="16"/>
              </w:rPr>
              <w:t>Proceeds from Merger and PIPE Financing, net of transaction costs</w:t>
            </w:r>
          </w:p>
        </w:tc>
        <w:tc>
          <w:tcPr>
            <w:tcW w:w="14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23,162</w:t>
            </w:r>
          </w:p>
        </w:tc>
        <w:tc>
          <w:tcPr>
            <w:tcW w:w="207"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color w:val="000000"/>
              </w:rPr>
            </w:pPr>
            <w:r>
              <w:rPr>
                <w:color w:val="000000"/>
              </w:rPr>
              <w:t>—</w:t>
            </w:r>
          </w:p>
        </w:tc>
        <w:tc>
          <w:tcPr>
            <w:tcW w:w="413" w:type="dxa"/>
            <w:tcBorders/>
            <w:shd w:fill="FFFFFF" w:val="clear"/>
            <w:vAlign w:val="center"/>
          </w:tcPr>
          <w:p>
            <w:pPr>
              <w:pStyle w:val="TableContents"/>
              <w:bidi w:val="0"/>
              <w:spacing w:before="0" w:after="283"/>
              <w:ind w:left="0" w:right="0" w:firstLine="200"/>
              <w:jc w:val="left"/>
              <w:rPr/>
            </w:pPr>
            <w:r>
              <w:rPr/>
              <w:t> </w:t>
            </w:r>
          </w:p>
        </w:tc>
      </w:tr>
      <w:tr>
        <w:trPr/>
        <w:tc>
          <w:tcPr>
            <w:tcW w:w="7119" w:type="dxa"/>
            <w:tcBorders/>
            <w:shd w:fill="CFF0FC" w:val="clear"/>
            <w:vAlign w:val="center"/>
          </w:tcPr>
          <w:p>
            <w:pPr>
              <w:pStyle w:val="TableContents"/>
              <w:bidi w:val="0"/>
              <w:spacing w:before="0" w:after="283"/>
              <w:ind w:left="200" w:right="0" w:firstLine="200"/>
              <w:jc w:val="left"/>
              <w:rPr>
                <w:rFonts w:ascii="Arial" w:hAnsi="Arial"/>
                <w:b w:val="false"/>
                <w:color w:val="000000"/>
                <w:sz w:val="16"/>
              </w:rPr>
            </w:pPr>
            <w:r>
              <w:rPr>
                <w:rFonts w:ascii="Arial" w:hAnsi="Arial"/>
                <w:b w:val="false"/>
                <w:color w:val="000000"/>
                <w:sz w:val="16"/>
              </w:rPr>
              <w:t>Payment of deferred financing costs</w:t>
            </w:r>
          </w:p>
        </w:tc>
        <w:tc>
          <w:tcPr>
            <w:tcW w:w="146"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825" w:type="dxa"/>
            <w:tcBorders/>
            <w:shd w:fill="CFF0FC"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(322</w:t>
            </w:r>
          </w:p>
        </w:tc>
        <w:tc>
          <w:tcPr>
            <w:tcW w:w="207" w:type="dxa"/>
            <w:tcBorders/>
            <w:shd w:fill="CFF0FC"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182"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825" w:type="dxa"/>
            <w:tcBorders/>
            <w:shd w:fill="CFF0FC"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(149</w:t>
            </w:r>
          </w:p>
        </w:tc>
        <w:tc>
          <w:tcPr>
            <w:tcW w:w="413" w:type="dxa"/>
            <w:tcBorders/>
            <w:shd w:fill="CFF0FC" w:val="clear"/>
            <w:vAlign w:val="center"/>
          </w:tcPr>
          <w:p>
            <w:pPr>
              <w:pStyle w:val="TableContents"/>
              <w:bidi w:val="0"/>
              <w:spacing w:before="0" w:after="283"/>
              <w:ind w:left="0" w:right="0" w:firstLine="200"/>
              <w:jc w:val="left"/>
              <w:rPr>
                <w:rFonts w:ascii="Arial" w:hAnsi="Arial"/>
                <w:b w:val="false"/>
                <w:color w:val="000000"/>
                <w:sz w:val="16"/>
              </w:rPr>
            </w:pPr>
            <w:r>
              <w:rPr>
                <w:rFonts w:ascii="Arial" w:hAnsi="Arial"/>
                <w:b w:val="false"/>
                <w:color w:val="000000"/>
                <w:sz w:val="16"/>
              </w:rPr>
              <w:t>)</w:t>
            </w:r>
          </w:p>
        </w:tc>
      </w:tr>
      <w:tr>
        <w:trPr/>
        <w:tc>
          <w:tcPr>
            <w:tcW w:w="7119" w:type="dxa"/>
            <w:tcBorders/>
            <w:shd w:fill="FFFFFF" w:val="clear"/>
            <w:vAlign w:val="center"/>
          </w:tcPr>
          <w:p>
            <w:pPr>
              <w:pStyle w:val="TableContents"/>
              <w:bidi w:val="0"/>
              <w:spacing w:before="0" w:after="283"/>
              <w:ind w:left="200" w:right="0" w:firstLine="200"/>
              <w:jc w:val="left"/>
              <w:rPr>
                <w:rFonts w:ascii="Arial" w:hAnsi="Arial"/>
                <w:b w:val="false"/>
                <w:color w:val="000000"/>
                <w:sz w:val="16"/>
              </w:rPr>
            </w:pPr>
            <w:r>
              <w:rPr>
                <w:rFonts w:ascii="Arial" w:hAnsi="Arial"/>
                <w:b w:val="false"/>
                <w:color w:val="000000"/>
                <w:sz w:val="16"/>
              </w:rPr>
              <w:t>Proceeds from revolving line of credit</w:t>
            </w:r>
          </w:p>
        </w:tc>
        <w:tc>
          <w:tcPr>
            <w:tcW w:w="14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71,646</w:t>
            </w:r>
          </w:p>
        </w:tc>
        <w:tc>
          <w:tcPr>
            <w:tcW w:w="207"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76,471</w:t>
            </w:r>
          </w:p>
        </w:tc>
        <w:tc>
          <w:tcPr>
            <w:tcW w:w="413" w:type="dxa"/>
            <w:tcBorders/>
            <w:shd w:fill="FFFFFF" w:val="clear"/>
            <w:vAlign w:val="center"/>
          </w:tcPr>
          <w:p>
            <w:pPr>
              <w:pStyle w:val="TableContents"/>
              <w:bidi w:val="0"/>
              <w:spacing w:before="0" w:after="283"/>
              <w:ind w:left="0" w:right="0" w:firstLine="200"/>
              <w:jc w:val="left"/>
              <w:rPr/>
            </w:pPr>
            <w:r>
              <w:rPr/>
              <w:t> </w:t>
            </w:r>
          </w:p>
        </w:tc>
      </w:tr>
      <w:tr>
        <w:trPr/>
        <w:tc>
          <w:tcPr>
            <w:tcW w:w="7119" w:type="dxa"/>
            <w:tcBorders/>
            <w:shd w:fill="CFF0FC" w:val="clear"/>
            <w:vAlign w:val="center"/>
          </w:tcPr>
          <w:p>
            <w:pPr>
              <w:pStyle w:val="TableContents"/>
              <w:bidi w:val="0"/>
              <w:spacing w:before="0" w:after="283"/>
              <w:ind w:left="200" w:right="0" w:firstLine="200"/>
              <w:jc w:val="left"/>
              <w:rPr>
                <w:rFonts w:ascii="Arial" w:hAnsi="Arial"/>
                <w:b w:val="false"/>
                <w:color w:val="000000"/>
                <w:sz w:val="16"/>
              </w:rPr>
            </w:pPr>
            <w:r>
              <w:rPr>
                <w:rFonts w:ascii="Arial" w:hAnsi="Arial"/>
                <w:b w:val="false"/>
                <w:color w:val="000000"/>
                <w:sz w:val="16"/>
              </w:rPr>
              <w:t>Payments on revolving line of credit</w:t>
            </w:r>
          </w:p>
        </w:tc>
        <w:tc>
          <w:tcPr>
            <w:tcW w:w="146"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825" w:type="dxa"/>
            <w:tcBorders/>
            <w:shd w:fill="CFF0FC"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(89,995</w:t>
            </w:r>
          </w:p>
        </w:tc>
        <w:tc>
          <w:tcPr>
            <w:tcW w:w="207" w:type="dxa"/>
            <w:tcBorders/>
            <w:shd w:fill="CFF0FC"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182"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825" w:type="dxa"/>
            <w:tcBorders/>
            <w:shd w:fill="CFF0FC"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(82,239</w:t>
            </w:r>
          </w:p>
        </w:tc>
        <w:tc>
          <w:tcPr>
            <w:tcW w:w="413" w:type="dxa"/>
            <w:tcBorders/>
            <w:shd w:fill="CFF0FC" w:val="clear"/>
            <w:vAlign w:val="center"/>
          </w:tcPr>
          <w:p>
            <w:pPr>
              <w:pStyle w:val="TableContents"/>
              <w:bidi w:val="0"/>
              <w:spacing w:before="0" w:after="283"/>
              <w:ind w:left="0" w:right="0" w:firstLine="200"/>
              <w:jc w:val="left"/>
              <w:rPr>
                <w:rFonts w:ascii="Arial" w:hAnsi="Arial"/>
                <w:b w:val="false"/>
                <w:color w:val="000000"/>
                <w:sz w:val="16"/>
              </w:rPr>
            </w:pPr>
            <w:r>
              <w:rPr>
                <w:rFonts w:ascii="Arial" w:hAnsi="Arial"/>
                <w:b w:val="false"/>
                <w:color w:val="000000"/>
                <w:sz w:val="16"/>
              </w:rPr>
              <w:t>)</w:t>
            </w:r>
          </w:p>
        </w:tc>
      </w:tr>
      <w:tr>
        <w:trPr/>
        <w:tc>
          <w:tcPr>
            <w:tcW w:w="7119" w:type="dxa"/>
            <w:tcBorders/>
            <w:shd w:fill="FFFFFF" w:val="clear"/>
            <w:vAlign w:val="center"/>
          </w:tcPr>
          <w:p>
            <w:pPr>
              <w:pStyle w:val="TableContents"/>
              <w:bidi w:val="0"/>
              <w:spacing w:before="0" w:after="283"/>
              <w:ind w:left="200" w:right="0" w:firstLine="200"/>
              <w:jc w:val="left"/>
              <w:rPr>
                <w:rFonts w:ascii="Arial" w:hAnsi="Arial"/>
                <w:b w:val="false"/>
                <w:color w:val="000000"/>
                <w:sz w:val="16"/>
              </w:rPr>
            </w:pPr>
            <w:r>
              <w:rPr>
                <w:rFonts w:ascii="Arial" w:hAnsi="Arial"/>
                <w:b w:val="false"/>
                <w:color w:val="000000"/>
                <w:sz w:val="16"/>
              </w:rPr>
              <w:t>Payments on finance leases</w:t>
            </w:r>
          </w:p>
        </w:tc>
        <w:tc>
          <w:tcPr>
            <w:tcW w:w="14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color w:val="000000"/>
              </w:rPr>
            </w:pPr>
            <w:r>
              <w:rPr>
                <w:color w:val="000000"/>
              </w:rPr>
              <w:t>—</w:t>
            </w:r>
          </w:p>
        </w:tc>
        <w:tc>
          <w:tcPr>
            <w:tcW w:w="207"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(10</w:t>
            </w:r>
          </w:p>
        </w:tc>
        <w:tc>
          <w:tcPr>
            <w:tcW w:w="413" w:type="dxa"/>
            <w:tcBorders/>
            <w:shd w:fill="FFFFFF" w:val="clear"/>
            <w:vAlign w:val="center"/>
          </w:tcPr>
          <w:p>
            <w:pPr>
              <w:pStyle w:val="TableContents"/>
              <w:bidi w:val="0"/>
              <w:spacing w:before="0" w:after="283"/>
              <w:ind w:left="0" w:right="0" w:firstLine="200"/>
              <w:jc w:val="left"/>
              <w:rPr>
                <w:rFonts w:ascii="Arial" w:hAnsi="Arial"/>
                <w:b w:val="false"/>
                <w:color w:val="000000"/>
                <w:sz w:val="16"/>
              </w:rPr>
            </w:pPr>
            <w:r>
              <w:rPr>
                <w:rFonts w:ascii="Arial" w:hAnsi="Arial"/>
                <w:b w:val="false"/>
                <w:color w:val="000000"/>
                <w:sz w:val="16"/>
              </w:rPr>
              <w:t>)</w:t>
            </w:r>
          </w:p>
        </w:tc>
      </w:tr>
      <w:tr>
        <w:trPr/>
        <w:tc>
          <w:tcPr>
            <w:tcW w:w="7119" w:type="dxa"/>
            <w:tcBorders/>
            <w:shd w:fill="CFF0FC" w:val="clear"/>
            <w:vAlign w:val="center"/>
          </w:tcPr>
          <w:p>
            <w:pPr>
              <w:pStyle w:val="TableContents"/>
              <w:bidi w:val="0"/>
              <w:spacing w:before="0" w:after="283"/>
              <w:ind w:left="200" w:right="0" w:firstLine="200"/>
              <w:jc w:val="left"/>
              <w:rPr>
                <w:rFonts w:ascii="Arial" w:hAnsi="Arial"/>
                <w:b w:val="false"/>
                <w:color w:val="000000"/>
                <w:sz w:val="16"/>
              </w:rPr>
            </w:pPr>
            <w:r>
              <w:rPr>
                <w:rFonts w:ascii="Arial" w:hAnsi="Arial"/>
                <w:b w:val="false"/>
                <w:color w:val="000000"/>
                <w:sz w:val="16"/>
              </w:rPr>
              <w:t>Payments to holders of DTIH redeemable convertible preferred stock in connection with retiring their DTI stock upon the Merger</w:t>
            </w:r>
          </w:p>
        </w:tc>
        <w:tc>
          <w:tcPr>
            <w:tcW w:w="146" w:type="dxa"/>
            <w:tcBorders/>
            <w:shd w:fill="CFF0FC" w:val="cle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(194</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182" w:type="dxa"/>
            <w:tcBorders/>
            <w:shd w:fill="CFF0FC" w:val="cle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19" w:type="dxa"/>
            <w:tcBorders/>
            <w:shd w:fill="FFFFFF" w:val="clear"/>
            <w:vAlign w:val="center"/>
          </w:tcPr>
          <w:p>
            <w:pPr>
              <w:pStyle w:val="TableContents"/>
              <w:bidi w:val="0"/>
              <w:spacing w:before="0" w:after="283"/>
              <w:jc w:val="left"/>
              <w:rPr>
                <w:rFonts w:ascii="Arial" w:hAnsi="Arial"/>
                <w:b/>
                <w:color w:val="000000"/>
                <w:sz w:val="16"/>
              </w:rPr>
            </w:pPr>
            <w:r>
              <w:rPr>
                <w:rFonts w:ascii="Arial" w:hAnsi="Arial"/>
                <w:b/>
                <w:color w:val="000000"/>
                <w:sz w:val="16"/>
              </w:rPr>
              <w:t>Net cash from financing activities</w:t>
            </w:r>
          </w:p>
        </w:tc>
        <w:tc>
          <w:tcPr>
            <w:tcW w:w="146" w:type="dxa"/>
            <w:tcBorders/>
            <w:shd w:fill="FFFFFF" w:val="cle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4,297</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(5,927</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r>
      <w:tr>
        <w:trPr/>
        <w:tc>
          <w:tcPr>
            <w:tcW w:w="7119" w:type="dxa"/>
            <w:tcBorders/>
            <w:shd w:fill="CFF0FC" w:val="clear"/>
            <w:vAlign w:val="center"/>
          </w:tcPr>
          <w:p>
            <w:pPr>
              <w:pStyle w:val="TableContents"/>
              <w:bidi w:val="0"/>
              <w:spacing w:before="0" w:after="283"/>
              <w:jc w:val="left"/>
              <w:rPr>
                <w:rFonts w:ascii="Arial" w:hAnsi="Arial"/>
                <w:b/>
                <w:color w:val="000000"/>
                <w:sz w:val="16"/>
              </w:rPr>
            </w:pPr>
            <w:r>
              <w:rPr>
                <w:rFonts w:ascii="Arial" w:hAnsi="Arial"/>
                <w:b/>
                <w:color w:val="000000"/>
                <w:sz w:val="16"/>
              </w:rPr>
              <w:t>Effect of Changes in Foreign Exchange Rate</w:t>
            </w:r>
          </w:p>
        </w:tc>
        <w:tc>
          <w:tcPr>
            <w:tcW w:w="146"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825" w:type="dxa"/>
            <w:tcBorders/>
            <w:shd w:fill="CFF0FC"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(117</w:t>
            </w:r>
          </w:p>
        </w:tc>
        <w:tc>
          <w:tcPr>
            <w:tcW w:w="207" w:type="dxa"/>
            <w:tcBorders/>
            <w:shd w:fill="CFF0FC"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182"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825" w:type="dxa"/>
            <w:tcBorders/>
            <w:shd w:fill="CFF0FC"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(86</w:t>
            </w:r>
          </w:p>
        </w:tc>
        <w:tc>
          <w:tcPr>
            <w:tcW w:w="413" w:type="dxa"/>
            <w:tcBorders/>
            <w:shd w:fill="CFF0FC"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r>
      <w:tr>
        <w:trPr/>
        <w:tc>
          <w:tcPr>
            <w:tcW w:w="7119" w:type="dxa"/>
            <w:tcBorders/>
            <w:shd w:fill="FFFFFF" w:val="clear"/>
            <w:vAlign w:val="center"/>
          </w:tcPr>
          <w:p>
            <w:pPr>
              <w:pStyle w:val="TableContents"/>
              <w:bidi w:val="0"/>
              <w:spacing w:before="0" w:after="283"/>
              <w:jc w:val="left"/>
              <w:rPr>
                <w:rFonts w:ascii="Arial" w:hAnsi="Arial"/>
                <w:b/>
                <w:color w:val="000000"/>
                <w:sz w:val="16"/>
              </w:rPr>
            </w:pPr>
            <w:r>
              <w:rPr>
                <w:rFonts w:ascii="Arial" w:hAnsi="Arial"/>
                <w:b/>
                <w:color w:val="000000"/>
                <w:sz w:val="16"/>
              </w:rPr>
              <w:t>Net Change in Cash</w:t>
            </w:r>
          </w:p>
        </w:tc>
        <w:tc>
          <w:tcPr>
            <w:tcW w:w="14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1,637</w:t>
            </w:r>
          </w:p>
        </w:tc>
        <w:tc>
          <w:tcPr>
            <w:tcW w:w="207"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701</w:t>
            </w:r>
          </w:p>
        </w:tc>
        <w:tc>
          <w:tcPr>
            <w:tcW w:w="413" w:type="dxa"/>
            <w:tcBorders/>
            <w:shd w:fill="FFFFFF" w:val="clear"/>
            <w:vAlign w:val="center"/>
          </w:tcPr>
          <w:p>
            <w:pPr>
              <w:pStyle w:val="TableContents"/>
              <w:bidi w:val="0"/>
              <w:spacing w:before="0" w:after="283"/>
              <w:jc w:val="left"/>
              <w:rPr/>
            </w:pPr>
            <w:r>
              <w:rPr/>
              <w:t> </w:t>
            </w:r>
          </w:p>
        </w:tc>
      </w:tr>
      <w:tr>
        <w:trPr/>
        <w:tc>
          <w:tcPr>
            <w:tcW w:w="7119" w:type="dxa"/>
            <w:tcBorders/>
            <w:shd w:fill="CFF0FC" w:val="clear"/>
            <w:vAlign w:val="center"/>
          </w:tcPr>
          <w:p>
            <w:pPr>
              <w:pStyle w:val="TableContents"/>
              <w:bidi w:val="0"/>
              <w:spacing w:before="0" w:after="283"/>
              <w:jc w:val="left"/>
              <w:rPr>
                <w:rFonts w:ascii="Arial" w:hAnsi="Arial"/>
                <w:b/>
                <w:color w:val="000000"/>
                <w:sz w:val="16"/>
              </w:rPr>
            </w:pPr>
            <w:r>
              <w:rPr>
                <w:rFonts w:ascii="Arial" w:hAnsi="Arial"/>
                <w:b/>
                <w:color w:val="000000"/>
                <w:sz w:val="16"/>
              </w:rPr>
              <w:t>Cash at Beginning of Period</w:t>
            </w:r>
          </w:p>
        </w:tc>
        <w:tc>
          <w:tcPr>
            <w:tcW w:w="146" w:type="dxa"/>
            <w:tcBorders/>
            <w:shd w:fill="CFF0FC" w:val="cle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2,352</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52</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19" w:type="dxa"/>
            <w:tcBorders/>
            <w:shd w:fill="FFFFFF" w:val="clear"/>
            <w:vAlign w:val="center"/>
          </w:tcPr>
          <w:p>
            <w:pPr>
              <w:pStyle w:val="TableContents"/>
              <w:bidi w:val="0"/>
              <w:spacing w:before="0" w:after="283"/>
              <w:jc w:val="left"/>
              <w:rPr>
                <w:rFonts w:ascii="Arial" w:hAnsi="Arial"/>
                <w:b/>
                <w:color w:val="000000"/>
                <w:sz w:val="16"/>
              </w:rPr>
            </w:pPr>
            <w:r>
              <w:rPr>
                <w:rFonts w:ascii="Arial" w:hAnsi="Arial"/>
                <w:b/>
                <w:color w:val="000000"/>
                <w:sz w:val="16"/>
              </w:rPr>
              <w:t>Cash at End of Period</w:t>
            </w:r>
          </w:p>
        </w:tc>
        <w:tc>
          <w:tcPr>
            <w:tcW w:w="146" w:type="dxa"/>
            <w:tcBorders/>
            <w:shd w:fill="FFFFFF" w:val="cle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8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3,989</w:t>
            </w:r>
          </w:p>
        </w:tc>
        <w:tc>
          <w:tcPr>
            <w:tcW w:w="2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8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753</w:t>
            </w:r>
          </w:p>
        </w:tc>
        <w:tc>
          <w:tcPr>
            <w:tcW w:w="4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19" w:type="dxa"/>
            <w:tcBorders/>
            <w:shd w:fill="CFF0FC" w:val="clear"/>
            <w:vAlign w:val="center"/>
          </w:tcPr>
          <w:p>
            <w:pPr>
              <w:pStyle w:val="TableContents"/>
              <w:bidi w:val="0"/>
              <w:spacing w:before="0" w:after="283"/>
              <w:jc w:val="left"/>
              <w:rPr>
                <w:rFonts w:ascii="Arial" w:hAnsi="Arial"/>
                <w:b/>
                <w:color w:val="000000"/>
                <w:sz w:val="16"/>
              </w:rPr>
            </w:pPr>
            <w:r>
              <w:rPr>
                <w:rFonts w:ascii="Arial" w:hAnsi="Arial"/>
                <w:b/>
                <w:color w:val="000000"/>
                <w:sz w:val="16"/>
              </w:rPr>
              <w:t>Supplemental cash flow information:</w:t>
            </w:r>
          </w:p>
        </w:tc>
        <w:tc>
          <w:tcPr>
            <w:tcW w:w="146" w:type="dxa"/>
            <w:tcBorders/>
            <w:shd w:fill="CFF0FC" w:val="clear"/>
            <w:vAlign w:val="center"/>
          </w:tcPr>
          <w:p>
            <w:pPr>
              <w:pStyle w:val="TableContents"/>
              <w:bidi w:val="0"/>
              <w:spacing w:before="0" w:after="283"/>
              <w:jc w:val="left"/>
              <w:rPr/>
            </w:pPr>
            <w:r>
              <w:rPr/>
              <w:t> </w:t>
            </w:r>
          </w:p>
        </w:tc>
        <w:tc>
          <w:tcPr>
            <w:tcW w:w="1069" w:type="dxa"/>
            <w:gridSpan w:val="2"/>
            <w:tcBorders/>
            <w:shd w:fill="CFF0FC" w:val="clear"/>
            <w:vAlign w:val="center"/>
          </w:tcPr>
          <w:p>
            <w:pPr>
              <w:pStyle w:val="TableContents"/>
              <w:bidi w:val="0"/>
              <w:spacing w:before="0" w:after="283"/>
              <w:jc w:val="right"/>
              <w:rPr/>
            </w:pPr>
            <w:r>
              <w:rPr/>
              <w:t> </w:t>
            </w:r>
          </w:p>
        </w:tc>
        <w:tc>
          <w:tcPr>
            <w:tcW w:w="207" w:type="dxa"/>
            <w:tcBorders/>
            <w:shd w:fill="CFF0FC" w:val="clear"/>
            <w:vAlign w:val="center"/>
          </w:tcPr>
          <w:p>
            <w:pPr>
              <w:pStyle w:val="TableContents"/>
              <w:bidi w:val="0"/>
              <w:spacing w:before="0" w:after="283"/>
              <w:jc w:val="right"/>
              <w:rPr/>
            </w:pPr>
            <w:r>
              <w:rPr/>
              <w:t> </w:t>
            </w:r>
          </w:p>
        </w:tc>
        <w:tc>
          <w:tcPr>
            <w:tcW w:w="182" w:type="dxa"/>
            <w:tcBorders/>
            <w:shd w:fill="CFF0FC" w:val="clear"/>
            <w:vAlign w:val="center"/>
          </w:tcPr>
          <w:p>
            <w:pPr>
              <w:pStyle w:val="TableContents"/>
              <w:bidi w:val="0"/>
              <w:spacing w:before="0" w:after="283"/>
              <w:jc w:val="left"/>
              <w:rPr/>
            </w:pPr>
            <w:r>
              <w:rPr/>
              <w:t> </w:t>
            </w:r>
          </w:p>
        </w:tc>
        <w:tc>
          <w:tcPr>
            <w:tcW w:w="1069" w:type="dxa"/>
            <w:gridSpan w:val="2"/>
            <w:tcBorders/>
            <w:shd w:fill="CFF0FC" w:val="clear"/>
            <w:vAlign w:val="center"/>
          </w:tcPr>
          <w:p>
            <w:pPr>
              <w:pStyle w:val="TableContents"/>
              <w:bidi w:val="0"/>
              <w:spacing w:before="0" w:after="283"/>
              <w:jc w:val="right"/>
              <w:rPr/>
            </w:pPr>
            <w:r>
              <w:rPr/>
              <w:t> </w:t>
            </w:r>
          </w:p>
        </w:tc>
        <w:tc>
          <w:tcPr>
            <w:tcW w:w="413" w:type="dxa"/>
            <w:tcBorders/>
            <w:shd w:fill="CFF0FC" w:val="clear"/>
            <w:vAlign w:val="center"/>
          </w:tcPr>
          <w:p>
            <w:pPr>
              <w:pStyle w:val="TableContents"/>
              <w:bidi w:val="0"/>
              <w:spacing w:before="0" w:after="283"/>
              <w:ind w:left="0" w:right="0" w:firstLine="200"/>
              <w:jc w:val="right"/>
              <w:rPr/>
            </w:pPr>
            <w:r>
              <w:rPr/>
              <w:t> </w:t>
            </w:r>
          </w:p>
        </w:tc>
      </w:tr>
      <w:tr>
        <w:trPr/>
        <w:tc>
          <w:tcPr>
            <w:tcW w:w="7119" w:type="dxa"/>
            <w:tcBorders/>
            <w:shd w:fill="FFFFFF" w:val="clear"/>
            <w:vAlign w:val="center"/>
          </w:tcPr>
          <w:p>
            <w:pPr>
              <w:pStyle w:val="TableContents"/>
              <w:bidi w:val="0"/>
              <w:spacing w:before="0" w:after="283"/>
              <w:ind w:left="200" w:right="0" w:firstLine="200"/>
              <w:jc w:val="left"/>
              <w:rPr>
                <w:rFonts w:ascii="Arial" w:hAnsi="Arial"/>
                <w:b w:val="false"/>
                <w:color w:val="000000"/>
                <w:sz w:val="16"/>
              </w:rPr>
            </w:pPr>
            <w:r>
              <w:rPr>
                <w:rFonts w:ascii="Arial" w:hAnsi="Arial"/>
                <w:b w:val="false"/>
                <w:color w:val="000000"/>
                <w:sz w:val="16"/>
              </w:rPr>
              <w:t>Cash paid for interest</w:t>
            </w:r>
          </w:p>
        </w:tc>
        <w:tc>
          <w:tcPr>
            <w:tcW w:w="146" w:type="dxa"/>
            <w:tcBorders/>
            <w:shd w:fill="FFFFFF" w:val="cle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8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901</w:t>
            </w:r>
          </w:p>
        </w:tc>
        <w:tc>
          <w:tcPr>
            <w:tcW w:w="2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8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884</w:t>
            </w:r>
          </w:p>
        </w:tc>
        <w:tc>
          <w:tcPr>
            <w:tcW w:w="413"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119" w:type="dxa"/>
            <w:tcBorders/>
            <w:shd w:fill="CFF0FC" w:val="clear"/>
            <w:vAlign w:val="center"/>
          </w:tcPr>
          <w:p>
            <w:pPr>
              <w:pStyle w:val="TableContents"/>
              <w:bidi w:val="0"/>
              <w:spacing w:before="0" w:after="283"/>
              <w:ind w:left="200" w:right="0" w:firstLine="200"/>
              <w:jc w:val="left"/>
              <w:rPr>
                <w:rFonts w:ascii="Arial" w:hAnsi="Arial"/>
                <w:b w:val="false"/>
                <w:color w:val="000000"/>
                <w:sz w:val="16"/>
              </w:rPr>
            </w:pPr>
            <w:r>
              <w:rPr>
                <w:rFonts w:ascii="Arial" w:hAnsi="Arial"/>
                <w:b w:val="false"/>
                <w:color w:val="000000"/>
                <w:sz w:val="16"/>
              </w:rPr>
              <w:t>Cash paid for income taxes</w:t>
            </w:r>
          </w:p>
        </w:tc>
        <w:tc>
          <w:tcPr>
            <w:tcW w:w="146" w:type="dxa"/>
            <w:tcBorders/>
            <w:shd w:fill="CFF0FC" w:val="clear"/>
            <w:vAlign w:val="center"/>
          </w:tcPr>
          <w:p>
            <w:pPr>
              <w:pStyle w:val="TableContents"/>
              <w:bidi w:val="0"/>
              <w:spacing w:before="0" w:after="283"/>
              <w:jc w:val="left"/>
              <w:rPr/>
            </w:pPr>
            <w:r>
              <w:rPr/>
              <w:t> </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8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2,546</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left"/>
              <w:rPr/>
            </w:pPr>
            <w:r>
              <w:rPr/>
              <w:t> </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8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1,925</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19" w:type="dxa"/>
            <w:tcBorders/>
            <w:shd w:fill="FFFFFF" w:val="clear"/>
            <w:vAlign w:val="center"/>
          </w:tcPr>
          <w:p>
            <w:pPr>
              <w:pStyle w:val="TableContents"/>
              <w:bidi w:val="0"/>
              <w:spacing w:before="0" w:after="283"/>
              <w:jc w:val="left"/>
              <w:rPr>
                <w:rFonts w:ascii="Arial" w:hAnsi="Arial"/>
                <w:b/>
                <w:color w:val="000000"/>
                <w:sz w:val="16"/>
              </w:rPr>
            </w:pPr>
            <w:r>
              <w:rPr>
                <w:rFonts w:ascii="Arial" w:hAnsi="Arial"/>
                <w:b/>
                <w:color w:val="000000"/>
                <w:sz w:val="16"/>
              </w:rPr>
              <w:t>Non-cash investing and financing activities:</w:t>
            </w:r>
          </w:p>
        </w:tc>
        <w:tc>
          <w:tcPr>
            <w:tcW w:w="146" w:type="dxa"/>
            <w:tcBorders/>
            <w:shd w:fill="FFFFFF" w:val="clear"/>
            <w:vAlign w:val="center"/>
          </w:tcPr>
          <w:p>
            <w:pPr>
              <w:pStyle w:val="TableContents"/>
              <w:bidi w:val="0"/>
              <w:spacing w:before="0" w:after="283"/>
              <w:jc w:val="left"/>
              <w:rPr/>
            </w:pPr>
            <w:r>
              <w:rPr/>
              <w:t> </w:t>
            </w:r>
          </w:p>
        </w:tc>
        <w:tc>
          <w:tcPr>
            <w:tcW w:w="1069" w:type="dxa"/>
            <w:gridSpan w:val="2"/>
            <w:tcBorders/>
            <w:shd w:fill="FFFFFF" w:val="clear"/>
            <w:vAlign w:val="center"/>
          </w:tcPr>
          <w:p>
            <w:pPr>
              <w:pStyle w:val="TableContents"/>
              <w:bidi w:val="0"/>
              <w:spacing w:before="0" w:after="283"/>
              <w:jc w:val="right"/>
              <w:rPr/>
            </w:pPr>
            <w:r>
              <w:rPr/>
              <w:t> </w:t>
            </w:r>
          </w:p>
        </w:tc>
        <w:tc>
          <w:tcPr>
            <w:tcW w:w="207" w:type="dxa"/>
            <w:tcBorders/>
            <w:shd w:fill="FFFFFF" w:val="clear"/>
            <w:vAlign w:val="center"/>
          </w:tcPr>
          <w:p>
            <w:pPr>
              <w:pStyle w:val="TableContents"/>
              <w:bidi w:val="0"/>
              <w:spacing w:before="0" w:after="283"/>
              <w:jc w:val="right"/>
              <w:rPr/>
            </w:pPr>
            <w:r>
              <w:rPr/>
              <w:t> </w:t>
            </w:r>
          </w:p>
        </w:tc>
        <w:tc>
          <w:tcPr>
            <w:tcW w:w="182" w:type="dxa"/>
            <w:tcBorders/>
            <w:shd w:fill="FFFFFF" w:val="clear"/>
            <w:vAlign w:val="center"/>
          </w:tcPr>
          <w:p>
            <w:pPr>
              <w:pStyle w:val="TableContents"/>
              <w:bidi w:val="0"/>
              <w:spacing w:before="0" w:after="283"/>
              <w:jc w:val="left"/>
              <w:rPr/>
            </w:pPr>
            <w:r>
              <w:rPr/>
              <w:t> </w:t>
            </w:r>
          </w:p>
        </w:tc>
        <w:tc>
          <w:tcPr>
            <w:tcW w:w="1069" w:type="dxa"/>
            <w:gridSpan w:val="2"/>
            <w:tcBorders/>
            <w:shd w:fill="FFFFFF" w:val="clear"/>
            <w:vAlign w:val="center"/>
          </w:tcPr>
          <w:p>
            <w:pPr>
              <w:pStyle w:val="TableContents"/>
              <w:bidi w:val="0"/>
              <w:spacing w:before="0" w:after="283"/>
              <w:jc w:val="right"/>
              <w:rPr/>
            </w:pPr>
            <w:r>
              <w:rPr/>
              <w:t> </w:t>
            </w:r>
          </w:p>
        </w:tc>
        <w:tc>
          <w:tcPr>
            <w:tcW w:w="413" w:type="dxa"/>
            <w:tcBorders/>
            <w:shd w:fill="FFFFFF" w:val="clear"/>
            <w:vAlign w:val="center"/>
          </w:tcPr>
          <w:p>
            <w:pPr>
              <w:pStyle w:val="TableContents"/>
              <w:bidi w:val="0"/>
              <w:spacing w:before="0" w:after="283"/>
              <w:ind w:left="0" w:right="0" w:firstLine="200"/>
              <w:jc w:val="right"/>
              <w:rPr/>
            </w:pPr>
            <w:r>
              <w:rPr/>
              <w:t> </w:t>
            </w:r>
          </w:p>
        </w:tc>
      </w:tr>
      <w:tr>
        <w:trPr/>
        <w:tc>
          <w:tcPr>
            <w:tcW w:w="7119" w:type="dxa"/>
            <w:tcBorders/>
            <w:shd w:fill="CFF0FC" w:val="clear"/>
            <w:vAlign w:val="center"/>
          </w:tcPr>
          <w:p>
            <w:pPr>
              <w:pStyle w:val="TableContents"/>
              <w:bidi w:val="0"/>
              <w:spacing w:before="0" w:after="283"/>
              <w:ind w:left="200" w:right="0" w:firstLine="200"/>
              <w:jc w:val="left"/>
              <w:rPr>
                <w:rFonts w:ascii="Arial" w:hAnsi="Arial"/>
                <w:b w:val="false"/>
                <w:color w:val="000000"/>
                <w:sz w:val="16"/>
              </w:rPr>
            </w:pPr>
            <w:r>
              <w:rPr>
                <w:rFonts w:ascii="Arial" w:hAnsi="Arial"/>
                <w:b w:val="false"/>
                <w:color w:val="000000"/>
                <w:sz w:val="16"/>
              </w:rPr>
              <w:t>ROU assets obtained in exchange for lease liabilities</w:t>
            </w:r>
          </w:p>
        </w:tc>
        <w:tc>
          <w:tcPr>
            <w:tcW w:w="146" w:type="dxa"/>
            <w:tcBorders/>
            <w:shd w:fill="CFF0FC" w:val="clear"/>
            <w:vAlign w:val="center"/>
          </w:tcPr>
          <w:p>
            <w:pPr>
              <w:pStyle w:val="TableContents"/>
              <w:bidi w:val="0"/>
              <w:spacing w:before="0" w:after="283"/>
              <w:jc w:val="left"/>
              <w:rPr/>
            </w:pPr>
            <w:r>
              <w:rPr/>
              <w:t> </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8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3,002</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left"/>
              <w:rPr/>
            </w:pPr>
            <w:r>
              <w:rPr/>
              <w:t> </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8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5,246</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119" w:type="dxa"/>
            <w:tcBorders/>
            <w:shd w:fill="FFFFFF" w:val="clear"/>
            <w:vAlign w:val="center"/>
          </w:tcPr>
          <w:p>
            <w:pPr>
              <w:pStyle w:val="TableContents"/>
              <w:bidi w:val="0"/>
              <w:spacing w:before="0" w:after="283"/>
              <w:ind w:left="200" w:right="0" w:firstLine="200"/>
              <w:jc w:val="left"/>
              <w:rPr>
                <w:rFonts w:ascii="Arial" w:hAnsi="Arial"/>
                <w:b w:val="false"/>
                <w:color w:val="000000"/>
                <w:sz w:val="16"/>
              </w:rPr>
            </w:pPr>
            <w:r>
              <w:rPr>
                <w:rFonts w:ascii="Arial" w:hAnsi="Arial"/>
                <w:b w:val="false"/>
                <w:color w:val="000000"/>
                <w:sz w:val="16"/>
              </w:rPr>
              <w:t>Purchases of inventory included in accounts payable and accrued expenses and other current liabilities</w:t>
            </w:r>
          </w:p>
        </w:tc>
        <w:tc>
          <w:tcPr>
            <w:tcW w:w="146" w:type="dxa"/>
            <w:tcBorders/>
            <w:shd w:fill="FFFFFF" w:val="cle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8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451</w:t>
            </w:r>
          </w:p>
        </w:tc>
        <w:tc>
          <w:tcPr>
            <w:tcW w:w="2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8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1,776</w:t>
            </w:r>
          </w:p>
        </w:tc>
        <w:tc>
          <w:tcPr>
            <w:tcW w:w="413"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119" w:type="dxa"/>
            <w:tcBorders/>
            <w:shd w:fill="CFF0FC" w:val="clear"/>
            <w:vAlign w:val="center"/>
          </w:tcPr>
          <w:p>
            <w:pPr>
              <w:pStyle w:val="TableContents"/>
              <w:bidi w:val="0"/>
              <w:spacing w:before="0" w:after="283"/>
              <w:ind w:left="200" w:right="0" w:firstLine="200"/>
              <w:jc w:val="left"/>
              <w:rPr>
                <w:rFonts w:ascii="Arial" w:hAnsi="Arial"/>
                <w:b w:val="false"/>
                <w:color w:val="000000"/>
                <w:sz w:val="16"/>
              </w:rPr>
            </w:pPr>
            <w:r>
              <w:rPr>
                <w:rFonts w:ascii="Arial" w:hAnsi="Arial"/>
                <w:b w:val="false"/>
                <w:color w:val="000000"/>
                <w:sz w:val="16"/>
              </w:rPr>
              <w:t>Purchases of property and equipment included in accounts payable and accrued expenses and other current liabilities</w:t>
            </w:r>
          </w:p>
        </w:tc>
        <w:tc>
          <w:tcPr>
            <w:tcW w:w="146" w:type="dxa"/>
            <w:tcBorders/>
            <w:shd w:fill="CFF0FC" w:val="clear"/>
            <w:vAlign w:val="center"/>
          </w:tcPr>
          <w:p>
            <w:pPr>
              <w:pStyle w:val="TableContents"/>
              <w:bidi w:val="0"/>
              <w:spacing w:before="0" w:after="283"/>
              <w:jc w:val="left"/>
              <w:rPr/>
            </w:pPr>
            <w:r>
              <w:rPr/>
              <w:t> </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8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1,733</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left"/>
              <w:rPr/>
            </w:pPr>
            <w:r>
              <w:rPr/>
              <w:t> </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8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1,459</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119" w:type="dxa"/>
            <w:tcBorders/>
            <w:shd w:fill="FFFFFF" w:val="clear"/>
            <w:vAlign w:val="center"/>
          </w:tcPr>
          <w:p>
            <w:pPr>
              <w:pStyle w:val="TableContents"/>
              <w:bidi w:val="0"/>
              <w:spacing w:before="0" w:after="283"/>
              <w:ind w:left="200" w:right="0" w:firstLine="200"/>
              <w:jc w:val="left"/>
              <w:rPr>
                <w:rFonts w:ascii="Arial" w:hAnsi="Arial"/>
                <w:b w:val="false"/>
                <w:color w:val="000000"/>
                <w:sz w:val="16"/>
              </w:rPr>
            </w:pPr>
            <w:r>
              <w:rPr>
                <w:rFonts w:ascii="Arial" w:hAnsi="Arial"/>
                <w:b w:val="false"/>
                <w:color w:val="000000"/>
                <w:sz w:val="16"/>
              </w:rPr>
              <w:t>Non-cash directors and officers insurance</w:t>
            </w:r>
          </w:p>
        </w:tc>
        <w:tc>
          <w:tcPr>
            <w:tcW w:w="146" w:type="dxa"/>
            <w:tcBorders/>
            <w:shd w:fill="FFFFFF" w:val="cle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8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1,063</w:t>
            </w:r>
          </w:p>
        </w:tc>
        <w:tc>
          <w:tcPr>
            <w:tcW w:w="2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8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3"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119" w:type="dxa"/>
            <w:tcBorders/>
            <w:shd w:fill="CFF0FC" w:val="clear"/>
            <w:vAlign w:val="center"/>
          </w:tcPr>
          <w:p>
            <w:pPr>
              <w:pStyle w:val="TableContents"/>
              <w:bidi w:val="0"/>
              <w:spacing w:before="0" w:after="283"/>
              <w:ind w:left="200" w:right="0" w:firstLine="200"/>
              <w:jc w:val="left"/>
              <w:rPr>
                <w:rFonts w:ascii="Arial" w:hAnsi="Arial"/>
                <w:b w:val="false"/>
                <w:color w:val="000000"/>
                <w:sz w:val="16"/>
              </w:rPr>
            </w:pPr>
            <w:r>
              <w:rPr>
                <w:rFonts w:ascii="Arial" w:hAnsi="Arial"/>
                <w:b w:val="false"/>
                <w:color w:val="000000"/>
                <w:sz w:val="16"/>
              </w:rPr>
              <w:t>Non-cash Merger financing</w:t>
            </w:r>
          </w:p>
        </w:tc>
        <w:tc>
          <w:tcPr>
            <w:tcW w:w="146" w:type="dxa"/>
            <w:tcBorders/>
            <w:shd w:fill="CFF0FC" w:val="clear"/>
            <w:vAlign w:val="center"/>
          </w:tcPr>
          <w:p>
            <w:pPr>
              <w:pStyle w:val="TableContents"/>
              <w:bidi w:val="0"/>
              <w:spacing w:before="0" w:after="283"/>
              <w:jc w:val="left"/>
              <w:rPr/>
            </w:pPr>
            <w:r>
              <w:rPr/>
              <w:t> </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8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2,000</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left"/>
              <w:rPr/>
            </w:pPr>
            <w:r>
              <w:rPr/>
              <w:t> </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8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119" w:type="dxa"/>
            <w:tcBorders/>
            <w:shd w:fill="FFFFFF" w:val="clear"/>
            <w:vAlign w:val="center"/>
          </w:tcPr>
          <w:p>
            <w:pPr>
              <w:pStyle w:val="TableContents"/>
              <w:bidi w:val="0"/>
              <w:spacing w:before="0" w:after="283"/>
              <w:ind w:left="200" w:right="0" w:firstLine="200"/>
              <w:jc w:val="left"/>
              <w:rPr>
                <w:rFonts w:ascii="Arial" w:hAnsi="Arial"/>
                <w:b w:val="false"/>
                <w:color w:val="000000"/>
                <w:sz w:val="16"/>
              </w:rPr>
            </w:pPr>
            <w:r>
              <w:rPr>
                <w:rFonts w:ascii="Arial" w:hAnsi="Arial"/>
                <w:b w:val="false"/>
                <w:color w:val="000000"/>
                <w:sz w:val="16"/>
              </w:rPr>
              <w:t>Exchange of DTIH redeemable convertible preferred stock for DTIC Common Stock in connection with Merger</w:t>
            </w:r>
          </w:p>
        </w:tc>
        <w:tc>
          <w:tcPr>
            <w:tcW w:w="146" w:type="dxa"/>
            <w:tcBorders/>
            <w:shd w:fill="FFFFFF" w:val="cle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8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7,193</w:t>
            </w:r>
          </w:p>
        </w:tc>
        <w:tc>
          <w:tcPr>
            <w:tcW w:w="2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8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3"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119" w:type="dxa"/>
            <w:tcBorders/>
            <w:shd w:fill="CFF0FC" w:val="clear"/>
            <w:vAlign w:val="center"/>
          </w:tcPr>
          <w:p>
            <w:pPr>
              <w:pStyle w:val="TableContents"/>
              <w:bidi w:val="0"/>
              <w:spacing w:before="0" w:after="283"/>
              <w:ind w:left="200" w:right="0" w:firstLine="200"/>
              <w:jc w:val="left"/>
              <w:rPr>
                <w:rFonts w:ascii="Arial" w:hAnsi="Arial"/>
                <w:b w:val="false"/>
                <w:color w:val="000000"/>
                <w:sz w:val="16"/>
              </w:rPr>
            </w:pPr>
            <w:r>
              <w:rPr>
                <w:rFonts w:ascii="Arial" w:hAnsi="Arial"/>
                <w:b w:val="false"/>
                <w:color w:val="000000"/>
                <w:sz w:val="16"/>
              </w:rPr>
              <w:t>Issuance of DTIC Common Stock to former holders of DTIH redeemable convertible preferred stock in connection with Exchange Agreements</w:t>
            </w:r>
          </w:p>
        </w:tc>
        <w:tc>
          <w:tcPr>
            <w:tcW w:w="146" w:type="dxa"/>
            <w:tcBorders/>
            <w:shd w:fill="CFF0FC" w:val="clear"/>
            <w:vAlign w:val="center"/>
          </w:tcPr>
          <w:p>
            <w:pPr>
              <w:pStyle w:val="TableContents"/>
              <w:bidi w:val="0"/>
              <w:spacing w:before="0" w:after="283"/>
              <w:jc w:val="left"/>
              <w:rPr/>
            </w:pPr>
            <w:r>
              <w:rPr/>
              <w:t> </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8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10,805</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left"/>
              <w:rPr/>
            </w:pPr>
            <w:r>
              <w:rPr/>
              <w:t> </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8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119" w:type="dxa"/>
            <w:tcBorders/>
            <w:shd w:fill="FFFFFF" w:val="clear"/>
            <w:vAlign w:val="center"/>
          </w:tcPr>
          <w:p>
            <w:pPr>
              <w:pStyle w:val="TableContents"/>
              <w:bidi w:val="0"/>
              <w:spacing w:before="0" w:after="283"/>
              <w:ind w:left="200" w:right="0" w:firstLine="200"/>
              <w:jc w:val="left"/>
              <w:rPr>
                <w:rFonts w:ascii="Arial" w:hAnsi="Arial"/>
                <w:b w:val="false"/>
                <w:color w:val="000000"/>
                <w:sz w:val="16"/>
              </w:rPr>
            </w:pPr>
            <w:r>
              <w:rPr>
                <w:rFonts w:ascii="Arial" w:hAnsi="Arial"/>
                <w:b w:val="false"/>
                <w:color w:val="000000"/>
                <w:sz w:val="16"/>
              </w:rPr>
              <w:t>Deferred financing fees included in accounts payable</w:t>
            </w:r>
          </w:p>
        </w:tc>
        <w:tc>
          <w:tcPr>
            <w:tcW w:w="146" w:type="dxa"/>
            <w:tcBorders/>
            <w:shd w:fill="FFFFFF" w:val="cle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8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8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69</w:t>
            </w:r>
          </w:p>
        </w:tc>
        <w:tc>
          <w:tcPr>
            <w:tcW w:w="413"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119" w:type="dxa"/>
            <w:tcBorders/>
            <w:shd w:fill="CFF0FC" w:val="clear"/>
            <w:vAlign w:val="center"/>
          </w:tcPr>
          <w:p>
            <w:pPr>
              <w:pStyle w:val="TableContents"/>
              <w:bidi w:val="0"/>
              <w:spacing w:before="0" w:after="283"/>
              <w:ind w:left="200" w:right="0" w:firstLine="200"/>
              <w:jc w:val="left"/>
              <w:rPr>
                <w:rFonts w:ascii="Arial" w:hAnsi="Arial"/>
                <w:b w:val="false"/>
                <w:color w:val="000000"/>
                <w:sz w:val="16"/>
              </w:rPr>
            </w:pPr>
            <w:r>
              <w:rPr>
                <w:rFonts w:ascii="Arial" w:hAnsi="Arial"/>
                <w:b w:val="false"/>
                <w:color w:val="000000"/>
                <w:sz w:val="16"/>
              </w:rPr>
              <w:t>Accretion of redeemable convertible preferred stock to redemption value</w:t>
            </w:r>
          </w:p>
        </w:tc>
        <w:tc>
          <w:tcPr>
            <w:tcW w:w="146" w:type="dxa"/>
            <w:tcBorders/>
            <w:shd w:fill="CFF0FC" w:val="clear"/>
            <w:vAlign w:val="center"/>
          </w:tcPr>
          <w:p>
            <w:pPr>
              <w:pStyle w:val="TableContents"/>
              <w:bidi w:val="0"/>
              <w:spacing w:before="0" w:after="283"/>
              <w:jc w:val="left"/>
              <w:rPr/>
            </w:pPr>
            <w:r>
              <w:rPr/>
              <w:t> </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8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314</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left"/>
              <w:rPr/>
            </w:pPr>
            <w:r>
              <w:rPr/>
              <w:t> </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8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883</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9" w:after="283"/>
        <w:jc w:val="center"/>
        <w:rPr>
          <w:rFonts w:ascii="Times New Roman" w:hAnsi="Times New Roman"/>
          <w:sz w:val="20"/>
        </w:rPr>
      </w:pPr>
      <w:r>
        <w:rPr>
          <w:rFonts w:ascii="Arial" w:hAnsi="Arial"/>
          <w:b w:val="false"/>
          <w:i/>
          <w:color w:val="000000"/>
          <w:sz w:val="16"/>
        </w:rPr>
        <w:t>The accompanying notes are an integral part of these unaudited condensed consolidated financial statements</w:t>
      </w:r>
      <w:r>
        <w:rPr>
          <w:rFonts w:ascii="Arial" w:hAnsi="Arial"/>
          <w:b w:val="false"/>
          <w:i/>
          <w:color w:val="000000"/>
          <w:sz w:val="20"/>
        </w:rPr>
        <w:t>.</w:t>
      </w:r>
    </w:p>
    <w:p>
      <w:pPr>
        <w:pStyle w:val="TextBody"/>
        <w:bidi w:val="0"/>
        <w:jc w:val="center"/>
        <w:rPr/>
      </w:pPr>
      <w:r>
        <w:rPr/>
        <w:t> </w:t>
      </w:r>
    </w:p>
    <w:p>
      <w:pPr>
        <w:pStyle w:val="TextBody"/>
        <w:bidi w:val="0"/>
        <w:jc w:val="center"/>
        <w:rPr>
          <w:rFonts w:ascii="Arial" w:hAnsi="Arial"/>
          <w:b w:val="false"/>
          <w:color w:val="000000"/>
          <w:sz w:val="20"/>
        </w:rPr>
      </w:pPr>
      <w:r>
        <w:rPr>
          <w:rFonts w:ascii="Arial" w:hAnsi="Arial"/>
          <w:b w:val="false"/>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Arial" w:hAnsi="Arial"/>
          <w:b/>
          <w:color w:val="000000"/>
          <w:sz w:val="20"/>
        </w:rPr>
      </w:pPr>
      <w:bookmarkStart w:id="9" w:name="note_1_summary_of_significant"/>
      <w:bookmarkEnd w:id="9"/>
      <w:r>
        <w:rPr>
          <w:rFonts w:ascii="Arial" w:hAnsi="Arial"/>
          <w:b/>
          <w:color w:val="000000"/>
          <w:sz w:val="20"/>
        </w:rPr>
        <w:t>NOTE 1 –SUMMARY OF SIGNIFICANT ACCOUNTING POLICIES</w:t>
      </w:r>
    </w:p>
    <w:p>
      <w:pPr>
        <w:pStyle w:val="TextBody"/>
        <w:bidi w:val="0"/>
        <w:spacing w:before="240" w:after="283"/>
        <w:jc w:val="both"/>
        <w:rPr>
          <w:rFonts w:ascii="Arial" w:hAnsi="Arial"/>
          <w:b/>
          <w:color w:val="000000"/>
          <w:sz w:val="20"/>
        </w:rPr>
      </w:pPr>
      <w:r>
        <w:rPr>
          <w:rFonts w:ascii="Arial" w:hAnsi="Arial"/>
          <w:b/>
          <w:color w:val="000000"/>
          <w:sz w:val="20"/>
        </w:rPr>
        <w:t>Organization and Nature of Operations</w:t>
      </w:r>
    </w:p>
    <w:p>
      <w:pPr>
        <w:pStyle w:val="TextBody"/>
        <w:bidi w:val="0"/>
        <w:jc w:val="both"/>
        <w:rPr>
          <w:rFonts w:ascii="Times New Roman" w:hAnsi="Times New Roman"/>
          <w:sz w:val="20"/>
        </w:rPr>
      </w:pPr>
      <w:r>
        <w:rPr>
          <w:rFonts w:ascii="Arial" w:hAnsi="Arial"/>
          <w:b w:val="false"/>
          <w:color w:val="000000"/>
          <w:sz w:val="20"/>
        </w:rPr>
        <w:t>Drilling Tools International Corporation, a Delaware corporation ("DTIC" or the "Company") manufactures, rents, inspects, and refurbishes downhole drilling tools primarily to companies in the oil and natural gas industry for bottom hole assemblies used in onshore and offshore horizontal and directional drilling.</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w:hAnsi="Arial"/>
          <w:b w:val="false"/>
          <w:color w:val="000000"/>
          <w:sz w:val="20"/>
        </w:rPr>
      </w:pPr>
      <w:r>
        <w:rPr>
          <w:rFonts w:ascii="Arial" w:hAnsi="Arial"/>
          <w:b w:val="false"/>
          <w:color w:val="000000"/>
          <w:sz w:val="20"/>
        </w:rPr>
        <w:t>On June 20, 2023 (the "Closing Date"), a merger transaction between Drilling Tools International Holdings, Inc. ("DTIH"), ROC Energy Acquisition Corp ("ROC"), and ROC Merger Sub, Inc., a directly, wholly owned subsidiary of ROC ("Merger Sub"), was completed (the "Merger", see Note 2) pursuant to the initial merger agreement dated February 13, 2023 and subsequent amendment to the merger agreement dated June 5, 2023 collectively, (the "Merger Agreement"). In connection with the closing of the Merger, ROC changed its name to Drilling Tools International Corporation. The common stock of DTIC ("DTIC Common Stock" or the "Company's Common Stock") commenced trading on the Nasdaq Stock Market LLC ("Nasdaq") under the symbol "DTI" on June 21, 2023.</w:t>
      </w:r>
    </w:p>
    <w:p>
      <w:pPr>
        <w:pStyle w:val="TextBody"/>
        <w:bidi w:val="0"/>
        <w:jc w:val="both"/>
        <w:rPr/>
      </w:pPr>
      <w:r>
        <w:rPr/>
        <w:t> </w:t>
      </w:r>
    </w:p>
    <w:p>
      <w:pPr>
        <w:pStyle w:val="TextBody"/>
        <w:bidi w:val="0"/>
        <w:jc w:val="both"/>
        <w:rPr>
          <w:rFonts w:ascii="Arial" w:hAnsi="Arial"/>
          <w:b w:val="false"/>
          <w:color w:val="000000"/>
          <w:sz w:val="20"/>
        </w:rPr>
      </w:pPr>
      <w:r>
        <w:rPr>
          <w:rFonts w:ascii="Arial" w:hAnsi="Arial"/>
          <w:b w:val="false"/>
          <w:color w:val="000000"/>
          <w:sz w:val="20"/>
        </w:rPr>
        <w:t>The Company’s United States (“U.S.”) operations have locations in Texas, California, Louisiana, Oklahoma, Pennsylvania, North Dakota, New Mexico, Utah, and Wyoming. The Company’s international operations are located in Canada. Operations outside the U.S. are subject to risks inherent in operating under different legal systems and various political and economic environments. Among the risks are changes in existing tax laws and possible limitations on foreign investment. The Company does not engage in hedging activities to mitigate its exposure to fluctuations in foreign currency exchange rates.</w:t>
      </w:r>
    </w:p>
    <w:p>
      <w:pPr>
        <w:pStyle w:val="TextBody"/>
        <w:bidi w:val="0"/>
        <w:spacing w:before="240" w:after="283"/>
        <w:jc w:val="both"/>
        <w:rPr>
          <w:rFonts w:ascii="Arial" w:hAnsi="Arial"/>
          <w:b/>
          <w:color w:val="000000"/>
          <w:sz w:val="20"/>
        </w:rPr>
      </w:pPr>
      <w:r>
        <w:rPr>
          <w:rFonts w:ascii="Arial" w:hAnsi="Arial"/>
          <w:b/>
          <w:color w:val="000000"/>
          <w:sz w:val="20"/>
        </w:rPr>
        <w:t>Basis of Presentation</w:t>
      </w:r>
    </w:p>
    <w:p>
      <w:pPr>
        <w:pStyle w:val="TextBody"/>
        <w:bidi w:val="0"/>
        <w:jc w:val="both"/>
        <w:rPr>
          <w:rFonts w:ascii="Times New Roman" w:hAnsi="Times New Roman"/>
          <w:sz w:val="20"/>
        </w:rPr>
      </w:pPr>
      <w:r>
        <w:rPr>
          <w:rFonts w:ascii="Arial" w:hAnsi="Arial"/>
          <w:b w:val="false"/>
          <w:color w:val="000000"/>
          <w:sz w:val="20"/>
        </w:rPr>
        <w:t>The accompanying unaudited condensed consolidated financial statements have been prepared by the Company in accordance with accounting principles generally accepted in the United States of America (“U.S. GAAP”) as set forth by the Financial Accounting Standards Board ("FASB") and pursuant to the rules and regulations of the United States Securities and Exchange Commission (“SEC”). References to US GAAP issued by the FASB in these notes to the accompanying unaudited condensed consolidated financial statements are to the FASB Accounting Standards Codifications (“ASC”) and Accounting Standards Update (“ASUs”).</w:t>
      </w:r>
      <w:r>
        <w:rPr>
          <w:rFonts w:ascii="Times New Roman" w:hAnsi="Times New Roman"/>
          <w:color w:val="000000"/>
          <w:sz w:val="20"/>
        </w:rPr>
        <w:t xml:space="preserve"> </w:t>
      </w:r>
    </w:p>
    <w:p>
      <w:pPr>
        <w:pStyle w:val="TextBody"/>
        <w:bidi w:val="0"/>
        <w:jc w:val="both"/>
        <w:rPr/>
      </w:pPr>
      <w:r>
        <w:rPr/>
        <w:t> </w:t>
      </w:r>
    </w:p>
    <w:p>
      <w:pPr>
        <w:pStyle w:val="TextBody"/>
        <w:bidi w:val="0"/>
        <w:jc w:val="left"/>
        <w:rPr>
          <w:rFonts w:ascii="Arial" w:hAnsi="Arial"/>
          <w:b w:val="false"/>
          <w:color w:val="000000"/>
          <w:sz w:val="20"/>
        </w:rPr>
      </w:pPr>
      <w:r>
        <w:rPr>
          <w:rFonts w:ascii="Arial" w:hAnsi="Arial"/>
          <w:b w:val="false"/>
          <w:color w:val="000000"/>
          <w:sz w:val="20"/>
        </w:rPr>
        <w:t>Certain items included in the comparative financial statements for the prior period have been reclassified to conform to the current period presentation.</w:t>
      </w:r>
    </w:p>
    <w:p>
      <w:pPr>
        <w:pStyle w:val="TextBody"/>
        <w:bidi w:val="0"/>
        <w:spacing w:before="240" w:after="283"/>
        <w:jc w:val="both"/>
        <w:rPr>
          <w:rFonts w:ascii="Arial" w:hAnsi="Arial"/>
          <w:b/>
          <w:color w:val="000000"/>
          <w:sz w:val="20"/>
        </w:rPr>
      </w:pPr>
      <w:r>
        <w:rPr>
          <w:rFonts w:ascii="Arial" w:hAnsi="Arial"/>
          <w:b/>
          <w:color w:val="000000"/>
          <w:sz w:val="20"/>
        </w:rPr>
        <w:t>Unaudited Interim Financial Information</w:t>
      </w:r>
    </w:p>
    <w:p>
      <w:pPr>
        <w:pStyle w:val="TextBody"/>
        <w:bidi w:val="0"/>
        <w:jc w:val="both"/>
        <w:rPr>
          <w:rFonts w:ascii="Arial" w:hAnsi="Arial"/>
          <w:b w:val="false"/>
          <w:color w:val="000000"/>
          <w:sz w:val="20"/>
        </w:rPr>
      </w:pPr>
      <w:r>
        <w:rPr>
          <w:rFonts w:ascii="Arial" w:hAnsi="Arial"/>
          <w:b w:val="false"/>
          <w:color w:val="000000"/>
          <w:sz w:val="20"/>
        </w:rPr>
        <w:t>The accompanying interim unaudited condensed consolidated financial statements included in this quarterly report have been prepared in accordance with U.S. GAAP and, in the opinion of the Company, contain all adjustments, consisting of only normal recurring adjustments, necessary for a fair statement of its financial position as of September 30, 2023, and its results of operations for the three and nine months ended September 30, 2023 and 2022, and cash flows for the nine months ended September 30, 2023 and 2022. The condensed consolidated balance sheet at December 31, 2022, was derived from the audited annual financial statements but does not contain all of the footnote disclosures from the annual financial statements.</w:t>
      </w:r>
    </w:p>
    <w:p>
      <w:pPr>
        <w:pStyle w:val="TextBody"/>
        <w:bidi w:val="0"/>
        <w:spacing w:before="240" w:after="283"/>
        <w:jc w:val="both"/>
        <w:rPr>
          <w:rFonts w:ascii="Times New Roman" w:hAnsi="Times New Roman"/>
          <w:sz w:val="20"/>
        </w:rPr>
      </w:pPr>
      <w:r>
        <w:rPr>
          <w:rFonts w:ascii="Arial" w:hAnsi="Arial"/>
          <w:b/>
          <w:color w:val="000000"/>
          <w:sz w:val="20"/>
        </w:rPr>
        <w:t>COVID-19 Related Credits and Relief</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Arial" w:hAnsi="Arial"/>
          <w:b w:val="false"/>
          <w:color w:val="000000"/>
          <w:sz w:val="20"/>
        </w:rPr>
        <w:t>As a response to the COVID-19 outbreak, the U.S. government enacted the Coronavirus Aid, Relief, and Economic Security Act (“CARES Act”) and provided an Employee Retention Credit (“ERC”) which is a refundable tax credit against certain employment taxes equal to 50%</w:t>
      </w:r>
      <w:r>
        <w:rPr>
          <w:rFonts w:ascii="Times New Roman" w:hAnsi="Times New Roman"/>
          <w:color w:val="000000"/>
          <w:sz w:val="20"/>
        </w:rPr>
        <w:t xml:space="preserve"> </w:t>
      </w:r>
      <w:r>
        <w:rPr>
          <w:rFonts w:ascii="Arial" w:hAnsi="Arial"/>
          <w:b w:val="false"/>
          <w:color w:val="000000"/>
          <w:sz w:val="20"/>
        </w:rPr>
        <w:t>of qualified wages paid, up to $10</w:t>
      </w:r>
      <w:r>
        <w:rPr>
          <w:rFonts w:ascii="Times New Roman" w:hAnsi="Times New Roman"/>
          <w:color w:val="000000"/>
          <w:sz w:val="20"/>
        </w:rPr>
        <w:t xml:space="preserve"> </w:t>
      </w:r>
      <w:r>
        <w:rPr>
          <w:rFonts w:ascii="Arial" w:hAnsi="Arial"/>
          <w:b w:val="false"/>
          <w:color w:val="000000"/>
          <w:sz w:val="20"/>
        </w:rPr>
        <w:t>thousand</w:t>
      </w:r>
      <w:r>
        <w:rPr>
          <w:rFonts w:ascii="Times New Roman" w:hAnsi="Times New Roman"/>
          <w:color w:val="000000"/>
          <w:sz w:val="20"/>
        </w:rPr>
        <w:t xml:space="preserve"> </w:t>
      </w:r>
      <w:r>
        <w:rPr>
          <w:rFonts w:ascii="Arial" w:hAnsi="Arial"/>
          <w:b w:val="false"/>
          <w:color w:val="000000"/>
          <w:sz w:val="20"/>
        </w:rPr>
        <w:t>per employee annually for wages paid. Additional relief provisions were passed by the United States government, which extended and expanded the qualified wage caps on these credits to 70%</w:t>
      </w:r>
      <w:r>
        <w:rPr>
          <w:rFonts w:ascii="Times New Roman" w:hAnsi="Times New Roman"/>
          <w:color w:val="000000"/>
          <w:sz w:val="20"/>
        </w:rPr>
        <w:t xml:space="preserve"> </w:t>
      </w:r>
      <w:r>
        <w:rPr>
          <w:rFonts w:ascii="Arial" w:hAnsi="Arial"/>
          <w:b w:val="false"/>
          <w:color w:val="000000"/>
          <w:sz w:val="20"/>
        </w:rPr>
        <w:t>of qualified wages paid, up to $10</w:t>
      </w:r>
      <w:r>
        <w:rPr>
          <w:rFonts w:ascii="Times New Roman" w:hAnsi="Times New Roman"/>
          <w:color w:val="000000"/>
          <w:sz w:val="20"/>
        </w:rPr>
        <w:t xml:space="preserve"> </w:t>
      </w:r>
      <w:r>
        <w:rPr>
          <w:rFonts w:ascii="Arial" w:hAnsi="Arial"/>
          <w:b w:val="false"/>
          <w:color w:val="000000"/>
          <w:sz w:val="20"/>
        </w:rPr>
        <w:t>thousand</w:t>
      </w:r>
      <w:r>
        <w:rPr>
          <w:rFonts w:ascii="Times New Roman" w:hAnsi="Times New Roman"/>
          <w:color w:val="000000"/>
          <w:sz w:val="20"/>
        </w:rPr>
        <w:t xml:space="preserve"> </w:t>
      </w:r>
      <w:r>
        <w:rPr>
          <w:rFonts w:ascii="Arial" w:hAnsi="Arial"/>
          <w:b w:val="false"/>
          <w:color w:val="000000"/>
          <w:sz w:val="20"/>
        </w:rPr>
        <w:t>per employee per quarter, through September 30, 2021. In November 2021, the Infrastructure Investment and Jobs Act was signed into law and ended the employee retention credit early, making wages paid after December 31, 2021, ineligible for the credit.</w:t>
      </w:r>
    </w:p>
    <w:p>
      <w:pPr>
        <w:pStyle w:val="TextBody"/>
        <w:bidi w:val="0"/>
        <w:jc w:val="both"/>
        <w:rPr/>
      </w:pPr>
      <w:r>
        <w:rPr/>
        <w:t> </w:t>
      </w:r>
    </w:p>
    <w:p>
      <w:pPr>
        <w:pStyle w:val="TextBody"/>
        <w:bidi w:val="0"/>
        <w:jc w:val="both"/>
        <w:rPr>
          <w:rFonts w:ascii="Times New Roman" w:hAnsi="Times New Roman"/>
          <w:sz w:val="20"/>
        </w:rPr>
      </w:pPr>
      <w:r>
        <w:rPr>
          <w:rFonts w:ascii="Arial" w:hAnsi="Arial"/>
          <w:b w:val="false"/>
          <w:color w:val="000000"/>
          <w:sz w:val="20"/>
        </w:rPr>
        <w:t>ERC benefits of nil</w:t>
      </w:r>
      <w:r>
        <w:rPr>
          <w:rFonts w:ascii="Times New Roman" w:hAnsi="Times New Roman"/>
          <w:color w:val="000000"/>
          <w:sz w:val="20"/>
        </w:rPr>
        <w:t xml:space="preserve"> </w:t>
      </w:r>
      <w:r>
        <w:rPr>
          <w:rFonts w:ascii="Arial" w:hAnsi="Arial"/>
          <w:b w:val="false"/>
          <w:color w:val="000000"/>
          <w:sz w:val="20"/>
        </w:rPr>
        <w:t>and $4.3</w:t>
      </w:r>
      <w:r>
        <w:rPr>
          <w:rFonts w:ascii="Times New Roman" w:hAnsi="Times New Roman"/>
          <w:color w:val="000000"/>
          <w:sz w:val="20"/>
        </w:rPr>
        <w:t xml:space="preserve"> </w:t>
      </w:r>
      <w:r>
        <w:rPr>
          <w:rFonts w:ascii="Arial" w:hAnsi="Arial"/>
          <w:b w:val="false"/>
          <w:color w:val="000000"/>
          <w:sz w:val="20"/>
        </w:rPr>
        <w:t>million</w:t>
      </w:r>
      <w:r>
        <w:rPr>
          <w:rFonts w:ascii="Times New Roman" w:hAnsi="Times New Roman"/>
          <w:color w:val="000000"/>
          <w:sz w:val="20"/>
        </w:rPr>
        <w:t xml:space="preserve"> </w:t>
      </w:r>
      <w:r>
        <w:rPr>
          <w:rFonts w:ascii="Arial" w:hAnsi="Arial"/>
          <w:b w:val="false"/>
          <w:color w:val="000000"/>
          <w:sz w:val="20"/>
        </w:rPr>
        <w:t>were included in selling, general, and administrative expense as an offset to the related compensation expenses in the unaudited condensed consolidated statements of income and comprehensive income for</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b w:val="false"/>
          <w:color w:val="000000"/>
          <w:sz w:val="20"/>
        </w:rPr>
      </w:pPr>
      <w:r>
        <w:rPr>
          <w:rFonts w:ascii="Arial" w:hAnsi="Arial"/>
          <w:b w:val="false"/>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Arial" w:hAnsi="Arial"/>
          <w:b w:val="false"/>
          <w:color w:val="000000"/>
          <w:sz w:val="20"/>
        </w:rPr>
        <w:t>the three and nine months ended September 30, 2022, respectively. ERC benefits receivable of nil</w:t>
      </w:r>
      <w:r>
        <w:rPr>
          <w:rFonts w:ascii="Times New Roman" w:hAnsi="Times New Roman"/>
          <w:color w:val="000000"/>
          <w:sz w:val="20"/>
        </w:rPr>
        <w:t xml:space="preserve"> </w:t>
      </w:r>
      <w:r>
        <w:rPr>
          <w:rFonts w:ascii="Arial" w:hAnsi="Arial"/>
          <w:b w:val="false"/>
          <w:color w:val="000000"/>
          <w:sz w:val="20"/>
        </w:rPr>
        <w:t>and $2.1</w:t>
      </w:r>
      <w:r>
        <w:rPr>
          <w:rFonts w:ascii="Times New Roman" w:hAnsi="Times New Roman"/>
          <w:color w:val="000000"/>
          <w:sz w:val="20"/>
        </w:rPr>
        <w:t xml:space="preserve"> </w:t>
      </w:r>
      <w:r>
        <w:rPr>
          <w:rFonts w:ascii="Arial" w:hAnsi="Arial"/>
          <w:b w:val="false"/>
          <w:color w:val="000000"/>
          <w:sz w:val="20"/>
        </w:rPr>
        <w:t>million</w:t>
      </w:r>
      <w:r>
        <w:rPr>
          <w:rFonts w:ascii="Times New Roman" w:hAnsi="Times New Roman"/>
          <w:color w:val="000000"/>
          <w:sz w:val="20"/>
        </w:rPr>
        <w:t xml:space="preserve"> </w:t>
      </w:r>
      <w:r>
        <w:rPr>
          <w:rFonts w:ascii="Arial" w:hAnsi="Arial"/>
          <w:b w:val="false"/>
          <w:color w:val="000000"/>
          <w:sz w:val="20"/>
        </w:rPr>
        <w:t>were included in prepaid expenses and other current assets in the accompanying unaudited condensed consolidated balance sheet as of September 30, 2023 and December 31, 2022, respectively. The Company received all ERC benefits receivables in January 2023, resulting in the ERC benefits receivable balance to be nil</w:t>
      </w:r>
      <w:r>
        <w:rPr>
          <w:rFonts w:ascii="Times New Roman" w:hAnsi="Times New Roman"/>
          <w:color w:val="000000"/>
          <w:sz w:val="20"/>
        </w:rPr>
        <w:t xml:space="preserve"> </w:t>
      </w:r>
      <w:r>
        <w:rPr>
          <w:rFonts w:ascii="Arial" w:hAnsi="Arial"/>
          <w:b w:val="false"/>
          <w:color w:val="000000"/>
          <w:sz w:val="20"/>
        </w:rPr>
        <w:t>as of September 30, 2023.</w:t>
      </w:r>
    </w:p>
    <w:p>
      <w:pPr>
        <w:pStyle w:val="TextBody"/>
        <w:bidi w:val="0"/>
        <w:jc w:val="both"/>
        <w:rPr/>
      </w:pPr>
      <w:r>
        <w:rPr/>
        <w:t> </w:t>
      </w:r>
    </w:p>
    <w:p>
      <w:pPr>
        <w:pStyle w:val="TextBody"/>
        <w:bidi w:val="0"/>
        <w:jc w:val="both"/>
        <w:rPr>
          <w:rFonts w:ascii="Arial" w:hAnsi="Arial"/>
          <w:b w:val="false"/>
          <w:color w:val="000000"/>
          <w:sz w:val="20"/>
        </w:rPr>
      </w:pPr>
      <w:r>
        <w:rPr>
          <w:rFonts w:ascii="Arial" w:hAnsi="Arial"/>
          <w:b w:val="false"/>
          <w:color w:val="000000"/>
          <w:sz w:val="20"/>
        </w:rPr>
        <w:t>Laws and regulations concerning government programs, including the ERC, are complex and subject to varying interpretations. Claims made under these programs may also be subject to retroactive audit and review. While the Company does not believe there is a basis for estimation of an audit or recapture risk at this time, there can be no assurance that regulatory authorities will not challenge the Company’s claim to the ERC in a future period.</w:t>
      </w:r>
    </w:p>
    <w:p>
      <w:pPr>
        <w:pStyle w:val="TextBody"/>
        <w:bidi w:val="0"/>
        <w:spacing w:before="240" w:after="283"/>
        <w:jc w:val="both"/>
        <w:rPr>
          <w:rFonts w:ascii="Arial" w:hAnsi="Arial"/>
          <w:b/>
          <w:color w:val="000000"/>
          <w:sz w:val="20"/>
        </w:rPr>
      </w:pPr>
      <w:r>
        <w:rPr>
          <w:rFonts w:ascii="Arial" w:hAnsi="Arial"/>
          <w:b/>
          <w:color w:val="000000"/>
          <w:sz w:val="20"/>
        </w:rPr>
        <w:t>Emerging Growth Company</w:t>
      </w:r>
    </w:p>
    <w:p>
      <w:pPr>
        <w:pStyle w:val="TextBody"/>
        <w:bidi w:val="0"/>
        <w:jc w:val="both"/>
        <w:rPr>
          <w:rFonts w:ascii="Arial" w:hAnsi="Arial"/>
          <w:b w:val="false"/>
          <w:color w:val="000000"/>
          <w:sz w:val="20"/>
        </w:rPr>
      </w:pPr>
      <w:r>
        <w:rPr>
          <w:rFonts w:ascii="Arial" w:hAnsi="Arial"/>
          <w:b w:val="false"/>
          <w:color w:val="000000"/>
          <w:sz w:val="20"/>
        </w:rPr>
        <w:t>Section 102(b)(1) of the Jumpstart Our Business Startups Act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Securities Exchange Act of 1934, as amended)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until such time the Company is no longer considered to be an emerging growth company. At times, the Company may elect to early adopt a new or revised standard. As such, the Company’s financial statements may not be comparable to companies that comply with public company effective dates.</w:t>
      </w:r>
    </w:p>
    <w:p>
      <w:pPr>
        <w:pStyle w:val="TextBody"/>
        <w:bidi w:val="0"/>
        <w:spacing w:before="240" w:after="283"/>
        <w:jc w:val="both"/>
        <w:rPr>
          <w:rFonts w:ascii="Arial" w:hAnsi="Arial"/>
          <w:b/>
          <w:color w:val="000000"/>
          <w:sz w:val="20"/>
        </w:rPr>
      </w:pPr>
      <w:r>
        <w:rPr>
          <w:rFonts w:ascii="Arial" w:hAnsi="Arial"/>
          <w:b/>
          <w:color w:val="000000"/>
          <w:sz w:val="20"/>
        </w:rPr>
        <w:t>Use of Estimates</w:t>
      </w:r>
    </w:p>
    <w:p>
      <w:pPr>
        <w:pStyle w:val="TextBody"/>
        <w:bidi w:val="0"/>
        <w:jc w:val="both"/>
        <w:rPr>
          <w:rFonts w:ascii="Arial" w:hAnsi="Arial"/>
          <w:b w:val="false"/>
          <w:color w:val="000000"/>
          <w:sz w:val="20"/>
        </w:rPr>
      </w:pPr>
      <w:r>
        <w:rPr>
          <w:rFonts w:ascii="Arial" w:hAnsi="Arial"/>
          <w:b w:val="false"/>
          <w:color w:val="000000"/>
          <w:sz w:val="20"/>
        </w:rPr>
        <w:t>The preparation of the unaudited condensed consolidated financial statements in conformity with U.S. GAAP requires management to make estimates and assumptions that affect the reported amounts of assets and liabilities, revenue and expenses and the disclosure of contingent assets and liabilities in the Company’s unaudited condensed consolidated financial statements and accompanying notes as of the date of the unaudited condensed consolidated financial statements.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expenses that are not readily apparent from other sources. Actual results may differ materially and adversely from these estimates. In the current macroeconomic and business environment affected by the Russia-Ukraine and Israel-Hamas conflicts and inflationary pressures, these estimates require increased judgment and carry a higher degree of variability and volatility. As events continue to evolve and additional information becomes available, these estimates may change materially in future periods.</w:t>
      </w:r>
    </w:p>
    <w:p>
      <w:pPr>
        <w:pStyle w:val="TextBody"/>
        <w:bidi w:val="0"/>
        <w:spacing w:before="240" w:after="283"/>
        <w:jc w:val="both"/>
        <w:rPr>
          <w:rFonts w:ascii="Arial" w:hAnsi="Arial"/>
          <w:b/>
          <w:color w:val="000000"/>
          <w:sz w:val="20"/>
        </w:rPr>
      </w:pPr>
      <w:r>
        <w:rPr>
          <w:rFonts w:ascii="Arial" w:hAnsi="Arial"/>
          <w:b/>
          <w:color w:val="000000"/>
          <w:sz w:val="20"/>
        </w:rPr>
        <w:t>Principles of Consolidation</w:t>
      </w:r>
    </w:p>
    <w:p>
      <w:pPr>
        <w:pStyle w:val="TextBody"/>
        <w:bidi w:val="0"/>
        <w:jc w:val="both"/>
        <w:rPr>
          <w:rFonts w:ascii="Times New Roman" w:hAnsi="Times New Roman"/>
          <w:sz w:val="20"/>
        </w:rPr>
      </w:pPr>
      <w:r>
        <w:rPr>
          <w:rFonts w:ascii="Arial" w:hAnsi="Arial"/>
          <w:b w:val="false"/>
          <w:color w:val="000000"/>
          <w:sz w:val="20"/>
        </w:rPr>
        <w:t>The accompanying unaudited condensed consolidated financial statements include the accounts of the Company and its wholly-owned subsidiaries. All intercompany accounts and transactions have been eliminated on consolidation.</w:t>
      </w:r>
      <w:r>
        <w:rPr>
          <w:rFonts w:ascii="Times New Roman" w:hAnsi="Times New Roman"/>
          <w:color w:val="000000"/>
          <w:sz w:val="20"/>
        </w:rPr>
        <w:t xml:space="preserve"> </w:t>
      </w:r>
    </w:p>
    <w:p>
      <w:pPr>
        <w:pStyle w:val="TextBody"/>
        <w:bidi w:val="0"/>
        <w:spacing w:before="240" w:after="283"/>
        <w:jc w:val="both"/>
        <w:rPr>
          <w:rFonts w:ascii="Arial" w:hAnsi="Arial"/>
          <w:b/>
          <w:color w:val="000000"/>
          <w:sz w:val="20"/>
        </w:rPr>
      </w:pPr>
      <w:r>
        <w:rPr>
          <w:rFonts w:ascii="Arial" w:hAnsi="Arial"/>
          <w:b/>
          <w:color w:val="000000"/>
          <w:sz w:val="20"/>
        </w:rPr>
        <w:t>Foreign Currency Translation and Transactions</w:t>
      </w:r>
    </w:p>
    <w:p>
      <w:pPr>
        <w:pStyle w:val="TextBody"/>
        <w:bidi w:val="0"/>
        <w:jc w:val="both"/>
        <w:rPr>
          <w:rFonts w:ascii="Times New Roman" w:hAnsi="Times New Roman"/>
          <w:sz w:val="20"/>
        </w:rPr>
      </w:pPr>
      <w:r>
        <w:rPr>
          <w:rFonts w:ascii="Arial" w:hAnsi="Arial"/>
          <w:b w:val="false"/>
          <w:color w:val="000000"/>
          <w:sz w:val="20"/>
        </w:rPr>
        <w:t>The Company has determined that the functional and reporting currency for its operations across the globe is the functional currency of the Company’s international subsidiaries. Accordingly, all foreign balance sheet accounts have been translated into United States dollars using the rate of exchange at the respective balance sheet date. Components of the unaudited condensed consolidated statements of income and comprehensive income have been translated at the average rates for the year of the reporting period. Translation gains and losses are recorded in accumulated other comprehensive loss as a component of stockholders’ equity. Gains or losses arising from currency exchange rate fluctuations on transactions denominated in a currency other than the local functional currency are included in the unaudited condensed consolidated statements of income and comprehensive income. For the three and nine months ended September 30, 2023, the aggregate foreign currency translation included in the unaudited condensed consolidated statements of income and comprehensive income totaled approximately $0.1</w:t>
      </w:r>
      <w:r>
        <w:rPr>
          <w:rFonts w:ascii="Times New Roman" w:hAnsi="Times New Roman"/>
          <w:color w:val="000000"/>
          <w:sz w:val="20"/>
        </w:rPr>
        <w:t xml:space="preserve"> </w:t>
      </w:r>
      <w:r>
        <w:rPr>
          <w:rFonts w:ascii="Arial" w:hAnsi="Arial"/>
          <w:b w:val="false"/>
          <w:color w:val="000000"/>
          <w:sz w:val="20"/>
        </w:rPr>
        <w:t>million</w:t>
      </w:r>
      <w:r>
        <w:rPr>
          <w:rFonts w:ascii="Times New Roman" w:hAnsi="Times New Roman"/>
          <w:color w:val="000000"/>
          <w:sz w:val="20"/>
        </w:rPr>
        <w:t xml:space="preserve"> </w:t>
      </w:r>
      <w:r>
        <w:rPr>
          <w:rFonts w:ascii="Arial" w:hAnsi="Arial"/>
          <w:b w:val="false"/>
          <w:color w:val="000000"/>
          <w:sz w:val="20"/>
        </w:rPr>
        <w:t>in gains and $0.1</w:t>
      </w:r>
      <w:r>
        <w:rPr>
          <w:rFonts w:ascii="Times New Roman" w:hAnsi="Times New Roman"/>
          <w:color w:val="000000"/>
          <w:sz w:val="20"/>
        </w:rPr>
        <w:t xml:space="preserve"> </w:t>
      </w:r>
      <w:r>
        <w:rPr>
          <w:rFonts w:ascii="Arial" w:hAnsi="Arial"/>
          <w:b w:val="false"/>
          <w:color w:val="000000"/>
          <w:sz w:val="20"/>
        </w:rPr>
        <w:t>million</w:t>
      </w:r>
      <w:r>
        <w:rPr>
          <w:rFonts w:ascii="Times New Roman" w:hAnsi="Times New Roman"/>
          <w:color w:val="000000"/>
          <w:sz w:val="20"/>
        </w:rPr>
        <w:t xml:space="preserve"> </w:t>
      </w:r>
      <w:r>
        <w:rPr>
          <w:rFonts w:ascii="Arial" w:hAnsi="Arial"/>
          <w:b w:val="false"/>
          <w:color w:val="000000"/>
          <w:sz w:val="20"/>
        </w:rPr>
        <w:t>in losses, respectively. For the three and nine months</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b w:val="false"/>
          <w:color w:val="000000"/>
          <w:sz w:val="20"/>
        </w:rPr>
      </w:pPr>
      <w:r>
        <w:rPr>
          <w:rFonts w:ascii="Arial" w:hAnsi="Arial"/>
          <w:b w:val="false"/>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Arial" w:hAnsi="Arial"/>
          <w:b w:val="false"/>
          <w:color w:val="000000"/>
          <w:sz w:val="20"/>
        </w:rPr>
        <w:t>ended September 30, 2022, the aggregate foreign currency translation included in the unaudited condensed consolidated statements of income and comprehensive income totaled $24</w:t>
      </w:r>
      <w:r>
        <w:rPr>
          <w:rFonts w:ascii="Times New Roman" w:hAnsi="Times New Roman"/>
          <w:color w:val="000000"/>
          <w:sz w:val="20"/>
        </w:rPr>
        <w:t xml:space="preserve"> </w:t>
      </w:r>
      <w:r>
        <w:rPr>
          <w:rFonts w:ascii="Arial" w:hAnsi="Arial"/>
          <w:b w:val="false"/>
          <w:color w:val="000000"/>
          <w:sz w:val="20"/>
        </w:rPr>
        <w:t>thousand</w:t>
      </w:r>
      <w:r>
        <w:rPr>
          <w:rFonts w:ascii="Times New Roman" w:hAnsi="Times New Roman"/>
          <w:color w:val="000000"/>
          <w:sz w:val="20"/>
        </w:rPr>
        <w:t xml:space="preserve"> </w:t>
      </w:r>
      <w:r>
        <w:rPr>
          <w:rFonts w:ascii="Arial" w:hAnsi="Arial"/>
          <w:b w:val="false"/>
          <w:color w:val="000000"/>
          <w:sz w:val="20"/>
        </w:rPr>
        <w:t>and $0.1</w:t>
      </w:r>
      <w:r>
        <w:rPr>
          <w:rFonts w:ascii="Times New Roman" w:hAnsi="Times New Roman"/>
          <w:color w:val="000000"/>
          <w:sz w:val="20"/>
        </w:rPr>
        <w:t xml:space="preserve"> </w:t>
      </w:r>
      <w:r>
        <w:rPr>
          <w:rFonts w:ascii="Arial" w:hAnsi="Arial"/>
          <w:b w:val="false"/>
          <w:color w:val="000000"/>
          <w:sz w:val="20"/>
        </w:rPr>
        <w:t>million</w:t>
      </w:r>
      <w:r>
        <w:rPr>
          <w:rFonts w:ascii="Times New Roman" w:hAnsi="Times New Roman"/>
          <w:color w:val="000000"/>
          <w:sz w:val="20"/>
        </w:rPr>
        <w:t xml:space="preserve"> </w:t>
      </w:r>
      <w:r>
        <w:rPr>
          <w:rFonts w:ascii="Arial" w:hAnsi="Arial"/>
          <w:b w:val="false"/>
          <w:color w:val="000000"/>
          <w:sz w:val="20"/>
        </w:rPr>
        <w:t>in losses, respectively.</w:t>
      </w:r>
    </w:p>
    <w:p>
      <w:pPr>
        <w:pStyle w:val="TextBody"/>
        <w:bidi w:val="0"/>
        <w:spacing w:before="240" w:after="283"/>
        <w:jc w:val="both"/>
        <w:rPr>
          <w:rFonts w:ascii="Arial" w:hAnsi="Arial"/>
          <w:b/>
          <w:color w:val="000000"/>
          <w:sz w:val="20"/>
        </w:rPr>
      </w:pPr>
      <w:r>
        <w:rPr>
          <w:rFonts w:ascii="Arial" w:hAnsi="Arial"/>
          <w:b/>
          <w:color w:val="000000"/>
          <w:sz w:val="20"/>
        </w:rPr>
        <w:t>Revenue Recognition</w:t>
      </w:r>
    </w:p>
    <w:p>
      <w:pPr>
        <w:pStyle w:val="TextBody"/>
        <w:bidi w:val="0"/>
        <w:jc w:val="both"/>
        <w:rPr>
          <w:rFonts w:ascii="Times New Roman" w:hAnsi="Times New Roman"/>
          <w:sz w:val="20"/>
        </w:rPr>
      </w:pPr>
      <w:r>
        <w:rPr>
          <w:rFonts w:ascii="Arial" w:hAnsi="Arial"/>
          <w:b w:val="false"/>
          <w:color w:val="000000"/>
          <w:sz w:val="20"/>
        </w:rPr>
        <w:t>The Company recognizes revenue in accordance with Topic 842 (which addresses lease accounting) and Topic 606 (which addresses revenue from contracts with customers). The Company derives its revenue from two revenue types, tool rental services and product sales.</w:t>
      </w:r>
      <w:r>
        <w:rPr>
          <w:rFonts w:ascii="Times New Roman" w:hAnsi="Times New Roman"/>
          <w:color w:val="000000"/>
          <w:sz w:val="20"/>
        </w:rPr>
        <w:t xml:space="preserve"> </w:t>
      </w:r>
    </w:p>
    <w:p>
      <w:pPr>
        <w:pStyle w:val="TextBody"/>
        <w:bidi w:val="0"/>
        <w:spacing w:before="240" w:after="283"/>
        <w:jc w:val="both"/>
        <w:rPr>
          <w:rFonts w:ascii="Arial" w:hAnsi="Arial"/>
          <w:b w:val="false"/>
          <w:i/>
          <w:color w:val="000000"/>
          <w:sz w:val="20"/>
          <w:u w:val="single"/>
        </w:rPr>
      </w:pPr>
      <w:r>
        <w:rPr>
          <w:rFonts w:ascii="Arial" w:hAnsi="Arial"/>
          <w:b w:val="false"/>
          <w:i/>
          <w:color w:val="000000"/>
          <w:sz w:val="20"/>
          <w:u w:val="single"/>
        </w:rPr>
        <w:t>Tool Rental Services</w:t>
      </w:r>
    </w:p>
    <w:p>
      <w:pPr>
        <w:pStyle w:val="TextBody"/>
        <w:bidi w:val="0"/>
        <w:spacing w:before="240" w:after="283"/>
        <w:jc w:val="both"/>
        <w:rPr>
          <w:rFonts w:ascii="Times New Roman" w:hAnsi="Times New Roman"/>
          <w:sz w:val="20"/>
        </w:rPr>
      </w:pPr>
      <w:r>
        <w:rPr>
          <w:rFonts w:ascii="Arial" w:hAnsi="Arial"/>
          <w:b w:val="false"/>
          <w:color w:val="000000"/>
          <w:sz w:val="20"/>
        </w:rPr>
        <w:t>Tool rental services consist of rental services, inspection services, and repair services. Tool rental services are accounted for under Topic 842.</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Owned tool rentals represent the most significant revenue type and are governed by the Company’s standard rental contract. The Company accounts for such rentals as operating leases. The lease terms are included in the contracts, and the determination of whether the Company’s contracts contain leases generally does not require significant assumptions or judgments. The Company’s lease revenues do not include material amounts of variable payments. Owned tool rentals represent revenue from renting tools that the Company owns. The Company does not generally provide an option for the lessee to purchase the rented equipment at the end of the lease.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The Company recognizes revenues from renting tools on a straight-line basis. The Company’s rental contract periods are daily, monthly, per well, or based on footage. As part of this straight-line methodology, when the equipment is returned, the Company recognizes as incremental revenue the excess, if any, between the amount the customer is contractually required to pay, which is based on the rental contract period applicable to the actual number of days the drilling tool was out on rent, over the cumulative amount of revenue recognized to date. In any given accounting period, the Company will have customers return the drilling tool and be contractually required to pay the Company more than the cumulative amount of revenue recognized to date under the straight-line methodology.</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The Company records the amounts billed to customers in excess of recognizable revenue as deferred revenue on its unaudited condensed consolidated balance sheet.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As noted above, the Company is unsure of when the customer will return rented drilling tools. As such, the Company does not know how much the customer will owe the Company upon return of the tool and cannot provide a maturity analysis of future lease payments. The Company’s drilling tools are generally rented for short periods of time (significantly less than a year). Lessees do not provide residual value guarantees on rented equipment.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The Company expects to derive significant future benefits from its drilling tools following the end of the rental term. The Company’s rentals are generally short-term in nature, and its tools are typically rented for the majority of the time that the Company owns them.</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i/>
          <w:color w:val="000000"/>
          <w:sz w:val="20"/>
          <w:u w:val="single"/>
        </w:rPr>
        <w:t>Product Sales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Product sales consist of charges for rented tools that are damaged beyond repair, charges for lost-in-hole, and charges for lost-in-transit while in the care, custody or control of the Company’s customers, and other charges for made to order product sales. Product sales are accounted for under Topic 606.</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Revenue is recognized when control of promised goods or services is transferred to a customer in an amount that reflects the consideration to which the entity expects to be entitled in exchange for those goods or services. To determine revenue recognition for its arrangements with customers,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accounts for a contract when it has approval and commitment from both parties, the rights of the parties are identified, payment terms are identified, the contract has commercial substance, and collectability of consideration is probable. A performance obligation is a promise in a contract to transfer a distinct good or service to the customer and is the unit of account in the revenue standard. The transaction price is measured as consideration specified</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b w:val="false"/>
          <w:color w:val="000000"/>
          <w:sz w:val="20"/>
        </w:rPr>
      </w:pPr>
      <w:r>
        <w:rPr>
          <w:rFonts w:ascii="Arial" w:hAnsi="Arial"/>
          <w:b w:val="false"/>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val="false"/>
          <w:color w:val="000000"/>
          <w:sz w:val="20"/>
        </w:rPr>
        <w:t>in a contract with a customer and excludes any sales incentives and taxes or other amounts collected on behalf of third parties. As each of the Company’s contracts with customers contain a single performance obligation to provide a product sale, the Company does not have any performance obligations requiring allocation of transaction prices.</w:t>
      </w:r>
      <w:r>
        <w:rPr>
          <w:rFonts w:ascii="Times New Roman" w:hAnsi="Times New Roman"/>
          <w:color w:val="000000"/>
          <w:sz w:val="20"/>
        </w:rPr>
        <w:t xml:space="preserve"> </w:t>
      </w:r>
    </w:p>
    <w:p>
      <w:pPr>
        <w:pStyle w:val="TextBody"/>
        <w:bidi w:val="0"/>
        <w:spacing w:before="240" w:after="283"/>
        <w:jc w:val="both"/>
        <w:rPr>
          <w:rFonts w:ascii="Arial" w:hAnsi="Arial"/>
          <w:b w:val="false"/>
          <w:color w:val="000000"/>
          <w:sz w:val="20"/>
        </w:rPr>
      </w:pPr>
      <w:r>
        <w:rPr>
          <w:rFonts w:ascii="Arial" w:hAnsi="Arial"/>
          <w:b w:val="false"/>
          <w:color w:val="000000"/>
          <w:sz w:val="20"/>
        </w:rPr>
        <w:t>The performance obligation for made to order product sales is satisfied and revenue is recognized at a point in time when control of the asset transfers to the customer, which typically occurs upon delivery of the product or when the product is made available to the customer for pickup at the Company’s shipping dock. Additionally, pursuant to the contractual terms with the Company’s customers, the customer must notify the Company of, and purchase from the Company, any rented tools that are damaged beyond repair, lost-in-hole, or lost-in-transit while in the care, custody or control of the Company’s customers. Revenue is recognized for these products at a point in time upon the customer’s notification to the Company of the occurrence of one of these noted events.</w:t>
      </w:r>
    </w:p>
    <w:p>
      <w:pPr>
        <w:pStyle w:val="TextBody"/>
        <w:bidi w:val="0"/>
        <w:spacing w:before="240" w:after="283"/>
        <w:jc w:val="both"/>
        <w:rPr>
          <w:rFonts w:ascii="Arial" w:hAnsi="Arial"/>
          <w:b w:val="false"/>
          <w:color w:val="000000"/>
          <w:sz w:val="20"/>
        </w:rPr>
      </w:pPr>
      <w:r>
        <w:rPr>
          <w:rFonts w:ascii="Arial" w:hAnsi="Arial"/>
          <w:b w:val="false"/>
          <w:color w:val="000000"/>
          <w:sz w:val="20"/>
        </w:rPr>
        <w:t>The Company does not have any revenue expected to be recognized in the future related to remaining performance obligations or contracts with variable consideration related to undelivered performance obligations. There was no revenue recognized in the current period from performance obligations satisfied in previous periods.</w:t>
      </w:r>
    </w:p>
    <w:p>
      <w:pPr>
        <w:pStyle w:val="TextBody"/>
        <w:bidi w:val="0"/>
        <w:spacing w:before="240" w:after="283"/>
        <w:jc w:val="both"/>
        <w:rPr>
          <w:rFonts w:ascii="Arial" w:hAnsi="Arial"/>
          <w:b w:val="false"/>
          <w:i/>
          <w:color w:val="000000"/>
          <w:sz w:val="20"/>
          <w:u w:val="single"/>
        </w:rPr>
      </w:pPr>
      <w:r>
        <w:rPr>
          <w:rFonts w:ascii="Arial" w:hAnsi="Arial"/>
          <w:b w:val="false"/>
          <w:i/>
          <w:color w:val="000000"/>
          <w:sz w:val="20"/>
          <w:u w:val="single"/>
        </w:rPr>
        <w:t>Revenue per geographic location</w:t>
      </w:r>
    </w:p>
    <w:p>
      <w:pPr>
        <w:pStyle w:val="TextBody"/>
        <w:bidi w:val="0"/>
        <w:spacing w:before="240" w:after="283"/>
        <w:jc w:val="both"/>
        <w:rPr>
          <w:rFonts w:ascii="Times New Roman" w:hAnsi="Times New Roman"/>
          <w:sz w:val="20"/>
        </w:rPr>
      </w:pPr>
      <w:r>
        <w:rPr>
          <w:rFonts w:ascii="Arial" w:hAnsi="Arial"/>
          <w:b w:val="false"/>
          <w:color w:val="000000"/>
          <w:sz w:val="20"/>
        </w:rPr>
        <w:t>Revenue generated was concentrated within the United States. For the three and nine months ended September 30, 2023, the revenue generated within the United States was $34.9</w:t>
      </w:r>
      <w:r>
        <w:rPr>
          <w:rFonts w:ascii="Times New Roman" w:hAnsi="Times New Roman"/>
          <w:color w:val="000000"/>
          <w:sz w:val="20"/>
        </w:rPr>
        <w:t xml:space="preserve"> </w:t>
      </w:r>
      <w:r>
        <w:rPr>
          <w:rFonts w:ascii="Arial" w:hAnsi="Arial"/>
          <w:b w:val="false"/>
          <w:color w:val="000000"/>
          <w:sz w:val="20"/>
        </w:rPr>
        <w:t>million</w:t>
      </w:r>
      <w:r>
        <w:rPr>
          <w:rFonts w:ascii="Times New Roman" w:hAnsi="Times New Roman"/>
          <w:color w:val="000000"/>
          <w:sz w:val="20"/>
        </w:rPr>
        <w:t xml:space="preserve"> </w:t>
      </w:r>
      <w:r>
        <w:rPr>
          <w:rFonts w:ascii="Arial" w:hAnsi="Arial"/>
          <w:b w:val="false"/>
          <w:color w:val="000000"/>
          <w:sz w:val="20"/>
        </w:rPr>
        <w:t>and $106.6</w:t>
      </w:r>
      <w:r>
        <w:rPr>
          <w:rFonts w:ascii="Times New Roman" w:hAnsi="Times New Roman"/>
          <w:color w:val="000000"/>
          <w:sz w:val="20"/>
        </w:rPr>
        <w:t xml:space="preserve"> </w:t>
      </w:r>
      <w:r>
        <w:rPr>
          <w:rFonts w:ascii="Arial" w:hAnsi="Arial"/>
          <w:b w:val="false"/>
          <w:color w:val="000000"/>
          <w:sz w:val="20"/>
        </w:rPr>
        <w:t>million, respectively, or 92%</w:t>
      </w:r>
      <w:r>
        <w:rPr>
          <w:rFonts w:ascii="Times New Roman" w:hAnsi="Times New Roman"/>
          <w:color w:val="000000"/>
          <w:sz w:val="20"/>
        </w:rPr>
        <w:t xml:space="preserve"> </w:t>
      </w:r>
      <w:r>
        <w:rPr>
          <w:rFonts w:ascii="Arial" w:hAnsi="Arial"/>
          <w:b w:val="false"/>
          <w:color w:val="000000"/>
          <w:sz w:val="20"/>
        </w:rPr>
        <w:t>and 91%</w:t>
      </w:r>
      <w:r>
        <w:rPr>
          <w:rFonts w:ascii="Times New Roman" w:hAnsi="Times New Roman"/>
          <w:color w:val="000000"/>
          <w:sz w:val="20"/>
        </w:rPr>
        <w:t xml:space="preserve"> </w:t>
      </w:r>
      <w:r>
        <w:rPr>
          <w:rFonts w:ascii="Arial" w:hAnsi="Arial"/>
          <w:b w:val="false"/>
          <w:color w:val="000000"/>
          <w:sz w:val="20"/>
        </w:rPr>
        <w:t>of total revenues, respectively. For the three and nine months ended September 30, 2023, the revenue generated outside of the United States, in Canada and International, was $3.2</w:t>
      </w:r>
      <w:r>
        <w:rPr>
          <w:rFonts w:ascii="Times New Roman" w:hAnsi="Times New Roman"/>
          <w:color w:val="000000"/>
          <w:sz w:val="20"/>
        </w:rPr>
        <w:t xml:space="preserve"> </w:t>
      </w:r>
      <w:r>
        <w:rPr>
          <w:rFonts w:ascii="Arial" w:hAnsi="Arial"/>
          <w:b w:val="false"/>
          <w:color w:val="000000"/>
          <w:sz w:val="20"/>
        </w:rPr>
        <w:t>million</w:t>
      </w:r>
      <w:r>
        <w:rPr>
          <w:rFonts w:ascii="Times New Roman" w:hAnsi="Times New Roman"/>
          <w:color w:val="000000"/>
          <w:sz w:val="20"/>
        </w:rPr>
        <w:t xml:space="preserve"> </w:t>
      </w:r>
      <w:r>
        <w:rPr>
          <w:rFonts w:ascii="Arial" w:hAnsi="Arial"/>
          <w:b w:val="false"/>
          <w:color w:val="000000"/>
          <w:sz w:val="20"/>
        </w:rPr>
        <w:t>and $10.2</w:t>
      </w:r>
      <w:r>
        <w:rPr>
          <w:rFonts w:ascii="Times New Roman" w:hAnsi="Times New Roman"/>
          <w:color w:val="000000"/>
          <w:sz w:val="20"/>
        </w:rPr>
        <w:t xml:space="preserve"> </w:t>
      </w:r>
      <w:r>
        <w:rPr>
          <w:rFonts w:ascii="Arial" w:hAnsi="Arial"/>
          <w:b w:val="false"/>
          <w:color w:val="000000"/>
          <w:sz w:val="20"/>
        </w:rPr>
        <w:t>million, respectively, or 8%</w:t>
      </w:r>
      <w:r>
        <w:rPr>
          <w:rFonts w:ascii="Times New Roman" w:hAnsi="Times New Roman"/>
          <w:color w:val="000000"/>
          <w:sz w:val="20"/>
        </w:rPr>
        <w:t xml:space="preserve"> </w:t>
      </w:r>
      <w:r>
        <w:rPr>
          <w:rFonts w:ascii="Arial" w:hAnsi="Arial"/>
          <w:b w:val="false"/>
          <w:color w:val="000000"/>
          <w:sz w:val="20"/>
        </w:rPr>
        <w:t>and 9%</w:t>
      </w:r>
      <w:r>
        <w:rPr>
          <w:rFonts w:ascii="Times New Roman" w:hAnsi="Times New Roman"/>
          <w:color w:val="000000"/>
          <w:sz w:val="20"/>
        </w:rPr>
        <w:t xml:space="preserve"> </w:t>
      </w:r>
      <w:r>
        <w:rPr>
          <w:rFonts w:ascii="Arial" w:hAnsi="Arial"/>
          <w:b w:val="false"/>
          <w:color w:val="000000"/>
          <w:sz w:val="20"/>
        </w:rPr>
        <w:t>of total revenues, respectively. For the three and nine months ended September 30, 2022, the revenue generated within the United States was $33.4</w:t>
      </w:r>
      <w:r>
        <w:rPr>
          <w:rFonts w:ascii="Times New Roman" w:hAnsi="Times New Roman"/>
          <w:color w:val="000000"/>
          <w:sz w:val="20"/>
        </w:rPr>
        <w:t xml:space="preserve"> </w:t>
      </w:r>
      <w:r>
        <w:rPr>
          <w:rFonts w:ascii="Arial" w:hAnsi="Arial"/>
          <w:b w:val="false"/>
          <w:color w:val="000000"/>
          <w:sz w:val="20"/>
        </w:rPr>
        <w:t>million</w:t>
      </w:r>
      <w:r>
        <w:rPr>
          <w:rFonts w:ascii="Times New Roman" w:hAnsi="Times New Roman"/>
          <w:color w:val="000000"/>
          <w:sz w:val="20"/>
        </w:rPr>
        <w:t xml:space="preserve"> </w:t>
      </w:r>
      <w:r>
        <w:rPr>
          <w:rFonts w:ascii="Arial" w:hAnsi="Arial"/>
          <w:b w:val="false"/>
          <w:color w:val="000000"/>
          <w:sz w:val="20"/>
        </w:rPr>
        <w:t>and $84.9</w:t>
      </w:r>
      <w:r>
        <w:rPr>
          <w:rFonts w:ascii="Times New Roman" w:hAnsi="Times New Roman"/>
          <w:color w:val="000000"/>
          <w:sz w:val="20"/>
        </w:rPr>
        <w:t xml:space="preserve"> </w:t>
      </w:r>
      <w:r>
        <w:rPr>
          <w:rFonts w:ascii="Arial" w:hAnsi="Arial"/>
          <w:b w:val="false"/>
          <w:color w:val="000000"/>
          <w:sz w:val="20"/>
        </w:rPr>
        <w:t>million, respectively, or 91%</w:t>
      </w:r>
      <w:r>
        <w:rPr>
          <w:rFonts w:ascii="Times New Roman" w:hAnsi="Times New Roman"/>
          <w:color w:val="000000"/>
          <w:sz w:val="20"/>
        </w:rPr>
        <w:t xml:space="preserve"> </w:t>
      </w:r>
      <w:r>
        <w:rPr>
          <w:rFonts w:ascii="Arial" w:hAnsi="Arial"/>
          <w:b w:val="false"/>
          <w:color w:val="000000"/>
          <w:sz w:val="20"/>
        </w:rPr>
        <w:t>and 91%</w:t>
      </w:r>
      <w:r>
        <w:rPr>
          <w:rFonts w:ascii="Times New Roman" w:hAnsi="Times New Roman"/>
          <w:color w:val="000000"/>
          <w:sz w:val="20"/>
        </w:rPr>
        <w:t xml:space="preserve"> </w:t>
      </w:r>
      <w:r>
        <w:rPr>
          <w:rFonts w:ascii="Arial" w:hAnsi="Arial"/>
          <w:b w:val="false"/>
          <w:color w:val="000000"/>
          <w:sz w:val="20"/>
        </w:rPr>
        <w:t>of total revenues, respectively. For the three and nine months ended September 30, 2022, the revenue generated outside of the United States, in Canada and International, was $3.2</w:t>
      </w:r>
      <w:r>
        <w:rPr>
          <w:rFonts w:ascii="Times New Roman" w:hAnsi="Times New Roman"/>
          <w:color w:val="000000"/>
          <w:sz w:val="20"/>
        </w:rPr>
        <w:t xml:space="preserve"> </w:t>
      </w:r>
      <w:r>
        <w:rPr>
          <w:rFonts w:ascii="Arial" w:hAnsi="Arial"/>
          <w:b w:val="false"/>
          <w:color w:val="000000"/>
          <w:sz w:val="20"/>
        </w:rPr>
        <w:t>million</w:t>
      </w:r>
      <w:r>
        <w:rPr>
          <w:rFonts w:ascii="Times New Roman" w:hAnsi="Times New Roman"/>
          <w:color w:val="000000"/>
          <w:sz w:val="20"/>
        </w:rPr>
        <w:t xml:space="preserve"> </w:t>
      </w:r>
      <w:r>
        <w:rPr>
          <w:rFonts w:ascii="Arial" w:hAnsi="Arial"/>
          <w:b w:val="false"/>
          <w:color w:val="000000"/>
          <w:sz w:val="20"/>
        </w:rPr>
        <w:t>and $8.0</w:t>
      </w:r>
      <w:r>
        <w:rPr>
          <w:rFonts w:ascii="Times New Roman" w:hAnsi="Times New Roman"/>
          <w:color w:val="000000"/>
          <w:sz w:val="20"/>
        </w:rPr>
        <w:t xml:space="preserve"> </w:t>
      </w:r>
      <w:r>
        <w:rPr>
          <w:rFonts w:ascii="Arial" w:hAnsi="Arial"/>
          <w:b w:val="false"/>
          <w:color w:val="000000"/>
          <w:sz w:val="20"/>
        </w:rPr>
        <w:t>million, respectively, or 9%</w:t>
      </w:r>
      <w:r>
        <w:rPr>
          <w:rFonts w:ascii="Times New Roman" w:hAnsi="Times New Roman"/>
          <w:color w:val="000000"/>
          <w:sz w:val="20"/>
        </w:rPr>
        <w:t xml:space="preserve"> </w:t>
      </w:r>
      <w:r>
        <w:rPr>
          <w:rFonts w:ascii="Arial" w:hAnsi="Arial"/>
          <w:b w:val="false"/>
          <w:color w:val="000000"/>
          <w:sz w:val="20"/>
        </w:rPr>
        <w:t>and 9%</w:t>
      </w:r>
      <w:r>
        <w:rPr>
          <w:rFonts w:ascii="Times New Roman" w:hAnsi="Times New Roman"/>
          <w:color w:val="000000"/>
          <w:sz w:val="20"/>
        </w:rPr>
        <w:t xml:space="preserve"> </w:t>
      </w:r>
      <w:r>
        <w:rPr>
          <w:rFonts w:ascii="Arial" w:hAnsi="Arial"/>
          <w:b w:val="false"/>
          <w:color w:val="000000"/>
          <w:sz w:val="20"/>
        </w:rPr>
        <w:t>of total revenues, respectively.</w:t>
      </w:r>
      <w:r>
        <w:rPr>
          <w:rFonts w:ascii="Times New Roman" w:hAnsi="Times New Roman"/>
          <w:color w:val="000000"/>
          <w:sz w:val="20"/>
        </w:rPr>
        <w:t xml:space="preserve"> </w:t>
      </w:r>
    </w:p>
    <w:p>
      <w:pPr>
        <w:pStyle w:val="TextBody"/>
        <w:bidi w:val="0"/>
        <w:spacing w:before="240" w:after="283"/>
        <w:jc w:val="both"/>
        <w:rPr>
          <w:rFonts w:ascii="Arial" w:hAnsi="Arial"/>
          <w:b/>
          <w:color w:val="000000"/>
          <w:sz w:val="20"/>
        </w:rPr>
      </w:pPr>
      <w:r>
        <w:rPr>
          <w:rFonts w:ascii="Arial" w:hAnsi="Arial"/>
          <w:b/>
          <w:color w:val="000000"/>
          <w:sz w:val="20"/>
        </w:rPr>
        <w:t>Contract Assets and Contract Liabilities</w:t>
      </w:r>
    </w:p>
    <w:p>
      <w:pPr>
        <w:pStyle w:val="TextBody"/>
        <w:bidi w:val="0"/>
        <w:jc w:val="both"/>
        <w:rPr>
          <w:rFonts w:ascii="Times New Roman" w:hAnsi="Times New Roman"/>
          <w:sz w:val="20"/>
        </w:rPr>
      </w:pPr>
      <w:r>
        <w:rPr>
          <w:rFonts w:ascii="Arial" w:hAnsi="Arial"/>
          <w:b w:val="false"/>
          <w:color w:val="000000"/>
          <w:sz w:val="20"/>
        </w:rPr>
        <w:t>Contract assets represent the Company’s rights to consideration for work completed but not billed. As of September 30, 2023 and December 31, 2022, the Company had contract assets of $4.4</w:t>
      </w:r>
      <w:r>
        <w:rPr>
          <w:rFonts w:ascii="Times New Roman" w:hAnsi="Times New Roman"/>
          <w:color w:val="000000"/>
          <w:sz w:val="20"/>
        </w:rPr>
        <w:t xml:space="preserve"> </w:t>
      </w:r>
      <w:r>
        <w:rPr>
          <w:rFonts w:ascii="Arial" w:hAnsi="Arial"/>
          <w:b w:val="false"/>
          <w:color w:val="000000"/>
          <w:sz w:val="20"/>
        </w:rPr>
        <w:t>million</w:t>
      </w:r>
      <w:r>
        <w:rPr>
          <w:rFonts w:ascii="Times New Roman" w:hAnsi="Times New Roman"/>
          <w:color w:val="000000"/>
          <w:sz w:val="20"/>
        </w:rPr>
        <w:t xml:space="preserve"> </w:t>
      </w:r>
      <w:r>
        <w:rPr>
          <w:rFonts w:ascii="Arial" w:hAnsi="Arial"/>
          <w:b w:val="false"/>
          <w:color w:val="000000"/>
          <w:sz w:val="20"/>
        </w:rPr>
        <w:t>and $4.8</w:t>
      </w:r>
      <w:r>
        <w:rPr>
          <w:rFonts w:ascii="Times New Roman" w:hAnsi="Times New Roman"/>
          <w:color w:val="000000"/>
          <w:sz w:val="20"/>
        </w:rPr>
        <w:t xml:space="preserve"> </w:t>
      </w:r>
      <w:r>
        <w:rPr>
          <w:rFonts w:ascii="Arial" w:hAnsi="Arial"/>
          <w:b w:val="false"/>
          <w:color w:val="000000"/>
          <w:sz w:val="20"/>
        </w:rPr>
        <w:t>million, respectively. Contract assets were recorded in accounts receivable, net in the accompanying unaudited condensed consolidated balance sheets.</w:t>
      </w:r>
    </w:p>
    <w:p>
      <w:pPr>
        <w:pStyle w:val="TextBody"/>
        <w:bidi w:val="0"/>
        <w:spacing w:before="240" w:after="283"/>
        <w:jc w:val="both"/>
        <w:rPr>
          <w:rFonts w:ascii="Times New Roman" w:hAnsi="Times New Roman"/>
          <w:sz w:val="20"/>
        </w:rPr>
      </w:pPr>
      <w:r>
        <w:rPr>
          <w:rFonts w:ascii="Arial" w:hAnsi="Arial"/>
          <w:b w:val="false"/>
          <w:color w:val="000000"/>
          <w:sz w:val="20"/>
        </w:rPr>
        <w:t>Contract liabilities consist of fees invoiced or paid by the Company’s customers for which the associated services have not been performed and revenue has not been recognized based on the Company’s revenue recognition criteria described above. As of September 30, 2023 and December 31, 2022, the Company did not have any material contract liabilities. All deferred revenue were expected to be recognized during the following 12 months, and they were recorded in accrued expenses and other current liabilities in the accompanying unaudited condensed consolidated balance sheets.</w:t>
      </w:r>
      <w:r>
        <w:rPr>
          <w:rFonts w:ascii="Times New Roman" w:hAnsi="Times New Roman"/>
          <w:color w:val="000000"/>
          <w:sz w:val="20"/>
        </w:rPr>
        <w:t xml:space="preserve"> </w:t>
      </w:r>
    </w:p>
    <w:p>
      <w:pPr>
        <w:pStyle w:val="TextBody"/>
        <w:bidi w:val="0"/>
        <w:spacing w:before="240" w:after="283"/>
        <w:jc w:val="both"/>
        <w:rPr>
          <w:rFonts w:ascii="Arial" w:hAnsi="Arial"/>
          <w:b/>
          <w:color w:val="000000"/>
          <w:sz w:val="20"/>
        </w:rPr>
      </w:pPr>
      <w:r>
        <w:rPr>
          <w:rFonts w:ascii="Arial" w:hAnsi="Arial"/>
          <w:b/>
          <w:color w:val="000000"/>
          <w:sz w:val="20"/>
        </w:rPr>
        <w:t>Cash and Cash Equivalents</w:t>
      </w:r>
    </w:p>
    <w:p>
      <w:pPr>
        <w:pStyle w:val="TextBody"/>
        <w:bidi w:val="0"/>
        <w:jc w:val="both"/>
        <w:rPr>
          <w:rFonts w:ascii="Arial" w:hAnsi="Arial"/>
          <w:b w:val="false"/>
          <w:color w:val="000000"/>
          <w:sz w:val="20"/>
        </w:rPr>
      </w:pPr>
      <w:r>
        <w:rPr>
          <w:rFonts w:ascii="Arial" w:hAnsi="Arial"/>
          <w:b w:val="false"/>
          <w:color w:val="000000"/>
          <w:sz w:val="20"/>
        </w:rPr>
        <w:t>The Company considers all highly liquid investments purchased with an original maturity of three months or less to be cash equivalents. The Company did not have any cash equivalents as of September 30, 2023 and December 31, 2022.</w:t>
      </w:r>
    </w:p>
    <w:p>
      <w:pPr>
        <w:pStyle w:val="TextBody"/>
        <w:bidi w:val="0"/>
        <w:spacing w:before="240" w:after="283"/>
        <w:jc w:val="both"/>
        <w:rPr>
          <w:rFonts w:ascii="Times New Roman" w:hAnsi="Times New Roman"/>
          <w:sz w:val="20"/>
        </w:rPr>
      </w:pPr>
      <w:r>
        <w:rPr>
          <w:rFonts w:ascii="Arial" w:hAnsi="Arial"/>
          <w:b/>
          <w:color w:val="000000"/>
          <w:sz w:val="20"/>
        </w:rPr>
        <w:t>Accounts Receivable, net</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Arial" w:hAnsi="Arial"/>
          <w:b w:val="false"/>
          <w:color w:val="000000"/>
          <w:sz w:val="20"/>
        </w:rPr>
        <w:t>The Company’s accounts receivable consists principally of uncollateralized amounts billed to customers. These receivables are generally due within 30 to 60 days of the period in which the corresponding sales or rentals occur and do not bear interest. They are recorded at net realizable value less an allowance for doubtful accounts and are classified as account receivable, net on the unaudited condensed consolidated balance sheets.</w:t>
      </w:r>
      <w:r>
        <w:rPr>
          <w:rFonts w:ascii="Times New Roman" w:hAnsi="Times New Roman"/>
          <w:color w:val="000000"/>
          <w:sz w:val="20"/>
        </w:rPr>
        <w:t xml:space="preserve"> </w:t>
      </w:r>
    </w:p>
    <w:p>
      <w:pPr>
        <w:pStyle w:val="TextBody"/>
        <w:bidi w:val="0"/>
        <w:spacing w:before="240" w:after="283"/>
        <w:jc w:val="both"/>
        <w:rPr>
          <w:rFonts w:ascii="Arial" w:hAnsi="Arial"/>
          <w:b/>
          <w:color w:val="000000"/>
          <w:sz w:val="20"/>
        </w:rPr>
      </w:pPr>
      <w:r>
        <w:rPr>
          <w:rFonts w:ascii="Arial" w:hAnsi="Arial"/>
          <w:b/>
          <w:color w:val="000000"/>
          <w:sz w:val="20"/>
        </w:rPr>
        <w:t>Allowance for Doubtful Accounts</w:t>
      </w:r>
    </w:p>
    <w:p>
      <w:pPr>
        <w:pStyle w:val="TextBody"/>
        <w:bidi w:val="0"/>
        <w:jc w:val="both"/>
        <w:rPr>
          <w:rFonts w:ascii="Times New Roman" w:hAnsi="Times New Roman"/>
          <w:sz w:val="20"/>
        </w:rPr>
      </w:pPr>
      <w:r>
        <w:rPr>
          <w:rFonts w:ascii="Arial" w:hAnsi="Arial"/>
          <w:b w:val="false"/>
          <w:color w:val="000000"/>
          <w:sz w:val="20"/>
        </w:rPr>
        <w:t xml:space="preserve">The Company adopted ASU 2016-13, </w:t>
      </w:r>
      <w:r>
        <w:rPr>
          <w:rFonts w:ascii="Arial" w:hAnsi="Arial"/>
          <w:b w:val="false"/>
          <w:i/>
          <w:color w:val="000000"/>
          <w:sz w:val="20"/>
        </w:rPr>
        <w:t>Financial Instruments - Credit Losses</w:t>
      </w:r>
      <w:r>
        <w:rPr>
          <w:rFonts w:ascii="Arial" w:hAnsi="Arial"/>
          <w:b w:val="false"/>
          <w:color w:val="000000"/>
          <w:sz w:val="20"/>
        </w:rPr>
        <w:t>, on December 31, 2022, which was retroactively applied as of the first day of fiscal year 2022. This accounting standard requires companies to measure expected credit losses on financial instruments based on the total estimated amount to be collected over the lifetime of the instrument. Prior to the adoption of this accounting standard, the Company recorded incurred loss reserves against receivable balances</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b w:val="false"/>
          <w:color w:val="000000"/>
          <w:sz w:val="20"/>
        </w:rPr>
      </w:pPr>
      <w:r>
        <w:rPr>
          <w:rFonts w:ascii="Arial" w:hAnsi="Arial"/>
          <w:b w:val="false"/>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Arial" w:hAnsi="Arial"/>
          <w:b w:val="false"/>
          <w:color w:val="000000"/>
          <w:sz w:val="20"/>
        </w:rPr>
      </w:pPr>
      <w:r>
        <w:rPr>
          <w:rFonts w:ascii="Arial" w:hAnsi="Arial"/>
          <w:b w:val="false"/>
          <w:color w:val="000000"/>
          <w:sz w:val="20"/>
        </w:rPr>
        <w:t>based on current and historical information.</w:t>
      </w:r>
    </w:p>
    <w:p>
      <w:pPr>
        <w:pStyle w:val="TextBody"/>
        <w:bidi w:val="0"/>
        <w:spacing w:before="240" w:after="283"/>
        <w:jc w:val="both"/>
        <w:rPr>
          <w:rFonts w:ascii="Arial" w:hAnsi="Arial"/>
          <w:b w:val="false"/>
          <w:color w:val="000000"/>
          <w:sz w:val="20"/>
        </w:rPr>
      </w:pPr>
      <w:r>
        <w:rPr>
          <w:rFonts w:ascii="Arial" w:hAnsi="Arial"/>
          <w:b w:val="false"/>
          <w:color w:val="000000"/>
          <w:sz w:val="20"/>
        </w:rPr>
        <w:t>Expected credit losses for uncollectible receivable balances consider both current conditions and reasonable and supportable forecasts of future conditions. Current conditions considered include predefined aging criteria, as well as specified events that indicate the balance due is not collectible. Reasonable and supportable forecasts used in determining the probability of future collection consider publicly available macroeconomic data and whether future credit losses are expected to differ from historical losses.</w:t>
      </w:r>
    </w:p>
    <w:p>
      <w:pPr>
        <w:pStyle w:val="TextBody"/>
        <w:bidi w:val="0"/>
        <w:spacing w:before="240" w:after="283"/>
        <w:jc w:val="both"/>
        <w:rPr>
          <w:rFonts w:ascii="Arial" w:hAnsi="Arial"/>
          <w:b w:val="false"/>
          <w:color w:val="000000"/>
          <w:sz w:val="20"/>
        </w:rPr>
      </w:pPr>
      <w:r>
        <w:rPr>
          <w:rFonts w:ascii="Arial" w:hAnsi="Arial"/>
          <w:b w:val="false"/>
          <w:color w:val="000000"/>
          <w:sz w:val="20"/>
        </w:rPr>
        <w:t>The Company is not party to any off-balance sheet arrangements that would require an allowance for credit losses in accordance with this accounting standard.</w:t>
      </w:r>
    </w:p>
    <w:p>
      <w:pPr>
        <w:pStyle w:val="TextBody"/>
        <w:bidi w:val="0"/>
        <w:spacing w:before="240" w:after="283"/>
        <w:jc w:val="both"/>
        <w:rPr>
          <w:rFonts w:ascii="Times New Roman" w:hAnsi="Times New Roman"/>
          <w:sz w:val="20"/>
        </w:rPr>
      </w:pPr>
      <w:r>
        <w:rPr>
          <w:rFonts w:ascii="Arial" w:hAnsi="Arial"/>
          <w:b w:val="false"/>
          <w:color w:val="000000"/>
          <w:sz w:val="20"/>
        </w:rPr>
        <w:t>As of September 30, 2023 and December 31, 2022, the allowance for doubtful accounts totaled $1.8</w:t>
      </w:r>
      <w:r>
        <w:rPr>
          <w:rFonts w:ascii="Times New Roman" w:hAnsi="Times New Roman"/>
          <w:color w:val="000000"/>
          <w:sz w:val="20"/>
        </w:rPr>
        <w:t xml:space="preserve"> </w:t>
      </w:r>
      <w:r>
        <w:rPr>
          <w:rFonts w:ascii="Arial" w:hAnsi="Arial"/>
          <w:b w:val="false"/>
          <w:color w:val="000000"/>
          <w:sz w:val="20"/>
        </w:rPr>
        <w:t>million</w:t>
      </w:r>
      <w:r>
        <w:rPr>
          <w:rFonts w:ascii="Times New Roman" w:hAnsi="Times New Roman"/>
          <w:color w:val="000000"/>
          <w:sz w:val="20"/>
        </w:rPr>
        <w:t xml:space="preserve"> </w:t>
      </w:r>
      <w:r>
        <w:rPr>
          <w:rFonts w:ascii="Arial" w:hAnsi="Arial"/>
          <w:b w:val="false"/>
          <w:color w:val="000000"/>
          <w:sz w:val="20"/>
        </w:rPr>
        <w:t>and $1.5</w:t>
      </w:r>
      <w:r>
        <w:rPr>
          <w:rFonts w:ascii="Times New Roman" w:hAnsi="Times New Roman"/>
          <w:color w:val="000000"/>
          <w:sz w:val="20"/>
        </w:rPr>
        <w:t xml:space="preserve"> </w:t>
      </w:r>
      <w:r>
        <w:rPr>
          <w:rFonts w:ascii="Arial" w:hAnsi="Arial"/>
          <w:b w:val="false"/>
          <w:color w:val="000000"/>
          <w:sz w:val="20"/>
        </w:rPr>
        <w:t>million, respectively.</w:t>
      </w:r>
    </w:p>
    <w:p>
      <w:pPr>
        <w:pStyle w:val="TextBody"/>
        <w:bidi w:val="0"/>
        <w:jc w:val="both"/>
        <w:rPr/>
      </w:pPr>
      <w:r>
        <w:rPr/>
        <w:t> </w:t>
      </w:r>
    </w:p>
    <w:p>
      <w:pPr>
        <w:pStyle w:val="TextBody"/>
        <w:bidi w:val="0"/>
        <w:jc w:val="left"/>
        <w:rPr>
          <w:rFonts w:ascii="Arial" w:hAnsi="Arial"/>
          <w:b/>
          <w:color w:val="000000"/>
          <w:sz w:val="20"/>
        </w:rPr>
      </w:pPr>
      <w:r>
        <w:rPr>
          <w:rFonts w:ascii="Arial" w:hAnsi="Arial"/>
          <w:b/>
          <w:color w:val="000000"/>
          <w:sz w:val="20"/>
        </w:rPr>
        <w:t>Inventories, net</w:t>
      </w:r>
    </w:p>
    <w:p>
      <w:pPr>
        <w:pStyle w:val="TextBody"/>
        <w:bidi w:val="0"/>
        <w:jc w:val="both"/>
        <w:rPr>
          <w:rFonts w:ascii="Times New Roman" w:hAnsi="Times New Roman"/>
          <w:sz w:val="20"/>
        </w:rPr>
      </w:pPr>
      <w:r>
        <w:rPr>
          <w:rFonts w:ascii="Arial" w:hAnsi="Arial"/>
          <w:b w:val="false"/>
          <w:color w:val="000000"/>
          <w:sz w:val="20"/>
        </w:rPr>
        <w:t>Inventories are stated at the lower of cost or net realizable value. Cost is determined by using the specific identification method. Inventory that is obsolete or in excess of forecasted usage is written down to its net realizable value based on assumptions regarding future demand and market conditions. Inventory write-downs are charged to operating costs and establish a new cost basis for the inventory. Inventory includes raw material and finished goods.</w:t>
      </w:r>
      <w:r>
        <w:rPr>
          <w:rFonts w:ascii="Times New Roman" w:hAnsi="Times New Roman"/>
          <w:color w:val="000000"/>
          <w:sz w:val="20"/>
        </w:rPr>
        <w:t xml:space="preserve"> </w:t>
      </w:r>
    </w:p>
    <w:p>
      <w:pPr>
        <w:pStyle w:val="TextBody"/>
        <w:bidi w:val="0"/>
        <w:spacing w:before="240" w:after="283"/>
        <w:jc w:val="both"/>
        <w:rPr>
          <w:rFonts w:ascii="Arial" w:hAnsi="Arial"/>
          <w:b/>
          <w:color w:val="000000"/>
          <w:sz w:val="20"/>
        </w:rPr>
      </w:pPr>
      <w:r>
        <w:rPr>
          <w:rFonts w:ascii="Arial" w:hAnsi="Arial"/>
          <w:b/>
          <w:color w:val="000000"/>
          <w:sz w:val="20"/>
        </w:rPr>
        <w:t>Property, Plant and Equipment, net</w:t>
      </w:r>
    </w:p>
    <w:p>
      <w:pPr>
        <w:pStyle w:val="TextBody"/>
        <w:bidi w:val="0"/>
        <w:jc w:val="both"/>
        <w:rPr>
          <w:rFonts w:ascii="Arial" w:hAnsi="Arial"/>
          <w:b w:val="false"/>
          <w:color w:val="000000"/>
          <w:sz w:val="20"/>
        </w:rPr>
      </w:pPr>
      <w:r>
        <w:rPr>
          <w:rFonts w:ascii="Arial" w:hAnsi="Arial"/>
          <w:b w:val="false"/>
          <w:color w:val="000000"/>
          <w:sz w:val="20"/>
        </w:rPr>
        <w:t>Property, plant and equipment purchased by the Company are recorded at cost less accumulated depreciation. Depreciation is recorded using the straight-line method based on the estimated useful lives of the depreciable property or, for leasehold improvements, the remaining term of the lease, whichever is shorter. Assets not yet placed in use are not depreciated.</w:t>
      </w:r>
    </w:p>
    <w:p>
      <w:pPr>
        <w:pStyle w:val="TextBody"/>
        <w:bidi w:val="0"/>
        <w:spacing w:before="240" w:after="283"/>
        <w:jc w:val="both"/>
        <w:rPr>
          <w:rFonts w:ascii="Times New Roman" w:hAnsi="Times New Roman"/>
          <w:sz w:val="20"/>
        </w:rPr>
      </w:pPr>
      <w:r>
        <w:rPr>
          <w:rFonts w:ascii="Arial" w:hAnsi="Arial"/>
          <w:b w:val="false"/>
          <w:color w:val="000000"/>
          <w:sz w:val="20"/>
        </w:rPr>
        <w:t>Property, plant and equipment acquired as part of a business acquisition is recorded at acquisition date fair value with subsequent additions at cost.</w:t>
      </w:r>
      <w:r>
        <w:rPr>
          <w:rFonts w:ascii="Times New Roman" w:hAnsi="Times New Roman"/>
          <w:color w:val="000000"/>
          <w:sz w:val="20"/>
        </w:rPr>
        <w:t xml:space="preserve"> </w:t>
      </w:r>
    </w:p>
    <w:p>
      <w:pPr>
        <w:pStyle w:val="TextBody"/>
        <w:bidi w:val="0"/>
        <w:spacing w:before="240" w:after="283"/>
        <w:jc w:val="both"/>
        <w:rPr>
          <w:rFonts w:ascii="Arial" w:hAnsi="Arial"/>
          <w:b w:val="false"/>
          <w:color w:val="000000"/>
          <w:sz w:val="20"/>
        </w:rPr>
      </w:pPr>
      <w:r>
        <w:rPr>
          <w:rFonts w:ascii="Arial" w:hAnsi="Arial"/>
          <w:b w:val="false"/>
          <w:color w:val="000000"/>
          <w:sz w:val="20"/>
        </w:rPr>
        <w:t>The cost of refurbishments and renewals are capitalized when the value of the property, plant or equipment is enhanced for an extended period. Expenditures to maintain and repair property, plant and equipment, which do not improve or extend the life of the related assets, are charged to operations when incurred. When property, plant and equipment is retired or otherwise disposed of, the related cost and accumulated depreciation are removed from the accounts and any resulting gain or loss is included in operations.</w:t>
      </w:r>
    </w:p>
    <w:p>
      <w:pPr>
        <w:pStyle w:val="TextBody"/>
        <w:bidi w:val="0"/>
        <w:spacing w:before="240" w:after="283"/>
        <w:jc w:val="both"/>
        <w:rPr>
          <w:rFonts w:ascii="Arial" w:hAnsi="Arial"/>
          <w:b/>
          <w:color w:val="000000"/>
          <w:sz w:val="20"/>
        </w:rPr>
      </w:pPr>
      <w:r>
        <w:rPr>
          <w:rFonts w:ascii="Arial" w:hAnsi="Arial"/>
          <w:b/>
          <w:color w:val="000000"/>
          <w:sz w:val="20"/>
        </w:rPr>
        <w:t>Leases</w:t>
      </w:r>
    </w:p>
    <w:p>
      <w:pPr>
        <w:pStyle w:val="TextBody"/>
        <w:bidi w:val="0"/>
        <w:jc w:val="both"/>
        <w:rPr>
          <w:rFonts w:ascii="Times New Roman" w:hAnsi="Times New Roman"/>
          <w:sz w:val="20"/>
        </w:rPr>
      </w:pPr>
      <w:r>
        <w:rPr>
          <w:rFonts w:ascii="Arial" w:hAnsi="Arial"/>
          <w:b w:val="false"/>
          <w:color w:val="000000"/>
          <w:sz w:val="20"/>
        </w:rPr>
        <w:t xml:space="preserve">The Company adopted ASC 842, </w:t>
      </w:r>
      <w:r>
        <w:rPr>
          <w:rFonts w:ascii="Arial" w:hAnsi="Arial"/>
          <w:b w:val="false"/>
          <w:i/>
          <w:color w:val="000000"/>
          <w:sz w:val="20"/>
        </w:rPr>
        <w:t>Leases</w:t>
      </w:r>
      <w:r>
        <w:rPr>
          <w:rFonts w:ascii="Times New Roman" w:hAnsi="Times New Roman"/>
          <w:color w:val="000000"/>
          <w:sz w:val="20"/>
        </w:rPr>
        <w:t xml:space="preserve"> </w:t>
      </w:r>
      <w:r>
        <w:rPr>
          <w:rFonts w:ascii="Arial" w:hAnsi="Arial"/>
          <w:b w:val="false"/>
          <w:color w:val="000000"/>
          <w:sz w:val="20"/>
        </w:rPr>
        <w:t>(“ASC 842”) as of January 1, 2022 using the modified retrospective transition approach, with no restatement of prior periods or cumulative adjustments to retained earnings. Upon adoption, the Company elected the package of transition practical expedients, which allowed it to carry forward prior conclusions related to whether any expired or existing contracts are or contain leases, the lease classification for any expired or existing leases and initial direct costs for existing leases. The Company elected the use-of-hindsight to reassess lease term. The Company elected not to recognize leases with an initial term of 12 months or less within the unaudited condensed consolidated balance sheets and to recognize those lease payments on a straight-line basis in the unaudited condensed consolidated statements of income and comprehensive income over the lease term. The new lease accounting standard also provides practical expedients for an entity’s ongoing accounting. The Company elected the practical expedient to not separate lease and non-lease components for all leases.</w:t>
      </w:r>
      <w:r>
        <w:rPr>
          <w:rFonts w:ascii="Times New Roman" w:hAnsi="Times New Roman"/>
          <w:color w:val="000000"/>
          <w:sz w:val="20"/>
        </w:rPr>
        <w:t xml:space="preserve"> </w:t>
      </w:r>
    </w:p>
    <w:p>
      <w:pPr>
        <w:pStyle w:val="TextBody"/>
        <w:bidi w:val="0"/>
        <w:spacing w:before="240" w:after="283"/>
        <w:jc w:val="both"/>
        <w:rPr>
          <w:rFonts w:ascii="Arial" w:hAnsi="Arial"/>
          <w:b w:val="false"/>
          <w:color w:val="000000"/>
          <w:sz w:val="20"/>
        </w:rPr>
      </w:pPr>
      <w:r>
        <w:rPr>
          <w:rFonts w:ascii="Arial" w:hAnsi="Arial"/>
          <w:b w:val="false"/>
          <w:color w:val="000000"/>
          <w:sz w:val="20"/>
        </w:rPr>
        <w:t>The Company determines if an arrangement is a lease at inception. Operating leases are included in operating lease right-of-use (“ROU”) assets and current operating lease liabilities and operating lease liabilities, net of current portion on the unaudited condensed consolidated balance sheets. The Company recognizes lease expense for its operating leases on a straight-line basis over the term of the lease.</w:t>
      </w:r>
    </w:p>
    <w:p>
      <w:pPr>
        <w:pStyle w:val="TextBody"/>
        <w:bidi w:val="0"/>
        <w:jc w:val="center"/>
        <w:rPr/>
      </w:pPr>
      <w:r>
        <w:rPr/>
        <w:t> </w:t>
      </w:r>
    </w:p>
    <w:p>
      <w:pPr>
        <w:pStyle w:val="TextBody"/>
        <w:bidi w:val="0"/>
        <w:jc w:val="center"/>
        <w:rPr>
          <w:rFonts w:ascii="Arial" w:hAnsi="Arial"/>
          <w:b w:val="false"/>
          <w:color w:val="000000"/>
          <w:sz w:val="20"/>
        </w:rPr>
      </w:pPr>
      <w:r>
        <w:rPr>
          <w:rFonts w:ascii="Arial" w:hAnsi="Arial"/>
          <w:b w:val="false"/>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b w:val="false"/>
          <w:color w:val="000000"/>
          <w:sz w:val="20"/>
        </w:rPr>
      </w:pPr>
      <w:r>
        <w:rPr>
          <w:rFonts w:ascii="Arial" w:hAnsi="Arial"/>
          <w:b w:val="false"/>
          <w:color w:val="000000"/>
          <w:sz w:val="20"/>
        </w:rPr>
        <w:t>ROU assets represent the Company’s right to use an underlying asset for the lease term and lease liabilities represent the Company’s obligation to make lease payments arising from a lease. ROU assets and operating lease liabilities are recognized at the commencement date based on the present value of the future minimum lease payments over the lease term. Operating lease ROU assets also include the impact of any lease incentives. An amendment to a lease is assessed to determine if it represents a lease modification or a separate contract. Lease modifications are reassessed as of the effective date of the modification using an incremental borrowing rate based on the information available at the commencement date. For modified leases the Company also reassess the lease classification as of the effective date of the modification.</w:t>
      </w:r>
    </w:p>
    <w:p>
      <w:pPr>
        <w:pStyle w:val="TextBody"/>
        <w:bidi w:val="0"/>
        <w:spacing w:before="240" w:after="283"/>
        <w:jc w:val="both"/>
        <w:rPr>
          <w:rFonts w:ascii="Times New Roman" w:hAnsi="Times New Roman"/>
          <w:sz w:val="20"/>
        </w:rPr>
      </w:pPr>
      <w:r>
        <w:rPr>
          <w:rFonts w:ascii="Arial" w:hAnsi="Arial"/>
          <w:b w:val="false"/>
          <w:color w:val="000000"/>
          <w:sz w:val="20"/>
        </w:rPr>
        <w:t>The interest rate used to determine the present value of the future lease payments is the Company’s incremental borrowing rate because the interest rate implicit in the Company’s leases is not readily determinable. The incremental borrowing rate is estimated to approximate the interest rate on a collateralized basis with similar terms and payments, and in economic environments where the leased asset is located.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 xml:space="preserve">The Company’s lease terms include periods under options to extend or terminate the lease when it is reasonably certain that the Company will exercise that option in the measurement of its ROU assets and liabilities. The Company considers contractual-based factors such as the nature and terms of the renewal or termination, asset-based factors such as physical location of the asset and entity-based factors such as the importance of the leased asset to the Company’s operations to determine the lease term. The Company generally uses the base, noncancelable, lease term when determining the ROU assets and lease liabilities. The right-of-use asset is tested for impairment in accordance with Accounting Standards Codification Topic 360, </w:t>
      </w:r>
      <w:r>
        <w:rPr>
          <w:rFonts w:ascii="Arial" w:hAnsi="Arial"/>
          <w:b w:val="false"/>
          <w:i/>
          <w:color w:val="000000"/>
          <w:sz w:val="20"/>
        </w:rPr>
        <w:t>Property, Plant, and Equipment.</w:t>
      </w:r>
    </w:p>
    <w:p>
      <w:pPr>
        <w:pStyle w:val="TextBody"/>
        <w:bidi w:val="0"/>
        <w:spacing w:before="240" w:after="283"/>
        <w:jc w:val="both"/>
        <w:rPr>
          <w:rFonts w:ascii="Times New Roman" w:hAnsi="Times New Roman"/>
          <w:sz w:val="20"/>
        </w:rPr>
      </w:pPr>
      <w:r>
        <w:rPr>
          <w:rFonts w:ascii="Arial" w:hAnsi="Arial"/>
          <w:b w:val="false"/>
          <w:i/>
          <w:color w:val="000000"/>
          <w:sz w:val="20"/>
          <w:u w:val="single"/>
        </w:rPr>
        <w:t>Lessor Accounting</w:t>
      </w:r>
      <w:r>
        <w:rPr>
          <w:rFonts w:ascii="Times New Roman" w:hAnsi="Times New Roman"/>
          <w:color w:val="000000"/>
          <w:sz w:val="20"/>
        </w:rPr>
        <w:t xml:space="preserve"> </w:t>
      </w:r>
    </w:p>
    <w:p>
      <w:pPr>
        <w:pStyle w:val="TextBody"/>
        <w:bidi w:val="0"/>
        <w:spacing w:before="240" w:after="283"/>
        <w:jc w:val="both"/>
        <w:rPr>
          <w:rFonts w:ascii="Arial" w:hAnsi="Arial"/>
          <w:b w:val="false"/>
          <w:color w:val="000000"/>
          <w:sz w:val="20"/>
        </w:rPr>
      </w:pPr>
      <w:r>
        <w:rPr>
          <w:rFonts w:ascii="Arial" w:hAnsi="Arial"/>
          <w:b w:val="false"/>
          <w:color w:val="000000"/>
          <w:sz w:val="20"/>
        </w:rPr>
        <w:t>Our leased equipment primarily consists of rental tools and equipment. Our agreements with our customers for rental equipment contain an operating lease component under ASC 842 because (i) there are identified assets, (ii) the customer has the right to obtain substantially all of the economic benefits from the use of the identified asset throughout the period of use and (iii) the customer directs the use of the identified assets throughout the period of use.</w:t>
      </w:r>
    </w:p>
    <w:p>
      <w:pPr>
        <w:pStyle w:val="TextBody"/>
        <w:bidi w:val="0"/>
        <w:spacing w:before="240" w:after="283"/>
        <w:jc w:val="both"/>
        <w:rPr>
          <w:rFonts w:ascii="Arial" w:hAnsi="Arial"/>
          <w:b w:val="false"/>
          <w:color w:val="000000"/>
          <w:sz w:val="20"/>
        </w:rPr>
      </w:pPr>
      <w:r>
        <w:rPr>
          <w:rFonts w:ascii="Arial" w:hAnsi="Arial"/>
          <w:b w:val="false"/>
          <w:color w:val="000000"/>
          <w:sz w:val="20"/>
        </w:rPr>
        <w:t>Our lease contract periods are daily, monthly, per well or based on footage. Lease revenue is recognized on a straight-line basis based on these rates. We do not provide an option for the lessee to purchase the rented tools at the end of the lease and the lessees do not provide residual value guarantees on the rented assets.</w:t>
      </w:r>
    </w:p>
    <w:p>
      <w:pPr>
        <w:pStyle w:val="TextBody"/>
        <w:bidi w:val="0"/>
        <w:spacing w:before="240" w:after="283"/>
        <w:jc w:val="both"/>
        <w:rPr>
          <w:rFonts w:ascii="Times New Roman" w:hAnsi="Times New Roman"/>
          <w:sz w:val="20"/>
        </w:rPr>
      </w:pPr>
      <w:r>
        <w:rPr>
          <w:rFonts w:ascii="Arial" w:hAnsi="Arial"/>
          <w:b w:val="false"/>
          <w:color w:val="000000"/>
          <w:sz w:val="20"/>
        </w:rPr>
        <w:t>We recognized operating lease revenue within “Tool rental” on the unaudited condensed</w:t>
      </w:r>
      <w:r>
        <w:rPr>
          <w:rFonts w:ascii="Times New Roman" w:hAnsi="Times New Roman"/>
          <w:color w:val="CC8400"/>
          <w:sz w:val="20"/>
        </w:rPr>
        <w:t xml:space="preserve"> </w:t>
      </w:r>
      <w:r>
        <w:rPr>
          <w:rFonts w:ascii="Arial" w:hAnsi="Arial"/>
          <w:b w:val="false"/>
          <w:color w:val="000000"/>
          <w:sz w:val="20"/>
        </w:rPr>
        <w:t>consolidated statements of income and comprehensive income.</w:t>
      </w:r>
    </w:p>
    <w:p>
      <w:pPr>
        <w:pStyle w:val="TextBody"/>
        <w:bidi w:val="0"/>
        <w:spacing w:before="240" w:after="283"/>
        <w:jc w:val="both"/>
        <w:rPr>
          <w:rFonts w:ascii="Arial" w:hAnsi="Arial"/>
          <w:b/>
          <w:color w:val="000000"/>
          <w:sz w:val="20"/>
        </w:rPr>
      </w:pPr>
      <w:r>
        <w:rPr>
          <w:rFonts w:ascii="Arial" w:hAnsi="Arial"/>
          <w:b/>
          <w:color w:val="000000"/>
          <w:sz w:val="20"/>
        </w:rPr>
        <w:t>Intangible Assets</w:t>
      </w:r>
    </w:p>
    <w:p>
      <w:pPr>
        <w:pStyle w:val="TextBody"/>
        <w:bidi w:val="0"/>
        <w:jc w:val="both"/>
        <w:rPr>
          <w:rFonts w:ascii="Times New Roman" w:hAnsi="Times New Roman"/>
          <w:sz w:val="20"/>
        </w:rPr>
      </w:pPr>
      <w:r>
        <w:rPr>
          <w:rFonts w:ascii="Arial" w:hAnsi="Arial"/>
          <w:b w:val="false"/>
          <w:color w:val="000000"/>
          <w:sz w:val="20"/>
        </w:rPr>
        <w:t>Intangible assets with finite useful lives include customer relationships, trade name, patents, non-compete agreements and a supply agreement. These intangible assets are amortized either on a straight-line basis over the asset’s estimated useful life or on a basis that reflects the pattern in which the economic benefits of the intangible are realized.</w:t>
      </w:r>
      <w:r>
        <w:rPr>
          <w:rFonts w:ascii="Times New Roman" w:hAnsi="Times New Roman"/>
          <w:color w:val="000000"/>
          <w:sz w:val="20"/>
        </w:rPr>
        <w:t xml:space="preserve"> </w:t>
      </w:r>
    </w:p>
    <w:p>
      <w:pPr>
        <w:pStyle w:val="TextBody"/>
        <w:bidi w:val="0"/>
        <w:spacing w:before="240" w:after="283"/>
        <w:jc w:val="both"/>
        <w:rPr>
          <w:rFonts w:ascii="Arial" w:hAnsi="Arial"/>
          <w:b/>
          <w:color w:val="000000"/>
          <w:sz w:val="20"/>
        </w:rPr>
      </w:pPr>
      <w:r>
        <w:rPr>
          <w:rFonts w:ascii="Arial" w:hAnsi="Arial"/>
          <w:b/>
          <w:color w:val="000000"/>
          <w:sz w:val="20"/>
        </w:rPr>
        <w:t>Accounting for Impairment of Long-lived Assets</w:t>
      </w:r>
    </w:p>
    <w:p>
      <w:pPr>
        <w:pStyle w:val="TextBody"/>
        <w:bidi w:val="0"/>
        <w:jc w:val="both"/>
        <w:rPr>
          <w:rFonts w:ascii="Arial" w:hAnsi="Arial"/>
          <w:b w:val="false"/>
          <w:color w:val="000000"/>
          <w:sz w:val="20"/>
        </w:rPr>
      </w:pPr>
      <w:r>
        <w:rPr>
          <w:rFonts w:ascii="Arial" w:hAnsi="Arial"/>
          <w:b w:val="false"/>
          <w:color w:val="000000"/>
          <w:sz w:val="20"/>
        </w:rPr>
        <w:t>Long-lived assets with finite lives include property, plant and equipment and acquired intangible assets. The Company evaluates long-lived assets, including acquired intangible assets for impairment whenever events or changes in circumstances indicate that the carrying amount of an asset may not be recoverable. Recoverability of assets held and used is measured by comparison of the carrying amount of an asset or an asset group to estimated undiscounted future net cash flows expected to be generated by the asset or asset group. If the carrying amount of an asset exceeds these estimated future cash flows, an impairment charge is recognized by the amount by which the carrying amount of the assets exceeds the fair value of the asset or asset group.</w:t>
      </w:r>
    </w:p>
    <w:p>
      <w:pPr>
        <w:pStyle w:val="TextBody"/>
        <w:bidi w:val="0"/>
        <w:spacing w:before="240" w:after="283"/>
        <w:jc w:val="both"/>
        <w:rPr>
          <w:rFonts w:ascii="Arial" w:hAnsi="Arial"/>
          <w:b w:val="false"/>
          <w:color w:val="000000"/>
          <w:sz w:val="20"/>
        </w:rPr>
      </w:pPr>
      <w:r>
        <w:rPr>
          <w:rFonts w:ascii="Arial" w:hAnsi="Arial"/>
          <w:b w:val="false"/>
          <w:color w:val="000000"/>
          <w:sz w:val="20"/>
        </w:rPr>
        <w:t>For the three and nine months ended September 30, 2023 and 2022, management determined that there were no triggering events necessitating impairment testing of property, plant, and equipment or intangible assets.</w:t>
      </w:r>
    </w:p>
    <w:p>
      <w:pPr>
        <w:pStyle w:val="TextBody"/>
        <w:bidi w:val="0"/>
        <w:jc w:val="center"/>
        <w:rPr/>
      </w:pPr>
      <w:r>
        <w:rPr/>
        <w:t> </w:t>
      </w:r>
    </w:p>
    <w:p>
      <w:pPr>
        <w:pStyle w:val="TextBody"/>
        <w:bidi w:val="0"/>
        <w:jc w:val="center"/>
        <w:rPr>
          <w:rFonts w:ascii="Arial" w:hAnsi="Arial"/>
          <w:b w:val="false"/>
          <w:color w:val="000000"/>
          <w:sz w:val="20"/>
        </w:rPr>
      </w:pPr>
      <w:r>
        <w:rPr>
          <w:rFonts w:ascii="Arial" w:hAnsi="Arial"/>
          <w:b w:val="false"/>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b/>
          <w:color w:val="000000"/>
          <w:sz w:val="20"/>
        </w:rPr>
      </w:pPr>
      <w:r>
        <w:rPr>
          <w:rFonts w:ascii="Arial" w:hAnsi="Arial"/>
          <w:b/>
          <w:color w:val="000000"/>
          <w:sz w:val="20"/>
        </w:rPr>
        <w:t>Investments - Equity Securities</w:t>
      </w:r>
    </w:p>
    <w:p>
      <w:pPr>
        <w:pStyle w:val="TextBody"/>
        <w:bidi w:val="0"/>
        <w:jc w:val="both"/>
        <w:rPr>
          <w:rFonts w:ascii="Arial" w:hAnsi="Arial"/>
          <w:b w:val="false"/>
          <w:color w:val="000000"/>
          <w:sz w:val="20"/>
        </w:rPr>
      </w:pPr>
      <w:r>
        <w:rPr>
          <w:rFonts w:ascii="Arial" w:hAnsi="Arial"/>
          <w:b w:val="false"/>
          <w:color w:val="000000"/>
          <w:sz w:val="20"/>
        </w:rPr>
        <w:t>Equity securities are stated at fair value. Unrealized gains and losses are reflected in the unaudited condensed consolidated statements of income and comprehensive income. The Company periodically reviews the securities for other than temporary declines in fair value below cost and more frequently when events or changes in circumstances indicate that the carrying amount of an asset may not be recoverable. As of the three and nine months ended September 30, 2023 and September 30, 2022, the Company believes the cost of the securities was recoverable in all material respects.</w:t>
      </w:r>
    </w:p>
    <w:p>
      <w:pPr>
        <w:pStyle w:val="TextBody"/>
        <w:bidi w:val="0"/>
        <w:spacing w:before="240" w:after="283"/>
        <w:jc w:val="both"/>
        <w:rPr>
          <w:rFonts w:ascii="Arial" w:hAnsi="Arial"/>
          <w:b/>
          <w:color w:val="000000"/>
          <w:sz w:val="20"/>
        </w:rPr>
      </w:pPr>
      <w:r>
        <w:rPr>
          <w:rFonts w:ascii="Arial" w:hAnsi="Arial"/>
          <w:b/>
          <w:color w:val="000000"/>
          <w:sz w:val="20"/>
        </w:rPr>
        <w:t>Redeemable Convertible Preferred Stock</w:t>
      </w:r>
    </w:p>
    <w:p>
      <w:pPr>
        <w:pStyle w:val="TextBody"/>
        <w:bidi w:val="0"/>
        <w:jc w:val="both"/>
        <w:rPr>
          <w:rFonts w:ascii="Arial" w:hAnsi="Arial"/>
          <w:b w:val="false"/>
          <w:color w:val="000000"/>
          <w:sz w:val="20"/>
        </w:rPr>
      </w:pPr>
      <w:r>
        <w:rPr>
          <w:rFonts w:ascii="Arial" w:hAnsi="Arial"/>
          <w:b w:val="false"/>
          <w:color w:val="000000"/>
          <w:sz w:val="20"/>
        </w:rPr>
        <w:t>Prior to the closing of the Merger, there were outstanding shares of DTIH Series A redeemable convertible preferred stock ("the "redeemable convertible preferred stock"), which was classified outside of permanent equity in mezzanine equity on the unaudited condensed consolidated balance sheets as it was redeemable on a fixed date.</w:t>
      </w:r>
    </w:p>
    <w:p>
      <w:pPr>
        <w:pStyle w:val="TextBody"/>
        <w:bidi w:val="0"/>
        <w:jc w:val="both"/>
        <w:rPr/>
      </w:pPr>
      <w:r>
        <w:rPr/>
        <w:t> </w:t>
      </w:r>
    </w:p>
    <w:p>
      <w:pPr>
        <w:pStyle w:val="TextBody"/>
        <w:bidi w:val="0"/>
        <w:jc w:val="both"/>
        <w:rPr>
          <w:rFonts w:ascii="Times New Roman" w:hAnsi="Times New Roman"/>
          <w:sz w:val="20"/>
        </w:rPr>
      </w:pPr>
      <w:r>
        <w:rPr>
          <w:rFonts w:ascii="Arial" w:hAnsi="Arial"/>
          <w:b w:val="false"/>
          <w:color w:val="000000"/>
          <w:sz w:val="20"/>
        </w:rPr>
        <w:t>Upon the closing of the Merger, all of the redeemable convertible preferred stock was canceled in exchange for DTIC common stock and the right to receive cash.</w:t>
      </w:r>
      <w:r>
        <w:rPr>
          <w:rFonts w:ascii="Times New Roman" w:hAnsi="Times New Roman"/>
          <w:color w:val="000000"/>
          <w:sz w:val="20"/>
        </w:rPr>
        <w:t xml:space="preserve"> </w:t>
      </w:r>
      <w:r>
        <w:rPr>
          <w:rFonts w:ascii="Arial" w:hAnsi="Arial"/>
          <w:b w:val="false"/>
          <w:color w:val="000000"/>
          <w:sz w:val="20"/>
        </w:rPr>
        <w:t>Accordingly, there was no</w:t>
      </w:r>
      <w:r>
        <w:rPr>
          <w:rFonts w:ascii="Times New Roman" w:hAnsi="Times New Roman"/>
          <w:color w:val="000000"/>
          <w:sz w:val="20"/>
        </w:rPr>
        <w:t xml:space="preserve"> </w:t>
      </w:r>
      <w:r>
        <w:rPr>
          <w:rFonts w:ascii="Arial" w:hAnsi="Arial"/>
          <w:b w:val="false"/>
          <w:color w:val="000000"/>
          <w:sz w:val="20"/>
        </w:rPr>
        <w:t>redeemable convertible preferred stock outstanding as of September 30, 2023. As of December 31, 2022, the carrying value of the redeemable convertible preferred stock outstanding was $17.9</w:t>
      </w:r>
      <w:r>
        <w:rPr>
          <w:rFonts w:ascii="Times New Roman" w:hAnsi="Times New Roman"/>
          <w:color w:val="000000"/>
          <w:sz w:val="20"/>
        </w:rPr>
        <w:t xml:space="preserve"> </w:t>
      </w:r>
      <w:r>
        <w:rPr>
          <w:rFonts w:ascii="Arial" w:hAnsi="Arial"/>
          <w:b w:val="false"/>
          <w:color w:val="000000"/>
          <w:sz w:val="20"/>
        </w:rPr>
        <w:t>million.</w:t>
      </w:r>
    </w:p>
    <w:p>
      <w:pPr>
        <w:pStyle w:val="TextBody"/>
        <w:bidi w:val="0"/>
        <w:jc w:val="both"/>
        <w:rPr>
          <w:rFonts w:ascii="Arial" w:hAnsi="Arial"/>
          <w:b/>
          <w:color w:val="000000"/>
          <w:sz w:val="20"/>
        </w:rPr>
      </w:pPr>
      <w:r>
        <w:rPr>
          <w:rFonts w:ascii="Arial" w:hAnsi="Arial"/>
          <w:b/>
          <w:color w:val="000000"/>
          <w:sz w:val="20"/>
        </w:rPr>
        <w:t>Preferred Stock</w:t>
      </w:r>
    </w:p>
    <w:p>
      <w:pPr>
        <w:pStyle w:val="TextBody"/>
        <w:bidi w:val="0"/>
        <w:jc w:val="both"/>
        <w:rPr>
          <w:rFonts w:ascii="Arial" w:hAnsi="Arial"/>
          <w:b w:val="false"/>
          <w:color w:val="000000"/>
          <w:sz w:val="20"/>
        </w:rPr>
      </w:pPr>
      <w:r>
        <w:rPr>
          <w:rFonts w:ascii="Arial" w:hAnsi="Arial"/>
          <w:b w:val="false"/>
          <w:color w:val="000000"/>
          <w:sz w:val="20"/>
        </w:rPr>
        <w:t>As of the closing of the Merger, the Board of Directors have expressly granted authority to issue shares of preferred stock, in one or more series, and to fix for each such series such voting powers, full or limited, and such designations, preferences and relative, participating, optional or other special rights and such qualifications, limitations or restrictions thereof as shall be stated and expressed in the resolution or resolutions adopted by the Board of Directors providing for the issue of such series and as may be permitted by the Delaware General Corporation Law. The number of authorized shares of preferred stock may be increased or decreased (but not below the number of shares thereof then outstanding) by the affirmative vote of the holders of a majority of the voting power of all of the then outstanding shares of the capital stock of the corporation entitled to vote generally in the election of directors, voting together as a single class, without a separate vote of the holders of the preferred stock, or any series thereof, unless a vote of any such holders is required pursuant to any preferred stock designation.</w:t>
      </w:r>
    </w:p>
    <w:p>
      <w:pPr>
        <w:pStyle w:val="TextBody"/>
        <w:bidi w:val="0"/>
        <w:jc w:val="both"/>
        <w:rPr/>
      </w:pPr>
      <w:r>
        <w:rPr/>
        <w:t> </w:t>
      </w:r>
    </w:p>
    <w:p>
      <w:pPr>
        <w:pStyle w:val="TextBody"/>
        <w:bidi w:val="0"/>
        <w:jc w:val="both"/>
        <w:rPr>
          <w:rFonts w:ascii="Times New Roman" w:hAnsi="Times New Roman"/>
          <w:sz w:val="20"/>
        </w:rPr>
      </w:pPr>
      <w:r>
        <w:rPr>
          <w:rFonts w:ascii="Arial" w:hAnsi="Arial"/>
          <w:b w:val="false"/>
          <w:color w:val="000000"/>
          <w:sz w:val="20"/>
        </w:rPr>
        <w:t>The Board of Directors of the Company has not issued any shares of any classes or series of preferred stock as of September 30, 2023, and through the date these financial statements were available to be issued.</w:t>
      </w:r>
      <w:r>
        <w:rPr>
          <w:rFonts w:ascii="Times New Roman" w:hAnsi="Times New Roman"/>
          <w:color w:val="000000"/>
          <w:sz w:val="20"/>
        </w:rPr>
        <w:t xml:space="preserve"> </w:t>
      </w:r>
    </w:p>
    <w:p>
      <w:pPr>
        <w:pStyle w:val="TextBody"/>
        <w:bidi w:val="0"/>
        <w:spacing w:before="240" w:after="283"/>
        <w:jc w:val="both"/>
        <w:rPr>
          <w:rFonts w:ascii="Arial" w:hAnsi="Arial"/>
          <w:b/>
          <w:color w:val="000000"/>
          <w:sz w:val="20"/>
        </w:rPr>
      </w:pPr>
      <w:r>
        <w:rPr>
          <w:rFonts w:ascii="Arial" w:hAnsi="Arial"/>
          <w:b/>
          <w:color w:val="000000"/>
          <w:sz w:val="20"/>
        </w:rPr>
        <w:t>Cost of Revenue</w:t>
      </w:r>
    </w:p>
    <w:p>
      <w:pPr>
        <w:pStyle w:val="TextBody"/>
        <w:bidi w:val="0"/>
        <w:jc w:val="both"/>
        <w:rPr>
          <w:rFonts w:ascii="Arial" w:hAnsi="Arial"/>
          <w:b w:val="false"/>
          <w:color w:val="000000"/>
          <w:sz w:val="20"/>
        </w:rPr>
      </w:pPr>
      <w:r>
        <w:rPr>
          <w:rFonts w:ascii="Arial" w:hAnsi="Arial"/>
          <w:b w:val="false"/>
          <w:color w:val="000000"/>
          <w:sz w:val="20"/>
        </w:rPr>
        <w:t>The Company recorded all operating costs associated with its product sales and tool rental revenue streams in cost of product sale revenue and cost of tool rental revenue, respectively, in the unaudited condensed consolidated statements of income and comprehensive income. All indirect operating costs, including labor, freight, contract labor and others, are included in selling, general, and administrative expense in the unaudited condensed consolidated statements of income and comprehensive income.</w:t>
      </w:r>
    </w:p>
    <w:p>
      <w:pPr>
        <w:pStyle w:val="TextBody"/>
        <w:bidi w:val="0"/>
        <w:spacing w:before="240" w:after="283"/>
        <w:jc w:val="both"/>
        <w:rPr>
          <w:rFonts w:ascii="Arial" w:hAnsi="Arial"/>
          <w:b/>
          <w:color w:val="000000"/>
          <w:sz w:val="20"/>
        </w:rPr>
      </w:pPr>
      <w:r>
        <w:rPr>
          <w:rFonts w:ascii="Arial" w:hAnsi="Arial"/>
          <w:b/>
          <w:color w:val="000000"/>
          <w:sz w:val="20"/>
        </w:rPr>
        <w:t>Stock-Based Compensation</w:t>
      </w:r>
    </w:p>
    <w:p>
      <w:pPr>
        <w:pStyle w:val="TextBody"/>
        <w:bidi w:val="0"/>
        <w:jc w:val="both"/>
        <w:rPr>
          <w:rFonts w:ascii="Times New Roman" w:hAnsi="Times New Roman"/>
          <w:sz w:val="20"/>
        </w:rPr>
      </w:pPr>
      <w:r>
        <w:rPr>
          <w:rFonts w:ascii="Arial" w:hAnsi="Arial"/>
          <w:b w:val="false"/>
          <w:color w:val="000000"/>
          <w:sz w:val="20"/>
        </w:rPr>
        <w:t xml:space="preserve">The Company accounts for stock-based compensation in accordance with ASC 718, </w:t>
      </w:r>
      <w:r>
        <w:rPr>
          <w:rFonts w:ascii="Arial" w:hAnsi="Arial"/>
          <w:b w:val="false"/>
          <w:i/>
          <w:color w:val="000000"/>
          <w:sz w:val="20"/>
        </w:rPr>
        <w:t>Compensation—Stock Compensation</w:t>
      </w:r>
      <w:r>
        <w:rPr>
          <w:rFonts w:ascii="Times New Roman" w:hAnsi="Times New Roman"/>
          <w:color w:val="000000"/>
          <w:sz w:val="20"/>
        </w:rPr>
        <w:t xml:space="preserve"> </w:t>
      </w:r>
      <w:r>
        <w:rPr>
          <w:rFonts w:ascii="Arial" w:hAnsi="Arial"/>
          <w:b w:val="false"/>
          <w:color w:val="000000"/>
          <w:sz w:val="20"/>
        </w:rPr>
        <w:t>(“ASC 718”). ASC 718 requires that the cost of awards of equity instruments offered in exchange for employee services, including employee stock options and restricted stock awards, be measured based on the grant-date fair value of the award. The Company determines the fair value of stock options granted using the Black-Scholes-Merton option-pricing model (“Black-Scholes model”) and recognizes the cost over the period during which an employee is required to provide service in exchange for the award, generally the vesting period, net of estimated forfeitures. Because the Company’s common stock was not yet publicly traded for any of its stock options granted to date, the Company estimated the fair value of its common stock as of the grant date and used these estimates as inputs into the Black-Scholes model. The Board of Directors considered numerous objective and subjective factors to determine the fair value of the Company’s common stock at each meeting in which awards were approved. The factors considered include, but were not limited to: (i) the results of contemporaneous independent third-party valuations of the Company’s common stock; (ii) the prices, rights, preferences, and privileges of the redeemable convertible preferred stock relative to those of its common stock; (iii) the lack of marketability of the Company’s common stock; (iv) actual operating and financial results; (v) current business conditions and projections; (vi) the likelihood of achieving a liquidity event, such as an initial public offering or sale of the Company, given prevailing market conditions; and (vii) precedent transactions involving the Company’s shares. During the nine months ended September 30, 2023 and 2022, the Company did not grant any stock options. For any grants of stock options subsequent to the Company being publicly traded, the Company will use the quoted market price as of the grant date as an input into the Black-Scholes model.</w:t>
      </w:r>
    </w:p>
    <w:p>
      <w:pPr>
        <w:pStyle w:val="TextBody"/>
        <w:bidi w:val="0"/>
        <w:jc w:val="center"/>
        <w:rPr/>
      </w:pPr>
      <w:r>
        <w:rPr/>
        <w:t> </w:t>
      </w:r>
    </w:p>
    <w:p>
      <w:pPr>
        <w:pStyle w:val="TextBody"/>
        <w:bidi w:val="0"/>
        <w:jc w:val="center"/>
        <w:rPr>
          <w:rFonts w:ascii="Arial" w:hAnsi="Arial"/>
          <w:b w:val="false"/>
          <w:color w:val="000000"/>
          <w:sz w:val="20"/>
        </w:rPr>
      </w:pPr>
      <w:r>
        <w:rPr>
          <w:rFonts w:ascii="Arial" w:hAnsi="Arial"/>
          <w:b w:val="false"/>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color w:val="000000"/>
          <w:sz w:val="20"/>
        </w:rPr>
        <w:t>Earnings Per Share</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Arial" w:hAnsi="Arial"/>
          <w:b w:val="false"/>
          <w:color w:val="000000"/>
          <w:sz w:val="20"/>
        </w:rPr>
        <w:t>Basic earnings per share is computed by dividing the net income (loss) by the weighted-average number of common shares outstanding for the period. Diluted earnings is computed by adjusting net income (loss) to reallocate undistributed earnings based on the potential impact of dilutive securities. Diluted earnings is computed by dividing the diluted net income (loss) by the weighted-average number of common shares outstanding for the period, including potential dilutive common stock. For the purposes of this calculation, outstanding stock options and redeemable convertible preferred stock are considered potential dilutive common stock and are excluded from the computation of net loss per share if their effect is anti-dilutive.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The redeemable convertible preferred stock did not contractually entitle its holders to participate in profits or losses. As such, it was not treated as a participating security in periods of net income or net loss.</w:t>
      </w:r>
      <w:r>
        <w:rPr>
          <w:rFonts w:ascii="Times New Roman" w:hAnsi="Times New Roman"/>
          <w:color w:val="000000"/>
          <w:sz w:val="20"/>
        </w:rPr>
        <w:t xml:space="preserve"> </w:t>
      </w:r>
    </w:p>
    <w:p>
      <w:pPr>
        <w:pStyle w:val="TextBody"/>
        <w:bidi w:val="0"/>
        <w:spacing w:before="240" w:after="283"/>
        <w:jc w:val="both"/>
        <w:rPr>
          <w:rFonts w:ascii="Arial" w:hAnsi="Arial"/>
          <w:b/>
          <w:color w:val="000000"/>
          <w:sz w:val="20"/>
        </w:rPr>
      </w:pPr>
      <w:r>
        <w:rPr>
          <w:rFonts w:ascii="Arial" w:hAnsi="Arial"/>
          <w:b/>
          <w:color w:val="000000"/>
          <w:sz w:val="20"/>
        </w:rPr>
        <w:t>Income Taxes</w:t>
      </w:r>
    </w:p>
    <w:p>
      <w:pPr>
        <w:pStyle w:val="TextBody"/>
        <w:bidi w:val="0"/>
        <w:jc w:val="both"/>
        <w:rPr>
          <w:rFonts w:ascii="Arial" w:hAnsi="Arial"/>
          <w:b w:val="false"/>
          <w:color w:val="000000"/>
          <w:sz w:val="20"/>
        </w:rPr>
      </w:pPr>
      <w:r>
        <w:rPr>
          <w:rFonts w:ascii="Arial" w:hAnsi="Arial"/>
          <w:b w:val="false"/>
          <w:color w:val="000000"/>
          <w:sz w:val="20"/>
        </w:rPr>
        <w:t>Income taxes are provided for the tax effects of transactions reported in the unaudited condensed consolidated financial statements and consist of taxes currently due plus deferred taxes. Deferred tax assets and liabilities are recognized for the future tax consequences attributable to differences between the unaudited condensed consolidated financial statement carrying amounts of existing assets and liabilities and their respective tax bases.</w:t>
      </w:r>
    </w:p>
    <w:p>
      <w:pPr>
        <w:pStyle w:val="TextBody"/>
        <w:bidi w:val="0"/>
        <w:spacing w:before="240" w:after="283"/>
        <w:jc w:val="both"/>
        <w:rPr>
          <w:rFonts w:ascii="Arial" w:hAnsi="Arial"/>
          <w:b w:val="false"/>
          <w:color w:val="000000"/>
          <w:sz w:val="20"/>
        </w:rPr>
      </w:pPr>
      <w:r>
        <w:rPr>
          <w:rFonts w:ascii="Arial" w:hAnsi="Arial"/>
          <w:b w:val="false"/>
          <w:color w:val="000000"/>
          <w:sz w:val="20"/>
        </w:rPr>
        <w:t>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Deferred income tax expense represents the change during the period in the deferred tax assets and liabilities.</w:t>
      </w:r>
    </w:p>
    <w:p>
      <w:pPr>
        <w:pStyle w:val="TextBody"/>
        <w:bidi w:val="0"/>
        <w:spacing w:before="240" w:after="283"/>
        <w:jc w:val="both"/>
        <w:rPr>
          <w:rFonts w:ascii="Arial" w:hAnsi="Arial"/>
          <w:b w:val="false"/>
          <w:color w:val="000000"/>
          <w:sz w:val="20"/>
        </w:rPr>
      </w:pPr>
      <w:r>
        <w:rPr>
          <w:rFonts w:ascii="Arial" w:hAnsi="Arial"/>
          <w:b w:val="false"/>
          <w:color w:val="000000"/>
          <w:sz w:val="20"/>
        </w:rPr>
        <w:t>The Company is subject to state income taxes in various jurisdictions.</w:t>
      </w:r>
    </w:p>
    <w:p>
      <w:pPr>
        <w:pStyle w:val="TextBody"/>
        <w:bidi w:val="0"/>
        <w:spacing w:before="240" w:after="283"/>
        <w:jc w:val="both"/>
        <w:rPr>
          <w:rFonts w:ascii="Times New Roman" w:hAnsi="Times New Roman"/>
          <w:sz w:val="20"/>
        </w:rPr>
      </w:pPr>
      <w:r>
        <w:rPr>
          <w:rFonts w:ascii="Arial" w:hAnsi="Arial"/>
          <w:b w:val="false"/>
          <w:color w:val="000000"/>
          <w:sz w:val="20"/>
        </w:rPr>
        <w:t>The Company follows guidance issued by the FASB in accounting for uncertainty in income taxes. This guidance clarifies the accounting for income taxes by prescribing the minimum recognition threshold an income tax position is required to meet before being recognized in the unaudited condensed consolidated financial statements and applies to all income tax positions. Each income tax position is assessed using a two-step process. A determination is first made as to whether it is more likely than not that the income tax position will be sustained, based upon technical merits and upon examination by the taxing authorities. If the income tax position is expected to meet the more likely than not criteria, the benefit recorded in the unaudited condensed consolidated financial statements equals the largest amount that is greater than 50% likely to be realized upon its ultimate settlement. The Company has no</w:t>
      </w:r>
      <w:r>
        <w:rPr>
          <w:rFonts w:ascii="Times New Roman" w:hAnsi="Times New Roman"/>
          <w:color w:val="000000"/>
          <w:sz w:val="20"/>
        </w:rPr>
        <w:t xml:space="preserve"> </w:t>
      </w:r>
      <w:r>
        <w:rPr>
          <w:rFonts w:ascii="Arial" w:hAnsi="Arial"/>
          <w:b w:val="false"/>
          <w:color w:val="000000"/>
          <w:sz w:val="20"/>
        </w:rPr>
        <w:t>uncertain tax positions at September 30, 2023 and December 31, 2022. The Company believes there are no tax positions taken or expected to be taken that would significantly increase or decrease unrecognized tax benefits within twelve months of the reporting date.</w:t>
      </w:r>
    </w:p>
    <w:p>
      <w:pPr>
        <w:pStyle w:val="TextBody"/>
        <w:bidi w:val="0"/>
        <w:spacing w:before="240" w:after="283"/>
        <w:jc w:val="both"/>
        <w:rPr>
          <w:rFonts w:ascii="Times New Roman" w:hAnsi="Times New Roman"/>
          <w:sz w:val="20"/>
        </w:rPr>
      </w:pPr>
      <w:r>
        <w:rPr>
          <w:rFonts w:ascii="Arial" w:hAnsi="Arial"/>
          <w:b w:val="false"/>
          <w:color w:val="000000"/>
          <w:sz w:val="20"/>
        </w:rPr>
        <w:t>The Company records income tax related interest and penalties, if applicable, as a component of the provision for income tax expense. However, there were no</w:t>
      </w:r>
      <w:r>
        <w:rPr>
          <w:rFonts w:ascii="Times New Roman" w:hAnsi="Times New Roman"/>
          <w:color w:val="000000"/>
          <w:sz w:val="20"/>
        </w:rPr>
        <w:t xml:space="preserve"> </w:t>
      </w:r>
      <w:r>
        <w:rPr>
          <w:rFonts w:ascii="Arial" w:hAnsi="Arial"/>
          <w:b w:val="false"/>
          <w:color w:val="000000"/>
          <w:sz w:val="20"/>
        </w:rPr>
        <w:t>amounts recognized relating to interest and penalties in the unaudited condensed</w:t>
      </w:r>
      <w:r>
        <w:rPr>
          <w:rFonts w:ascii="Times New Roman" w:hAnsi="Times New Roman"/>
          <w:color w:val="CC8400"/>
          <w:sz w:val="20"/>
        </w:rPr>
        <w:t xml:space="preserve"> </w:t>
      </w:r>
      <w:r>
        <w:rPr>
          <w:rFonts w:ascii="Arial" w:hAnsi="Arial"/>
          <w:b w:val="false"/>
          <w:color w:val="000000"/>
          <w:sz w:val="20"/>
        </w:rPr>
        <w:t>consolidated statements of income and comprehensive income for the three and nine months ended September 30, 2023 and 2022.</w:t>
      </w:r>
    </w:p>
    <w:p>
      <w:pPr>
        <w:pStyle w:val="TextBody"/>
        <w:bidi w:val="0"/>
        <w:spacing w:before="240" w:after="283"/>
        <w:jc w:val="left"/>
        <w:rPr>
          <w:rFonts w:ascii="Arial" w:hAnsi="Arial"/>
          <w:b/>
          <w:color w:val="000000"/>
          <w:sz w:val="20"/>
        </w:rPr>
      </w:pPr>
      <w:r>
        <w:rPr>
          <w:rFonts w:ascii="Arial" w:hAnsi="Arial"/>
          <w:b/>
          <w:color w:val="000000"/>
          <w:sz w:val="20"/>
        </w:rPr>
        <w:t>Derivative Financial Instruments</w:t>
      </w:r>
    </w:p>
    <w:p>
      <w:pPr>
        <w:pStyle w:val="TextBody"/>
        <w:bidi w:val="0"/>
        <w:jc w:val="both"/>
        <w:rPr>
          <w:rFonts w:ascii="Arial" w:hAnsi="Arial"/>
          <w:b w:val="false"/>
          <w:color w:val="000000"/>
          <w:sz w:val="20"/>
        </w:rPr>
      </w:pPr>
      <w:r>
        <w:rPr>
          <w:rFonts w:ascii="Arial" w:hAnsi="Arial"/>
          <w:b w:val="false"/>
          <w:color w:val="000000"/>
          <w:sz w:val="20"/>
        </w:rPr>
        <w:t>From time to time, the Company may enter into derivative instruments to manage exposure to interest rate fluctuations. During 2016, the Company entered into an interest swap agreement with respect to amounts outstanding under its revolving line of credit.</w:t>
      </w:r>
    </w:p>
    <w:p>
      <w:pPr>
        <w:pStyle w:val="TextBody"/>
        <w:bidi w:val="0"/>
        <w:spacing w:before="120" w:after="283"/>
        <w:jc w:val="both"/>
        <w:rPr>
          <w:rFonts w:ascii="Arial" w:hAnsi="Arial"/>
          <w:b w:val="false"/>
          <w:color w:val="000000"/>
          <w:sz w:val="20"/>
        </w:rPr>
      </w:pPr>
      <w:r>
        <w:rPr>
          <w:rFonts w:ascii="Arial" w:hAnsi="Arial"/>
          <w:b w:val="false"/>
          <w:color w:val="000000"/>
          <w:sz w:val="20"/>
        </w:rPr>
        <w:t>The Company’s interest rate swap is a pay-fixed, receive-variable interest rate swap based on SOFR swap rate. The SOFR swap rate is observable at commonly quoted intervals for the full term of the swap and therefore is considered a Level 2 item. For interest rate swaps in an asset position, the credit standing of the counterparty is analyzed and factored into the fair value measurement of the asset. The impact of the Company’s creditworthiness has also been factored into the fair value measurement of the interest rate swap in a liability position. For the three and nine months ended September 30, 2023 and 2022, the application of valuation techniques applied to similar assets and liabilities has been consistent.</w:t>
      </w:r>
    </w:p>
    <w:p>
      <w:pPr>
        <w:pStyle w:val="TextBody"/>
        <w:bidi w:val="0"/>
        <w:spacing w:before="120" w:after="283"/>
        <w:jc w:val="both"/>
        <w:rPr>
          <w:rFonts w:ascii="Times New Roman" w:hAnsi="Times New Roman"/>
          <w:sz w:val="20"/>
        </w:rPr>
      </w:pPr>
      <w:r>
        <w:rPr>
          <w:rFonts w:ascii="Arial" w:hAnsi="Arial"/>
          <w:b w:val="false"/>
          <w:color w:val="000000"/>
          <w:sz w:val="20"/>
        </w:rPr>
        <w:t>This arrangement was designed to manage exposure to interest rate fluctuations by effectively exchanging existing obligations to pay interest based on floating rates for obligations to pay interest based on a fixed rate. These derivatives are marked-to-market at the end of each quarter and the realized/unrealized gain or loss is recorded as interest expense. For the three and nine months ended September 30, 2022, the Company recognized an unrealized gain due to the change in</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b w:val="false"/>
          <w:color w:val="000000"/>
          <w:sz w:val="20"/>
        </w:rPr>
      </w:pPr>
      <w:r>
        <w:rPr>
          <w:rFonts w:ascii="Arial" w:hAnsi="Arial"/>
          <w:b w:val="false"/>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Arial" w:hAnsi="Arial"/>
          <w:b w:val="false"/>
          <w:color w:val="000000"/>
          <w:sz w:val="20"/>
        </w:rPr>
        <w:t>fair value of its interest rate swap of approximately $0.4</w:t>
      </w:r>
      <w:r>
        <w:rPr>
          <w:rFonts w:ascii="Times New Roman" w:hAnsi="Times New Roman"/>
          <w:color w:val="000000"/>
          <w:sz w:val="20"/>
        </w:rPr>
        <w:t xml:space="preserve"> </w:t>
      </w:r>
      <w:r>
        <w:rPr>
          <w:rFonts w:ascii="Arial" w:hAnsi="Arial"/>
          <w:b w:val="false"/>
          <w:color w:val="000000"/>
          <w:sz w:val="20"/>
        </w:rPr>
        <w:t>million</w:t>
      </w:r>
      <w:r>
        <w:rPr>
          <w:rFonts w:ascii="Times New Roman" w:hAnsi="Times New Roman"/>
          <w:color w:val="000000"/>
          <w:sz w:val="20"/>
        </w:rPr>
        <w:t xml:space="preserve"> </w:t>
      </w:r>
      <w:r>
        <w:rPr>
          <w:rFonts w:ascii="Arial" w:hAnsi="Arial"/>
          <w:b w:val="false"/>
          <w:color w:val="000000"/>
          <w:sz w:val="20"/>
        </w:rPr>
        <w:t>and $1.4</w:t>
      </w:r>
      <w:r>
        <w:rPr>
          <w:rFonts w:ascii="Times New Roman" w:hAnsi="Times New Roman"/>
          <w:color w:val="000000"/>
          <w:sz w:val="20"/>
        </w:rPr>
        <w:t xml:space="preserve"> </w:t>
      </w:r>
      <w:r>
        <w:rPr>
          <w:rFonts w:ascii="Arial" w:hAnsi="Arial"/>
          <w:b w:val="false"/>
          <w:color w:val="000000"/>
          <w:sz w:val="20"/>
        </w:rPr>
        <w:t>million, respectively in its unaudited condensed consolidated statements of income and comprehensive income.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The interest swap agreement was settled on July 10, 2023. Upon settlement, the swap had a fair value of</w:t>
      </w:r>
      <w:r>
        <w:rPr>
          <w:rFonts w:ascii="Times New Roman" w:hAnsi="Times New Roman"/>
          <w:color w:val="000000"/>
          <w:sz w:val="20"/>
        </w:rPr>
        <w:t xml:space="preserve"> </w:t>
      </w:r>
      <w:r>
        <w:rPr>
          <w:rFonts w:ascii="Arial" w:hAnsi="Arial"/>
          <w:b w:val="false"/>
          <w:color w:val="000000"/>
          <w:sz w:val="20"/>
        </w:rPr>
        <w:t>$0.4</w:t>
      </w:r>
      <w:r>
        <w:rPr>
          <w:rFonts w:ascii="Times New Roman" w:hAnsi="Times New Roman"/>
          <w:color w:val="000000"/>
          <w:sz w:val="20"/>
        </w:rPr>
        <w:t xml:space="preserve"> </w:t>
      </w:r>
      <w:r>
        <w:rPr>
          <w:rFonts w:ascii="Arial" w:hAnsi="Arial"/>
          <w:b w:val="false"/>
          <w:color w:val="000000"/>
          <w:sz w:val="20"/>
        </w:rPr>
        <w:t>million. For the three and nine months ended September 30, 2023, the settlement resulted in a realized loss</w:t>
      </w:r>
      <w:r>
        <w:rPr>
          <w:rFonts w:ascii="Times New Roman" w:hAnsi="Times New Roman"/>
          <w:color w:val="000000"/>
          <w:sz w:val="20"/>
        </w:rPr>
        <w:t xml:space="preserve"> </w:t>
      </w:r>
      <w:r>
        <w:rPr>
          <w:rFonts w:ascii="Arial" w:hAnsi="Arial"/>
          <w:b w:val="false"/>
          <w:color w:val="000000"/>
          <w:sz w:val="20"/>
        </w:rPr>
        <w:t>of $4</w:t>
      </w:r>
      <w:r>
        <w:rPr>
          <w:rFonts w:ascii="Times New Roman" w:hAnsi="Times New Roman"/>
          <w:color w:val="000000"/>
          <w:sz w:val="20"/>
        </w:rPr>
        <w:t xml:space="preserve"> </w:t>
      </w:r>
      <w:r>
        <w:rPr>
          <w:rFonts w:ascii="Arial" w:hAnsi="Arial"/>
          <w:b w:val="false"/>
          <w:color w:val="000000"/>
          <w:sz w:val="20"/>
        </w:rPr>
        <w:t>thousand. The realized losses are included in other expense, net in the unaudited condensed consolidated statements of income and comprehensive income.</w:t>
      </w:r>
    </w:p>
    <w:p>
      <w:pPr>
        <w:pStyle w:val="TextBody"/>
        <w:bidi w:val="0"/>
        <w:spacing w:before="240" w:after="283"/>
        <w:jc w:val="both"/>
        <w:rPr>
          <w:rFonts w:ascii="Arial" w:hAnsi="Arial"/>
          <w:b/>
          <w:color w:val="000000"/>
          <w:sz w:val="20"/>
        </w:rPr>
      </w:pPr>
      <w:r>
        <w:rPr>
          <w:rFonts w:ascii="Arial" w:hAnsi="Arial"/>
          <w:b/>
          <w:color w:val="000000"/>
          <w:sz w:val="20"/>
        </w:rPr>
        <w:t>Fair Value Measurements</w:t>
      </w:r>
    </w:p>
    <w:p>
      <w:pPr>
        <w:pStyle w:val="TextBody"/>
        <w:bidi w:val="0"/>
        <w:jc w:val="both"/>
        <w:rPr>
          <w:rFonts w:ascii="Arial" w:hAnsi="Arial"/>
          <w:b w:val="false"/>
          <w:color w:val="000000"/>
          <w:sz w:val="20"/>
        </w:rPr>
      </w:pPr>
      <w:r>
        <w:rPr>
          <w:rFonts w:ascii="Arial" w:hAnsi="Arial"/>
          <w:b w:val="false"/>
          <w:color w:val="000000"/>
          <w:sz w:val="20"/>
        </w:rPr>
        <w:t>Fair value is the price that would be received to sell an asset or paid to transfer a liability in an orderly transaction between market participants at the measurement date. There is a hierarchy based upon the transparency of inputs used in the valuation of an asset or liability. Classification within the hierarchy is based upon the lowest level of input that is significant to the fair value measurement. The valuation hierarchy contains three levels:</w:t>
      </w:r>
    </w:p>
    <w:p>
      <w:pPr>
        <w:pStyle w:val="TextBody"/>
        <w:bidi w:val="0"/>
        <w:spacing w:before="240" w:after="283"/>
        <w:jc w:val="both"/>
        <w:rPr>
          <w:rFonts w:ascii="Times New Roman" w:hAnsi="Times New Roman"/>
          <w:sz w:val="20"/>
        </w:rPr>
      </w:pPr>
      <w:r>
        <w:rPr>
          <w:rFonts w:ascii="Arial" w:hAnsi="Arial"/>
          <w:b/>
          <w:color w:val="000000"/>
          <w:sz w:val="20"/>
        </w:rPr>
        <w:t xml:space="preserve">Level 1 </w:t>
      </w:r>
      <w:r>
        <w:rPr>
          <w:rFonts w:ascii="Times New Roman" w:hAnsi="Times New Roman"/>
          <w:color w:val="000000"/>
          <w:sz w:val="20"/>
        </w:rPr>
        <w:t xml:space="preserve">– </w:t>
      </w:r>
      <w:r>
        <w:rPr>
          <w:rFonts w:ascii="Arial" w:hAnsi="Arial"/>
          <w:b w:val="false"/>
          <w:color w:val="000000"/>
          <w:sz w:val="20"/>
        </w:rPr>
        <w:t>Valuation inputs are unadjusted quoted market prices for identical assets or liabilities in active markets.</w:t>
      </w:r>
    </w:p>
    <w:p>
      <w:pPr>
        <w:pStyle w:val="TextBody"/>
        <w:bidi w:val="0"/>
        <w:spacing w:before="240" w:after="283"/>
        <w:jc w:val="both"/>
        <w:rPr>
          <w:rFonts w:ascii="Times New Roman" w:hAnsi="Times New Roman"/>
          <w:sz w:val="20"/>
        </w:rPr>
      </w:pPr>
      <w:r>
        <w:rPr>
          <w:rFonts w:ascii="Arial" w:hAnsi="Arial"/>
          <w:b/>
          <w:color w:val="000000"/>
          <w:sz w:val="20"/>
        </w:rPr>
        <w:t xml:space="preserve">Level 2 </w:t>
      </w:r>
      <w:r>
        <w:rPr>
          <w:rFonts w:ascii="Times New Roman" w:hAnsi="Times New Roman"/>
          <w:color w:val="000000"/>
          <w:sz w:val="20"/>
        </w:rPr>
        <w:t xml:space="preserve">– </w:t>
      </w:r>
      <w:r>
        <w:rPr>
          <w:rFonts w:ascii="Arial" w:hAnsi="Arial"/>
          <w:b w:val="false"/>
          <w:color w:val="000000"/>
          <w:sz w:val="20"/>
        </w:rPr>
        <w:t>Valuation inputs are quoted prices for identical assets or liabilities in markets that are not active, quoted market prices for similar assets and liabilities in active markets and other observable inputs directly or indirectly related to the assets or liabilities being measured.</w:t>
      </w:r>
    </w:p>
    <w:p>
      <w:pPr>
        <w:pStyle w:val="TextBody"/>
        <w:bidi w:val="0"/>
        <w:spacing w:before="240" w:after="283"/>
        <w:jc w:val="both"/>
        <w:rPr>
          <w:rFonts w:ascii="Times New Roman" w:hAnsi="Times New Roman"/>
          <w:sz w:val="20"/>
        </w:rPr>
      </w:pPr>
      <w:r>
        <w:rPr>
          <w:rFonts w:ascii="Arial" w:hAnsi="Arial"/>
          <w:b/>
          <w:color w:val="000000"/>
          <w:sz w:val="20"/>
        </w:rPr>
        <w:t xml:space="preserve">Level 3 </w:t>
      </w:r>
      <w:r>
        <w:rPr>
          <w:rFonts w:ascii="Times New Roman" w:hAnsi="Times New Roman"/>
          <w:color w:val="000000"/>
          <w:sz w:val="20"/>
        </w:rPr>
        <w:t xml:space="preserve">– </w:t>
      </w:r>
      <w:r>
        <w:rPr>
          <w:rFonts w:ascii="Arial" w:hAnsi="Arial"/>
          <w:b w:val="false"/>
          <w:color w:val="000000"/>
          <w:sz w:val="20"/>
        </w:rPr>
        <w:t>Valuation inputs are unobservable and significant to the fair value measurement.</w:t>
      </w:r>
    </w:p>
    <w:p>
      <w:pPr>
        <w:pStyle w:val="TextBody"/>
        <w:bidi w:val="0"/>
        <w:spacing w:before="240" w:after="283"/>
        <w:jc w:val="both"/>
        <w:rPr>
          <w:rFonts w:ascii="Arial" w:hAnsi="Arial"/>
          <w:b w:val="false"/>
          <w:color w:val="000000"/>
          <w:sz w:val="20"/>
        </w:rPr>
      </w:pPr>
      <w:r>
        <w:rPr>
          <w:rFonts w:ascii="Arial" w:hAnsi="Arial"/>
          <w:b w:val="false"/>
          <w:color w:val="000000"/>
          <w:sz w:val="20"/>
        </w:rPr>
        <w:t>The asset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w:t>
      </w:r>
    </w:p>
    <w:p>
      <w:pPr>
        <w:pStyle w:val="TextBody"/>
        <w:bidi w:val="0"/>
        <w:spacing w:before="240" w:after="283"/>
        <w:jc w:val="both"/>
        <w:rPr>
          <w:rFonts w:ascii="Arial" w:hAnsi="Arial"/>
          <w:b w:val="false"/>
          <w:color w:val="000000"/>
          <w:sz w:val="20"/>
        </w:rPr>
      </w:pPr>
      <w:r>
        <w:rPr>
          <w:rFonts w:ascii="Arial" w:hAnsi="Arial"/>
          <w:b w:val="false"/>
          <w:color w:val="000000"/>
          <w:sz w:val="20"/>
        </w:rPr>
        <w:t>In determining the appropriate levels, the Company performs a detailed analysis of the assets and liabilities that are measured and reported on a fair value basis. At each reporting period, all assets and liabilities for which the fair value measurement is based on significant unobservable inputs are classified as Level 3.</w:t>
      </w:r>
    </w:p>
    <w:p>
      <w:pPr>
        <w:pStyle w:val="TextBody"/>
        <w:bidi w:val="0"/>
        <w:spacing w:before="240" w:after="283"/>
        <w:jc w:val="both"/>
        <w:rPr>
          <w:rFonts w:ascii="Arial" w:hAnsi="Arial"/>
          <w:b w:val="false"/>
          <w:color w:val="000000"/>
          <w:sz w:val="20"/>
        </w:rPr>
      </w:pPr>
      <w:r>
        <w:rPr>
          <w:rFonts w:ascii="Arial" w:hAnsi="Arial"/>
          <w:b w:val="false"/>
          <w:color w:val="000000"/>
          <w:sz w:val="20"/>
        </w:rPr>
        <w:t>Asset and liabilities measured at fair value are summarized as follows (in thousands):</w:t>
      </w:r>
    </w:p>
    <w:p>
      <w:pPr>
        <w:pStyle w:val="TextBody"/>
        <w:bidi w:val="0"/>
        <w:jc w:val="both"/>
        <w:rPr/>
      </w:pPr>
      <w:r>
        <w:rPr/>
        <w:t> </w:t>
      </w:r>
    </w:p>
    <w:tbl>
      <w:tblPr>
        <w:tblW w:w="7100" w:type="dxa"/>
        <w:jc w:val="left"/>
        <w:tblInd w:w="0" w:type="dxa"/>
        <w:tblLayout w:type="fixed"/>
        <w:tblCellMar>
          <w:top w:w="28" w:type="dxa"/>
          <w:left w:w="28" w:type="dxa"/>
          <w:bottom w:w="28" w:type="dxa"/>
          <w:right w:w="28" w:type="dxa"/>
        </w:tblCellMar>
      </w:tblPr>
      <w:tblGrid>
        <w:gridCol w:w="2746"/>
        <w:gridCol w:w="146"/>
        <w:gridCol w:w="211"/>
        <w:gridCol w:w="588"/>
        <w:gridCol w:w="146"/>
        <w:gridCol w:w="146"/>
        <w:gridCol w:w="211"/>
        <w:gridCol w:w="422"/>
        <w:gridCol w:w="146"/>
        <w:gridCol w:w="146"/>
        <w:gridCol w:w="238"/>
        <w:gridCol w:w="392"/>
        <w:gridCol w:w="146"/>
        <w:gridCol w:w="146"/>
        <w:gridCol w:w="211"/>
        <w:gridCol w:w="588"/>
        <w:gridCol w:w="471"/>
      </w:tblGrid>
      <w:tr>
        <w:trPr/>
        <w:tc>
          <w:tcPr>
            <w:tcW w:w="2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27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3737" w:type="dxa"/>
            <w:gridSpan w:val="14"/>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Assets at Fair Value as of September 30, 2023</w:t>
            </w:r>
          </w:p>
        </w:tc>
        <w:tc>
          <w:tcPr>
            <w:tcW w:w="471" w:type="dxa"/>
            <w:tcBorders/>
            <w:shd w:fill="FFFFFF" w:val="clear"/>
            <w:vAlign w:val="center"/>
          </w:tcPr>
          <w:p>
            <w:pPr>
              <w:pStyle w:val="TableContents"/>
              <w:bidi w:val="0"/>
              <w:spacing w:before="0" w:after="283"/>
              <w:jc w:val="center"/>
              <w:rPr/>
            </w:pPr>
            <w:r>
              <w:rPr/>
              <w:t> </w:t>
            </w:r>
          </w:p>
        </w:tc>
      </w:tr>
      <w:tr>
        <w:trPr/>
        <w:tc>
          <w:tcPr>
            <w:tcW w:w="27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7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val="false"/>
                <w:color w:val="000000"/>
                <w:sz w:val="16"/>
              </w:rPr>
            </w:pPr>
            <w:r>
              <w:rPr>
                <w:rFonts w:ascii="Arial" w:hAnsi="Arial"/>
                <w:b w:val="false"/>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val="false"/>
                <w:color w:val="000000"/>
                <w:sz w:val="16"/>
              </w:rPr>
            </w:pPr>
            <w:r>
              <w:rPr>
                <w:rFonts w:ascii="Arial" w:hAnsi="Arial"/>
                <w:b w:val="false"/>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val="false"/>
                <w:color w:val="000000"/>
                <w:sz w:val="16"/>
              </w:rPr>
            </w:pPr>
            <w:r>
              <w:rPr>
                <w:rFonts w:ascii="Arial" w:hAnsi="Arial"/>
                <w:b w:val="false"/>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val="false"/>
                <w:color w:val="000000"/>
                <w:sz w:val="16"/>
              </w:rPr>
            </w:pPr>
            <w:r>
              <w:rPr>
                <w:rFonts w:ascii="Arial" w:hAnsi="Arial"/>
                <w:b w:val="false"/>
                <w:color w:val="000000"/>
                <w:sz w:val="16"/>
              </w:rPr>
              <w:t>Total</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4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Investments, equity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5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995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4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5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995</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2746" w:type="dxa"/>
            <w:tcBorders/>
            <w:shd w:fill="FFFFFF" w:val="clear"/>
            <w:vAlign w:val="center"/>
          </w:tcPr>
          <w:p>
            <w:pPr>
              <w:pStyle w:val="TableContents"/>
              <w:bidi w:val="0"/>
              <w:spacing w:before="0" w:after="283"/>
              <w:ind w:left="280" w:right="0" w:firstLine="280"/>
              <w:jc w:val="left"/>
              <w:rPr>
                <w:rFonts w:ascii="Arial" w:hAnsi="Arial"/>
                <w:b/>
                <w:color w:val="000000"/>
                <w:sz w:val="20"/>
              </w:rPr>
            </w:pPr>
            <w:r>
              <w:rPr>
                <w:rFonts w:ascii="Arial" w:hAnsi="Arial"/>
                <w:b/>
                <w:color w:val="000000"/>
                <w:sz w:val="20"/>
              </w:rPr>
              <w:t>Total assets at fair value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995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3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995</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33"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3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9" w:type="dxa"/>
            <w:gridSpan w:val="2"/>
            <w:tcBorders/>
            <w:shd w:fill="FFFFFF" w:val="clear"/>
            <w:vAlign w:val="center"/>
          </w:tcPr>
          <w:p>
            <w:pPr>
              <w:pStyle w:val="TableContents"/>
              <w:bidi w:val="0"/>
              <w:spacing w:before="0" w:after="283"/>
              <w:jc w:val="right"/>
              <w:rPr/>
            </w:pPr>
            <w:r>
              <w:rPr/>
              <w:t> </w:t>
            </w:r>
          </w:p>
        </w:tc>
        <w:tc>
          <w:tcPr>
            <w:tcW w:w="471" w:type="dxa"/>
            <w:tcBorders/>
            <w:shd w:fill="FFFFFF" w:val="clear"/>
            <w:vAlign w:val="center"/>
          </w:tcPr>
          <w:p>
            <w:pPr>
              <w:pStyle w:val="TableContents"/>
              <w:bidi w:val="0"/>
              <w:spacing w:before="0" w:after="283"/>
              <w:jc w:val="right"/>
              <w:rPr/>
            </w:pPr>
            <w:r>
              <w:rPr/>
              <w:t> </w:t>
            </w:r>
          </w:p>
        </w:tc>
      </w:tr>
      <w:tr>
        <w:trPr/>
        <w:tc>
          <w:tcPr>
            <w:tcW w:w="27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33"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3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9" w:type="dxa"/>
            <w:gridSpan w:val="2"/>
            <w:tcBorders/>
            <w:shd w:fill="FFFFFF" w:val="clear"/>
            <w:vAlign w:val="center"/>
          </w:tcPr>
          <w:p>
            <w:pPr>
              <w:pStyle w:val="TableContents"/>
              <w:bidi w:val="0"/>
              <w:spacing w:before="0" w:after="283"/>
              <w:jc w:val="right"/>
              <w:rPr/>
            </w:pPr>
            <w:r>
              <w:rPr/>
              <w:t> </w:t>
            </w:r>
          </w:p>
        </w:tc>
        <w:tc>
          <w:tcPr>
            <w:tcW w:w="471" w:type="dxa"/>
            <w:tcBorders/>
            <w:shd w:fill="FFFFFF" w:val="clear"/>
            <w:vAlign w:val="center"/>
          </w:tcPr>
          <w:p>
            <w:pPr>
              <w:pStyle w:val="TableContents"/>
              <w:bidi w:val="0"/>
              <w:spacing w:before="0" w:after="283"/>
              <w:jc w:val="right"/>
              <w:rPr/>
            </w:pPr>
            <w:r>
              <w:rPr/>
              <w:t> </w:t>
            </w:r>
          </w:p>
        </w:tc>
      </w:tr>
      <w:tr>
        <w:trPr/>
        <w:tc>
          <w:tcPr>
            <w:tcW w:w="2746"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3737" w:type="dxa"/>
            <w:gridSpan w:val="14"/>
            <w:tcBorders/>
            <w:shd w:fill="CFF0FC"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Assets at Fair Value as of December 31, 2022</w:t>
            </w:r>
          </w:p>
        </w:tc>
        <w:tc>
          <w:tcPr>
            <w:tcW w:w="471" w:type="dxa"/>
            <w:tcBorders/>
            <w:shd w:fill="CFF0FC" w:val="clear"/>
            <w:vAlign w:val="center"/>
          </w:tcPr>
          <w:p>
            <w:pPr>
              <w:pStyle w:val="TableContents"/>
              <w:bidi w:val="0"/>
              <w:spacing w:before="0" w:after="283"/>
              <w:jc w:val="center"/>
              <w:rPr/>
            </w:pPr>
            <w:r>
              <w:rPr/>
              <w:t> </w:t>
            </w:r>
          </w:p>
        </w:tc>
      </w:tr>
      <w:tr>
        <w:trPr/>
        <w:tc>
          <w:tcPr>
            <w:tcW w:w="27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7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val="false"/>
                <w:color w:val="000000"/>
                <w:sz w:val="16"/>
              </w:rPr>
            </w:pPr>
            <w:r>
              <w:rPr>
                <w:rFonts w:ascii="Arial" w:hAnsi="Arial"/>
                <w:b w:val="false"/>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val="false"/>
                <w:color w:val="000000"/>
                <w:sz w:val="16"/>
              </w:rPr>
            </w:pPr>
            <w:r>
              <w:rPr>
                <w:rFonts w:ascii="Arial" w:hAnsi="Arial"/>
                <w:b w:val="false"/>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val="false"/>
                <w:color w:val="000000"/>
                <w:sz w:val="16"/>
              </w:rPr>
            </w:pPr>
            <w:r>
              <w:rPr>
                <w:rFonts w:ascii="Arial" w:hAnsi="Arial"/>
                <w:b w:val="false"/>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val="false"/>
                <w:color w:val="000000"/>
                <w:sz w:val="16"/>
              </w:rPr>
            </w:pPr>
            <w:r>
              <w:rPr>
                <w:rFonts w:ascii="Arial" w:hAnsi="Arial"/>
                <w:b w:val="false"/>
                <w:color w:val="000000"/>
                <w:sz w:val="16"/>
              </w:rPr>
              <w:t>Total</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4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Investments, equity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588"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1,143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42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39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588"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1,143</w:t>
            </w:r>
          </w:p>
        </w:tc>
        <w:tc>
          <w:tcPr>
            <w:tcW w:w="471" w:type="dxa"/>
            <w:tcBorders/>
            <w:shd w:fill="CFF0FC" w:val="clear"/>
            <w:vAlign w:val="center"/>
          </w:tcPr>
          <w:p>
            <w:pPr>
              <w:pStyle w:val="TableContents"/>
              <w:bidi w:val="0"/>
              <w:spacing w:before="0" w:after="283"/>
              <w:jc w:val="left"/>
              <w:rPr/>
            </w:pPr>
            <w:r>
              <w:rPr/>
              <w:t> </w:t>
            </w:r>
          </w:p>
        </w:tc>
      </w:tr>
      <w:tr>
        <w:trPr/>
        <w:tc>
          <w:tcPr>
            <w:tcW w:w="274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Interest rate swap</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476</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2746" w:type="dxa"/>
            <w:tcBorders/>
            <w:shd w:fill="CFF0FC" w:val="clear"/>
            <w:vAlign w:val="center"/>
          </w:tcPr>
          <w:p>
            <w:pPr>
              <w:pStyle w:val="TableContents"/>
              <w:bidi w:val="0"/>
              <w:spacing w:before="0" w:after="283"/>
              <w:ind w:left="280" w:right="0" w:firstLine="280"/>
              <w:jc w:val="left"/>
              <w:rPr>
                <w:rFonts w:ascii="Arial" w:hAnsi="Arial"/>
                <w:b/>
                <w:color w:val="000000"/>
                <w:sz w:val="20"/>
              </w:rPr>
            </w:pPr>
            <w:r>
              <w:rPr>
                <w:rFonts w:ascii="Arial" w:hAnsi="Arial"/>
                <w:b/>
                <w:color w:val="000000"/>
                <w:sz w:val="20"/>
              </w:rPr>
              <w:t>Total assets at fair value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1,143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476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3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1,619</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both"/>
        <w:rPr>
          <w:rFonts w:ascii="Arial" w:hAnsi="Arial"/>
          <w:b w:val="false"/>
          <w:color w:val="000000"/>
          <w:sz w:val="20"/>
        </w:rPr>
      </w:pPr>
      <w:r>
        <w:rPr>
          <w:rFonts w:ascii="Arial" w:hAnsi="Arial"/>
          <w:b w:val="false"/>
          <w:color w:val="000000"/>
          <w:sz w:val="20"/>
        </w:rPr>
        <w:t>As of September 30, 2023 and December 31, 2022, the Company did not have any Level 3 assets or liabilities.</w:t>
      </w:r>
    </w:p>
    <w:p>
      <w:pPr>
        <w:pStyle w:val="TextBody"/>
        <w:bidi w:val="0"/>
        <w:spacing w:before="240" w:after="283"/>
        <w:jc w:val="both"/>
        <w:rPr>
          <w:rFonts w:ascii="Arial" w:hAnsi="Arial"/>
          <w:b/>
          <w:color w:val="000000"/>
          <w:sz w:val="20"/>
        </w:rPr>
      </w:pPr>
      <w:r>
        <w:rPr>
          <w:rFonts w:ascii="Arial" w:hAnsi="Arial"/>
          <w:b/>
          <w:color w:val="000000"/>
          <w:sz w:val="20"/>
        </w:rPr>
        <w:t>Fair Value of Financial Instruments</w:t>
      </w:r>
    </w:p>
    <w:p>
      <w:pPr>
        <w:pStyle w:val="TextBody"/>
        <w:bidi w:val="0"/>
        <w:jc w:val="both"/>
        <w:rPr>
          <w:rFonts w:ascii="Arial" w:hAnsi="Arial"/>
          <w:b w:val="false"/>
          <w:color w:val="000000"/>
          <w:sz w:val="20"/>
        </w:rPr>
      </w:pPr>
      <w:r>
        <w:rPr>
          <w:rFonts w:ascii="Arial" w:hAnsi="Arial"/>
          <w:b w:val="false"/>
          <w:color w:val="000000"/>
          <w:sz w:val="20"/>
        </w:rPr>
        <w:t>The Company’s financial instruments consist primarily of cash, accounts receivable, accounts payable. The carrying amount of such instruments approximates fair value due to their short-term nature.</w:t>
      </w:r>
    </w:p>
    <w:p>
      <w:pPr>
        <w:pStyle w:val="TextBody"/>
        <w:bidi w:val="0"/>
        <w:jc w:val="center"/>
        <w:rPr/>
      </w:pPr>
      <w:r>
        <w:rPr/>
        <w:t> </w:t>
      </w:r>
    </w:p>
    <w:p>
      <w:pPr>
        <w:pStyle w:val="TextBody"/>
        <w:bidi w:val="0"/>
        <w:jc w:val="center"/>
        <w:rPr>
          <w:rFonts w:ascii="Arial" w:hAnsi="Arial"/>
          <w:b w:val="false"/>
          <w:color w:val="000000"/>
          <w:sz w:val="20"/>
        </w:rPr>
      </w:pPr>
      <w:r>
        <w:rPr>
          <w:rFonts w:ascii="Arial" w:hAnsi="Arial"/>
          <w:b w:val="false"/>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b/>
          <w:color w:val="000000"/>
          <w:sz w:val="20"/>
        </w:rPr>
      </w:pPr>
      <w:r>
        <w:rPr>
          <w:rFonts w:ascii="Arial" w:hAnsi="Arial"/>
          <w:b/>
          <w:color w:val="000000"/>
          <w:sz w:val="20"/>
        </w:rPr>
        <w:t>Concentration of Credit Risk and Other Risks and Uncertainties</w:t>
      </w:r>
    </w:p>
    <w:p>
      <w:pPr>
        <w:pStyle w:val="TextBody"/>
        <w:bidi w:val="0"/>
        <w:jc w:val="both"/>
        <w:rPr>
          <w:rFonts w:ascii="Arial" w:hAnsi="Arial"/>
          <w:b w:val="false"/>
          <w:color w:val="000000"/>
          <w:sz w:val="20"/>
        </w:rPr>
      </w:pPr>
      <w:r>
        <w:rPr>
          <w:rFonts w:ascii="Arial" w:hAnsi="Arial"/>
          <w:b w:val="false"/>
          <w:color w:val="000000"/>
          <w:sz w:val="20"/>
        </w:rPr>
        <w:t>The Company’s customer concentration may impact its overall credit risk, either positively or negatively, in that these entities may be similarly affected by changes in economic or other conditions affecting the oil and gas industry.</w:t>
      </w:r>
    </w:p>
    <w:p>
      <w:pPr>
        <w:pStyle w:val="TextBody"/>
        <w:bidi w:val="0"/>
        <w:spacing w:before="240" w:after="283"/>
        <w:jc w:val="both"/>
        <w:rPr>
          <w:rFonts w:ascii="Times New Roman" w:hAnsi="Times New Roman"/>
          <w:sz w:val="20"/>
        </w:rPr>
      </w:pPr>
      <w:r>
        <w:rPr>
          <w:rFonts w:ascii="Arial" w:hAnsi="Arial"/>
          <w:b w:val="false"/>
          <w:color w:val="000000"/>
          <w:sz w:val="20"/>
        </w:rPr>
        <w:t>During the three months ended September 30, 2023 and 2022, the Company generated approximately 28%</w:t>
      </w:r>
      <w:r>
        <w:rPr>
          <w:rFonts w:ascii="Times New Roman" w:hAnsi="Times New Roman"/>
          <w:color w:val="000000"/>
          <w:sz w:val="20"/>
        </w:rPr>
        <w:t xml:space="preserve"> </w:t>
      </w:r>
      <w:r>
        <w:rPr>
          <w:rFonts w:ascii="Arial" w:hAnsi="Arial"/>
          <w:b w:val="false"/>
          <w:color w:val="000000"/>
          <w:sz w:val="20"/>
        </w:rPr>
        <w:t>and 26%, respectively, of its revenue from two customers. During the nine months ended September 30, 2023 and 2022, the Company generated approximately 28%</w:t>
      </w:r>
      <w:r>
        <w:rPr>
          <w:rFonts w:ascii="Times New Roman" w:hAnsi="Times New Roman"/>
          <w:color w:val="000000"/>
          <w:sz w:val="20"/>
        </w:rPr>
        <w:t xml:space="preserve"> </w:t>
      </w:r>
      <w:r>
        <w:rPr>
          <w:rFonts w:ascii="Arial" w:hAnsi="Arial"/>
          <w:b w:val="false"/>
          <w:color w:val="000000"/>
          <w:sz w:val="20"/>
        </w:rPr>
        <w:t>and 27%, respectively, of its revenue from two customers. Amounts due from these customers included in accounts receivable at September 30, 2023 and December 31, 2022 were approximately $8.4</w:t>
      </w:r>
      <w:r>
        <w:rPr>
          <w:rFonts w:ascii="Times New Roman" w:hAnsi="Times New Roman"/>
          <w:color w:val="000000"/>
          <w:sz w:val="20"/>
        </w:rPr>
        <w:t xml:space="preserve"> </w:t>
      </w:r>
      <w:r>
        <w:rPr>
          <w:rFonts w:ascii="Arial" w:hAnsi="Arial"/>
          <w:b w:val="false"/>
          <w:color w:val="000000"/>
          <w:sz w:val="20"/>
        </w:rPr>
        <w:t>million</w:t>
      </w:r>
      <w:r>
        <w:rPr>
          <w:rFonts w:ascii="Times New Roman" w:hAnsi="Times New Roman"/>
          <w:color w:val="000000"/>
          <w:sz w:val="20"/>
        </w:rPr>
        <w:t xml:space="preserve"> </w:t>
      </w:r>
      <w:r>
        <w:rPr>
          <w:rFonts w:ascii="Arial" w:hAnsi="Arial"/>
          <w:b w:val="false"/>
          <w:color w:val="000000"/>
          <w:sz w:val="20"/>
        </w:rPr>
        <w:t>and $8.6</w:t>
      </w:r>
      <w:r>
        <w:rPr>
          <w:rFonts w:ascii="Times New Roman" w:hAnsi="Times New Roman"/>
          <w:color w:val="000000"/>
          <w:sz w:val="20"/>
        </w:rPr>
        <w:t xml:space="preserve"> </w:t>
      </w:r>
      <w:r>
        <w:rPr>
          <w:rFonts w:ascii="Arial" w:hAnsi="Arial"/>
          <w:b w:val="false"/>
          <w:color w:val="000000"/>
          <w:sz w:val="20"/>
        </w:rPr>
        <w:t>million, respectively.</w:t>
      </w:r>
    </w:p>
    <w:p>
      <w:pPr>
        <w:pStyle w:val="TextBody"/>
        <w:bidi w:val="0"/>
        <w:spacing w:before="240" w:after="283"/>
        <w:jc w:val="both"/>
        <w:rPr>
          <w:rFonts w:ascii="Times New Roman" w:hAnsi="Times New Roman"/>
          <w:sz w:val="20"/>
        </w:rPr>
      </w:pPr>
      <w:r>
        <w:rPr>
          <w:rFonts w:ascii="Arial" w:hAnsi="Arial"/>
          <w:b w:val="false"/>
          <w:color w:val="000000"/>
          <w:sz w:val="20"/>
        </w:rPr>
        <w:t>During the three months ended September 30, 2023 and 2022, the Company had one and two vendors that represented approximately 15%</w:t>
      </w:r>
      <w:r>
        <w:rPr>
          <w:rFonts w:ascii="Times New Roman" w:hAnsi="Times New Roman"/>
          <w:color w:val="000000"/>
          <w:sz w:val="20"/>
        </w:rPr>
        <w:t xml:space="preserve"> </w:t>
      </w:r>
      <w:r>
        <w:rPr>
          <w:rFonts w:ascii="Arial" w:hAnsi="Arial"/>
          <w:b w:val="false"/>
          <w:color w:val="000000"/>
          <w:sz w:val="20"/>
        </w:rPr>
        <w:t>and 30%</w:t>
      </w:r>
      <w:r>
        <w:rPr>
          <w:rFonts w:ascii="Times New Roman" w:hAnsi="Times New Roman"/>
          <w:color w:val="000000"/>
          <w:sz w:val="20"/>
        </w:rPr>
        <w:t xml:space="preserve"> </w:t>
      </w:r>
      <w:r>
        <w:rPr>
          <w:rFonts w:ascii="Arial" w:hAnsi="Arial"/>
          <w:b w:val="false"/>
          <w:color w:val="000000"/>
          <w:sz w:val="20"/>
        </w:rPr>
        <w:t>of its vendor purchases, respectively. During the nine months ended September 30, 2023 and 2022, the Company had two and one vendors that represented approximately 21%</w:t>
      </w:r>
      <w:r>
        <w:rPr>
          <w:rFonts w:ascii="Times New Roman" w:hAnsi="Times New Roman"/>
          <w:color w:val="000000"/>
          <w:sz w:val="20"/>
        </w:rPr>
        <w:t xml:space="preserve"> </w:t>
      </w:r>
      <w:r>
        <w:rPr>
          <w:rFonts w:ascii="Arial" w:hAnsi="Arial"/>
          <w:b w:val="false"/>
          <w:color w:val="000000"/>
          <w:sz w:val="20"/>
        </w:rPr>
        <w:t>and 16%</w:t>
      </w:r>
      <w:r>
        <w:rPr>
          <w:rFonts w:ascii="Times New Roman" w:hAnsi="Times New Roman"/>
          <w:color w:val="000000"/>
          <w:sz w:val="20"/>
        </w:rPr>
        <w:t xml:space="preserve"> </w:t>
      </w:r>
      <w:r>
        <w:rPr>
          <w:rFonts w:ascii="Arial" w:hAnsi="Arial"/>
          <w:b w:val="false"/>
          <w:color w:val="000000"/>
          <w:sz w:val="20"/>
        </w:rPr>
        <w:t>of its vendor purchases, respectively. Amounts due to these vendors included in accounts payable at September 30, 2023 and December 31, 2022 were approximately $1.8</w:t>
      </w:r>
      <w:r>
        <w:rPr>
          <w:rFonts w:ascii="Times New Roman" w:hAnsi="Times New Roman"/>
          <w:color w:val="000000"/>
          <w:sz w:val="20"/>
        </w:rPr>
        <w:t xml:space="preserve"> </w:t>
      </w:r>
      <w:r>
        <w:rPr>
          <w:rFonts w:ascii="Arial" w:hAnsi="Arial"/>
          <w:b w:val="false"/>
          <w:color w:val="000000"/>
          <w:sz w:val="20"/>
        </w:rPr>
        <w:t>million</w:t>
      </w:r>
      <w:r>
        <w:rPr>
          <w:rFonts w:ascii="Times New Roman" w:hAnsi="Times New Roman"/>
          <w:color w:val="000000"/>
          <w:sz w:val="20"/>
        </w:rPr>
        <w:t xml:space="preserve"> </w:t>
      </w:r>
      <w:r>
        <w:rPr>
          <w:rFonts w:ascii="Arial" w:hAnsi="Arial"/>
          <w:b w:val="false"/>
          <w:color w:val="000000"/>
          <w:sz w:val="20"/>
        </w:rPr>
        <w:t>and $1.0</w:t>
      </w:r>
      <w:r>
        <w:rPr>
          <w:rFonts w:ascii="Times New Roman" w:hAnsi="Times New Roman"/>
          <w:color w:val="000000"/>
          <w:sz w:val="20"/>
        </w:rPr>
        <w:t xml:space="preserve"> </w:t>
      </w:r>
      <w:r>
        <w:rPr>
          <w:rFonts w:ascii="Arial" w:hAnsi="Arial"/>
          <w:b w:val="false"/>
          <w:color w:val="000000"/>
          <w:sz w:val="20"/>
        </w:rPr>
        <w:t>million, respectively.</w:t>
      </w:r>
    </w:p>
    <w:p>
      <w:pPr>
        <w:pStyle w:val="TextBody"/>
        <w:bidi w:val="0"/>
        <w:spacing w:before="240" w:after="283"/>
        <w:jc w:val="both"/>
        <w:rPr>
          <w:rFonts w:ascii="Arial" w:hAnsi="Arial"/>
          <w:b w:val="false"/>
          <w:color w:val="000000"/>
          <w:sz w:val="20"/>
        </w:rPr>
      </w:pPr>
      <w:r>
        <w:rPr>
          <w:rFonts w:ascii="Arial" w:hAnsi="Arial"/>
          <w:b w:val="false"/>
          <w:color w:val="000000"/>
          <w:sz w:val="20"/>
        </w:rPr>
        <w:t>Financial instruments that potentially subject the Company to concentrations of credit risk consist primarily of cash. The Company maintains accounts in federally insured financial institutions in excess of federally insured limits. Management believes the Company is not exposed to significant credit risk due to the financial position of the depository institutions in which these deposits are held and of the money market funds in which these investments are made.</w:t>
      </w:r>
    </w:p>
    <w:p>
      <w:pPr>
        <w:pStyle w:val="TextBody"/>
        <w:bidi w:val="0"/>
        <w:spacing w:before="240" w:after="283"/>
        <w:jc w:val="both"/>
        <w:rPr>
          <w:rFonts w:ascii="Arial" w:hAnsi="Arial"/>
          <w:b/>
          <w:color w:val="000000"/>
          <w:sz w:val="20"/>
        </w:rPr>
      </w:pPr>
      <w:r>
        <w:rPr>
          <w:rFonts w:ascii="Arial" w:hAnsi="Arial"/>
          <w:b/>
          <w:color w:val="000000"/>
          <w:sz w:val="20"/>
        </w:rPr>
        <w:t>Operating Segment</w:t>
      </w:r>
    </w:p>
    <w:p>
      <w:pPr>
        <w:pStyle w:val="TextBody"/>
        <w:bidi w:val="0"/>
        <w:jc w:val="both"/>
        <w:rPr>
          <w:rFonts w:ascii="Times New Roman" w:hAnsi="Times New Roman"/>
          <w:sz w:val="20"/>
        </w:rPr>
      </w:pPr>
      <w:r>
        <w:rPr>
          <w:rFonts w:ascii="Arial" w:hAnsi="Arial"/>
          <w:b w:val="false"/>
          <w:color w:val="000000"/>
          <w:sz w:val="20"/>
        </w:rPr>
        <w:t>Operating segments are identified as components of an enterprise about which discrete financial information is available for evaluation by the chief operating decision-maker (“CODM”) in deciding resource allocation and assessing performance. The Company’s Chief Executive Officer and Chief Financial Officer work together as the CODM. The Company’s CODM reviews financial information presented on a consolidated basis for the purposes of making operations decisions, allocating resources and evaluating financial performance. Consequently, the Company has determined it operates in one</w:t>
      </w:r>
      <w:r>
        <w:rPr>
          <w:rFonts w:ascii="Times New Roman" w:hAnsi="Times New Roman"/>
          <w:color w:val="000000"/>
          <w:sz w:val="20"/>
        </w:rPr>
        <w:t xml:space="preserve"> </w:t>
      </w:r>
      <w:r>
        <w:rPr>
          <w:rFonts w:ascii="Arial" w:hAnsi="Arial"/>
          <w:b w:val="false"/>
          <w:color w:val="000000"/>
          <w:sz w:val="20"/>
        </w:rPr>
        <w:t>operating and reportable segment.</w:t>
      </w:r>
    </w:p>
    <w:p>
      <w:pPr>
        <w:pStyle w:val="TextBody"/>
        <w:bidi w:val="0"/>
        <w:spacing w:before="240" w:after="283"/>
        <w:jc w:val="both"/>
        <w:rPr>
          <w:rFonts w:ascii="Times New Roman" w:hAnsi="Times New Roman"/>
          <w:sz w:val="20"/>
        </w:rPr>
      </w:pPr>
      <w:r>
        <w:rPr>
          <w:rFonts w:ascii="Arial" w:hAnsi="Arial"/>
          <w:b/>
          <w:color w:val="000000"/>
          <w:sz w:val="20"/>
        </w:rPr>
        <w:t>Accounting Standards Issued But Not Yet Effective</w:t>
      </w:r>
      <w:r>
        <w:rPr>
          <w:rFonts w:ascii="Times New Roman" w:hAnsi="Times New Roman"/>
          <w:color w:val="000000"/>
          <w:sz w:val="20"/>
        </w:rPr>
        <w:t xml:space="preserve"> </w:t>
      </w:r>
    </w:p>
    <w:p>
      <w:pPr>
        <w:pStyle w:val="TextBody"/>
        <w:bidi w:val="0"/>
        <w:jc w:val="both"/>
        <w:rPr>
          <w:rFonts w:ascii="Arial" w:hAnsi="Arial"/>
          <w:b w:val="false"/>
          <w:color w:val="2B333D"/>
          <w:sz w:val="20"/>
        </w:rPr>
      </w:pPr>
      <w:r>
        <w:rPr>
          <w:rFonts w:ascii="Arial" w:hAnsi="Arial"/>
          <w:b w:val="false"/>
          <w:color w:val="2B333D"/>
          <w:sz w:val="20"/>
        </w:rPr>
        <w:t>The Company's management does not believe that any recently issued, but not yet effective, accounting standards, if currently adopted, would have a material effect on the accompanying unaudited condensed consolidated financial statements.</w:t>
      </w:r>
    </w:p>
    <w:p>
      <w:pPr>
        <w:pStyle w:val="TextBody"/>
        <w:bidi w:val="0"/>
        <w:spacing w:before="240" w:after="240"/>
        <w:jc w:val="both"/>
        <w:rPr>
          <w:rFonts w:ascii="Arial" w:hAnsi="Arial"/>
          <w:b/>
          <w:color w:val="000000"/>
          <w:sz w:val="20"/>
        </w:rPr>
      </w:pPr>
      <w:r>
        <w:rPr>
          <w:rFonts w:ascii="Arial" w:hAnsi="Arial"/>
          <w:b/>
          <w:color w:val="000000"/>
          <w:sz w:val="20"/>
        </w:rPr>
        <w:t>NOTE 2 - MERGER</w:t>
      </w:r>
    </w:p>
    <w:p>
      <w:pPr>
        <w:pStyle w:val="TextBody"/>
        <w:bidi w:val="0"/>
        <w:spacing w:before="240" w:after="283"/>
        <w:jc w:val="both"/>
        <w:rPr>
          <w:rFonts w:ascii="Times New Roman" w:hAnsi="Times New Roman"/>
          <w:sz w:val="20"/>
        </w:rPr>
      </w:pPr>
      <w:r>
        <w:rPr>
          <w:rFonts w:ascii="Arial" w:hAnsi="Arial"/>
          <w:b w:val="false"/>
          <w:color w:val="000000"/>
          <w:sz w:val="20"/>
        </w:rPr>
        <w:t xml:space="preserve">As discussed in Note 1 - </w:t>
      </w:r>
      <w:r>
        <w:rPr>
          <w:rFonts w:ascii="Arial" w:hAnsi="Arial"/>
          <w:b w:val="false"/>
          <w:i/>
          <w:color w:val="000000"/>
          <w:sz w:val="20"/>
        </w:rPr>
        <w:t>Summary of Significant Accounting Policies</w:t>
      </w:r>
      <w:r>
        <w:rPr>
          <w:rFonts w:ascii="Arial" w:hAnsi="Arial"/>
          <w:b w:val="false"/>
          <w:color w:val="000000"/>
          <w:sz w:val="20"/>
        </w:rPr>
        <w:t>, on June 20, 2023, the Company completed the Merger. Upon the closing of the Merger, the following occurred:</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sz w:val="20"/>
        </w:rPr>
      </w:pPr>
      <w:r>
        <w:rPr>
          <w:rFonts w:ascii="Arial" w:hAnsi="Arial"/>
          <w:b w:val="false"/>
          <w:color w:val="000000"/>
          <w:sz w:val="20"/>
        </w:rPr>
        <w:t>Each share of DTIH common stock issued and outstanding immediately prior to the closing of the Merger, which totaled 52,363,876</w:t>
      </w:r>
      <w:r>
        <w:rPr>
          <w:rFonts w:ascii="Arial" w:hAnsi="Arial"/>
          <w:color w:val="000000"/>
          <w:sz w:val="20"/>
        </w:rPr>
        <w:t xml:space="preserve"> </w:t>
      </w:r>
      <w:r>
        <w:rPr>
          <w:rFonts w:ascii="Arial" w:hAnsi="Arial"/>
          <w:b w:val="false"/>
          <w:color w:val="000000"/>
          <w:sz w:val="20"/>
        </w:rPr>
        <w:t>shares (other than the shares described for the net exercise of the option and as compensation pursuant to the TSA), was exchanged for the right to receive 0.2282</w:t>
      </w:r>
      <w:r>
        <w:rPr>
          <w:rFonts w:ascii="Arial" w:hAnsi="Arial"/>
          <w:color w:val="000000"/>
          <w:sz w:val="20"/>
        </w:rPr>
        <w:t xml:space="preserve"> </w:t>
      </w:r>
      <w:r>
        <w:rPr>
          <w:rFonts w:ascii="Arial" w:hAnsi="Arial"/>
          <w:b w:val="false"/>
          <w:color w:val="000000"/>
          <w:sz w:val="20"/>
        </w:rPr>
        <w:t>shares of DTIC Common Stock (the "Common Exchange Ratio") resulting in the issuance of 11,951,137</w:t>
      </w:r>
      <w:r>
        <w:rPr>
          <w:rFonts w:ascii="Arial" w:hAnsi="Arial"/>
          <w:color w:val="000000"/>
          <w:sz w:val="20"/>
        </w:rPr>
        <w:t xml:space="preserve"> </w:t>
      </w:r>
      <w:r>
        <w:rPr>
          <w:rFonts w:ascii="Arial" w:hAnsi="Arial"/>
          <w:b w:val="false"/>
          <w:color w:val="000000"/>
          <w:sz w:val="20"/>
        </w:rPr>
        <w:t>shares of DTIC Common Stock.</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sz w:val="20"/>
        </w:rPr>
      </w:pPr>
      <w:r>
        <w:rPr>
          <w:rFonts w:ascii="Arial" w:hAnsi="Arial"/>
          <w:b w:val="false"/>
          <w:color w:val="000000"/>
          <w:sz w:val="20"/>
        </w:rPr>
        <w:t>Each share of DTIH redeemable convertible preferred stock issued and outstanding immediately prior to the closing of the Merger, which totaled 20,370,377</w:t>
      </w:r>
      <w:r>
        <w:rPr>
          <w:rFonts w:ascii="Arial" w:hAnsi="Arial"/>
          <w:color w:val="000000"/>
          <w:sz w:val="20"/>
        </w:rPr>
        <w:t xml:space="preserve"> </w:t>
      </w:r>
      <w:r>
        <w:rPr>
          <w:rFonts w:ascii="Arial" w:hAnsi="Arial"/>
          <w:b w:val="false"/>
          <w:color w:val="000000"/>
          <w:sz w:val="20"/>
        </w:rPr>
        <w:t>shares, was exchanged for the right to receive 0.3299</w:t>
      </w:r>
      <w:r>
        <w:rPr>
          <w:rFonts w:ascii="Arial" w:hAnsi="Arial"/>
          <w:color w:val="000000"/>
          <w:sz w:val="20"/>
        </w:rPr>
        <w:t xml:space="preserve"> </w:t>
      </w:r>
      <w:r>
        <w:rPr>
          <w:rFonts w:ascii="Arial" w:hAnsi="Arial"/>
          <w:b w:val="false"/>
          <w:color w:val="000000"/>
          <w:sz w:val="20"/>
        </w:rPr>
        <w:t>shares of DTIC Common Stock (the "Preferred Exchange Ratio") resulting in the issuance of 6,719,641</w:t>
      </w:r>
      <w:r>
        <w:rPr>
          <w:rFonts w:ascii="Arial" w:hAnsi="Arial"/>
          <w:color w:val="000000"/>
          <w:sz w:val="20"/>
        </w:rPr>
        <w:t xml:space="preserve"> </w:t>
      </w:r>
      <w:r>
        <w:rPr>
          <w:rFonts w:ascii="Arial" w:hAnsi="Arial"/>
          <w:b w:val="false"/>
          <w:color w:val="000000"/>
          <w:sz w:val="20"/>
        </w:rPr>
        <w:t xml:space="preserve">shares of DTIC Common Stock.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sz w:val="20"/>
        </w:rPr>
      </w:pPr>
      <w:r>
        <w:rPr>
          <w:rFonts w:ascii="Arial" w:hAnsi="Arial"/>
          <w:b w:val="false"/>
          <w:color w:val="000000"/>
          <w:sz w:val="20"/>
        </w:rPr>
        <w:t>Each non-redeemable share of ROC common stock issued and outstanding immediately prior to the closing of the Merger, which totaled 3,403,500</w:t>
      </w:r>
      <w:r>
        <w:rPr>
          <w:rFonts w:ascii="Arial" w:hAnsi="Arial"/>
          <w:color w:val="000000"/>
          <w:sz w:val="20"/>
        </w:rPr>
        <w:t xml:space="preserve"> </w:t>
      </w:r>
      <w:r>
        <w:rPr>
          <w:rFonts w:ascii="Arial" w:hAnsi="Arial"/>
          <w:b w:val="false"/>
          <w:color w:val="000000"/>
          <w:sz w:val="20"/>
        </w:rPr>
        <w:t>shares, was exchanged for, on a one-for-one basis, shares of DTIC Common Stock.</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sz w:val="20"/>
        </w:rPr>
      </w:pPr>
      <w:r>
        <w:rPr>
          <w:rFonts w:ascii="Arial" w:hAnsi="Arial"/>
          <w:b w:val="false"/>
          <w:color w:val="000000"/>
          <w:sz w:val="20"/>
        </w:rPr>
        <w:t>Each share of ROC common stock subject to possible redemption that was not redeemed prior to the closing of the Merger, which totaled 158,621</w:t>
      </w:r>
      <w:r>
        <w:rPr>
          <w:rFonts w:ascii="Arial" w:hAnsi="Arial"/>
          <w:color w:val="000000"/>
          <w:sz w:val="20"/>
        </w:rPr>
        <w:t xml:space="preserve"> </w:t>
      </w:r>
      <w:r>
        <w:rPr>
          <w:rFonts w:ascii="Arial" w:hAnsi="Arial"/>
          <w:b w:val="false"/>
          <w:color w:val="000000"/>
          <w:sz w:val="20"/>
        </w:rPr>
        <w:t>shares, was exchanged for, on a one-for-one basis, shares of DTIC Common Stock.</w:t>
      </w:r>
    </w:p>
    <w:p>
      <w:pPr>
        <w:pStyle w:val="TextBody"/>
        <w:bidi w:val="0"/>
        <w:jc w:val="center"/>
        <w:rPr/>
      </w:pPr>
      <w:r>
        <w:rPr/>
        <w:t> </w:t>
      </w:r>
    </w:p>
    <w:p>
      <w:pPr>
        <w:pStyle w:val="TextBody"/>
        <w:bidi w:val="0"/>
        <w:jc w:val="center"/>
        <w:rPr>
          <w:rFonts w:ascii="Arial" w:hAnsi="Arial"/>
          <w:b w:val="false"/>
          <w:color w:val="000000"/>
          <w:sz w:val="20"/>
        </w:rPr>
      </w:pPr>
      <w:r>
        <w:rPr>
          <w:rFonts w:ascii="Arial" w:hAnsi="Arial"/>
          <w:b w:val="false"/>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sz w:val="20"/>
        </w:rPr>
      </w:pPr>
      <w:r>
        <w:rPr>
          <w:rFonts w:ascii="Arial" w:hAnsi="Arial"/>
          <w:b w:val="false"/>
          <w:color w:val="000000"/>
          <w:sz w:val="20"/>
        </w:rPr>
        <w:t>Each of ROC's public rights and private rights outstanding immediately prior to the closing of the Merger, which totaled 20,700,000</w:t>
      </w:r>
      <w:r>
        <w:rPr>
          <w:rFonts w:ascii="Arial" w:hAnsi="Arial"/>
          <w:color w:val="000000"/>
          <w:sz w:val="20"/>
        </w:rPr>
        <w:t xml:space="preserve"> </w:t>
      </w:r>
      <w:r>
        <w:rPr>
          <w:rFonts w:ascii="Arial" w:hAnsi="Arial"/>
          <w:b w:val="false"/>
          <w:color w:val="000000"/>
          <w:sz w:val="20"/>
        </w:rPr>
        <w:t>and 796,000, respectively, were exchanged for, on a ten-for-one basis, 2,070,000</w:t>
      </w:r>
      <w:r>
        <w:rPr>
          <w:rFonts w:ascii="Arial" w:hAnsi="Arial"/>
          <w:color w:val="000000"/>
          <w:sz w:val="20"/>
        </w:rPr>
        <w:t xml:space="preserve"> </w:t>
      </w:r>
      <w:r>
        <w:rPr>
          <w:rFonts w:ascii="Arial" w:hAnsi="Arial"/>
          <w:b w:val="false"/>
          <w:color w:val="000000"/>
          <w:sz w:val="20"/>
        </w:rPr>
        <w:t>and 79,600</w:t>
      </w:r>
      <w:r>
        <w:rPr>
          <w:rFonts w:ascii="Arial" w:hAnsi="Arial"/>
          <w:color w:val="000000"/>
          <w:sz w:val="20"/>
        </w:rPr>
        <w:t xml:space="preserve"> </w:t>
      </w:r>
      <w:r>
        <w:rPr>
          <w:rFonts w:ascii="Arial" w:hAnsi="Arial"/>
          <w:b w:val="false"/>
          <w:color w:val="000000"/>
          <w:sz w:val="20"/>
        </w:rPr>
        <w:t>shares of DTIC Common Stock, respectively.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sz w:val="20"/>
        </w:rPr>
      </w:pPr>
      <w:r>
        <w:rPr>
          <w:rFonts w:ascii="Arial" w:hAnsi="Arial"/>
          <w:b w:val="false"/>
          <w:color w:val="000000"/>
          <w:sz w:val="20"/>
        </w:rPr>
        <w:t>Prior to the closing of the Merger, one DTIH stock option holder elected to net exercise all of such holder's options, resulting in the issuance of 158,444</w:t>
      </w:r>
      <w:r>
        <w:rPr>
          <w:rFonts w:ascii="Arial" w:hAnsi="Arial"/>
          <w:color w:val="000000"/>
          <w:sz w:val="20"/>
        </w:rPr>
        <w:t xml:space="preserve"> </w:t>
      </w:r>
      <w:r>
        <w:rPr>
          <w:rFonts w:ascii="Arial" w:hAnsi="Arial"/>
          <w:b w:val="false"/>
          <w:color w:val="000000"/>
          <w:sz w:val="20"/>
        </w:rPr>
        <w:t>shares of DTIH common stock, which upon the closing of the Merger, were canceled and exchanged for the right to receive 0.2282</w:t>
      </w:r>
      <w:r>
        <w:rPr>
          <w:rFonts w:ascii="Arial" w:hAnsi="Arial"/>
          <w:color w:val="000000"/>
          <w:sz w:val="20"/>
        </w:rPr>
        <w:t xml:space="preserve"> </w:t>
      </w:r>
      <w:r>
        <w:rPr>
          <w:rFonts w:ascii="Arial" w:hAnsi="Arial"/>
          <w:b w:val="false"/>
          <w:color w:val="000000"/>
          <w:sz w:val="20"/>
        </w:rPr>
        <w:t>shares of DTIC Common Stock per share of DTIH common stock, which resulted in the issuance of 36,163</w:t>
      </w:r>
      <w:r>
        <w:rPr>
          <w:rFonts w:ascii="Arial" w:hAnsi="Arial"/>
          <w:color w:val="000000"/>
          <w:sz w:val="20"/>
        </w:rPr>
        <w:t xml:space="preserve"> </w:t>
      </w:r>
      <w:r>
        <w:rPr>
          <w:rFonts w:ascii="Arial" w:hAnsi="Arial"/>
          <w:b w:val="false"/>
          <w:color w:val="000000"/>
          <w:sz w:val="20"/>
        </w:rPr>
        <w:t xml:space="preserve">shares of DTIC Common Stock.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sz w:val="20"/>
        </w:rPr>
      </w:pPr>
      <w:r>
        <w:rPr>
          <w:rFonts w:ascii="Arial" w:hAnsi="Arial"/>
          <w:b w:val="false"/>
          <w:color w:val="000000"/>
          <w:sz w:val="20"/>
        </w:rPr>
        <w:t>DTIH entered into a transaction services agreement (the "TSA") with Hicks Holdings Operating LLC ("HHLLC") on January 27, 2012, as amended February 13, 2023, pursuant to which DTIH must pay HHLLC a transaction fee equal to 1.5% of any subsequent transaction, as defined in the TSA. The Merger constitutes a subsequent transaction per the TSA and, therefore, the Board authorized DTIH to issue 1,149,830</w:t>
      </w:r>
      <w:r>
        <w:rPr>
          <w:rFonts w:ascii="Arial" w:hAnsi="Arial"/>
          <w:color w:val="000000"/>
          <w:sz w:val="20"/>
        </w:rPr>
        <w:t xml:space="preserve"> </w:t>
      </w:r>
      <w:r>
        <w:rPr>
          <w:rFonts w:ascii="Arial" w:hAnsi="Arial"/>
          <w:b w:val="false"/>
          <w:color w:val="000000"/>
          <w:sz w:val="20"/>
        </w:rPr>
        <w:t>shares of DTIH common stock to HHLLC and 328,611</w:t>
      </w:r>
      <w:r>
        <w:rPr>
          <w:rFonts w:ascii="Arial" w:hAnsi="Arial"/>
          <w:color w:val="000000"/>
          <w:sz w:val="20"/>
        </w:rPr>
        <w:t xml:space="preserve"> </w:t>
      </w:r>
      <w:r>
        <w:rPr>
          <w:rFonts w:ascii="Arial" w:hAnsi="Arial"/>
          <w:b w:val="false"/>
          <w:color w:val="000000"/>
          <w:sz w:val="20"/>
        </w:rPr>
        <w:t>shares of DTIH common stock to a stockholder of DTIH who is affiliated with HHLLC, immediately prior to the closing of the Merger. The DTIH common stock was issued immediately prior to the closing of the Merger and the issuance resulted in the recognition of $2.3</w:t>
      </w:r>
      <w:r>
        <w:rPr>
          <w:rFonts w:ascii="Arial" w:hAnsi="Arial"/>
          <w:color w:val="000000"/>
          <w:sz w:val="20"/>
        </w:rPr>
        <w:t xml:space="preserve"> </w:t>
      </w:r>
      <w:r>
        <w:rPr>
          <w:rFonts w:ascii="Arial" w:hAnsi="Arial"/>
          <w:b w:val="false"/>
          <w:color w:val="000000"/>
          <w:sz w:val="20"/>
        </w:rPr>
        <w:t>million</w:t>
      </w:r>
      <w:r>
        <w:rPr>
          <w:rFonts w:ascii="Arial" w:hAnsi="Arial"/>
          <w:color w:val="000000"/>
          <w:sz w:val="20"/>
        </w:rPr>
        <w:t xml:space="preserve"> </w:t>
      </w:r>
      <w:r>
        <w:rPr>
          <w:rFonts w:ascii="Arial" w:hAnsi="Arial"/>
          <w:b w:val="false"/>
          <w:color w:val="000000"/>
          <w:sz w:val="20"/>
        </w:rPr>
        <w:t>of stock-based compensation expense within other expense on the unaudited condensed consolidated statements of income and comprehensive income for the nine months ended September 30, 2023. The shares of DTIH common stock issued were exchanged for 337,429</w:t>
      </w:r>
      <w:r>
        <w:rPr>
          <w:rFonts w:ascii="Arial" w:hAnsi="Arial"/>
          <w:color w:val="000000"/>
          <w:sz w:val="20"/>
        </w:rPr>
        <w:t xml:space="preserve"> </w:t>
      </w:r>
      <w:r>
        <w:rPr>
          <w:rFonts w:ascii="Arial" w:hAnsi="Arial"/>
          <w:b w:val="false"/>
          <w:color w:val="000000"/>
          <w:sz w:val="20"/>
        </w:rPr>
        <w:t>shares of DTIC Common Stock as of the date of the closing of the Merger in accordance with the Common Exchange Ratio. The $2.3</w:t>
      </w:r>
      <w:r>
        <w:rPr>
          <w:rFonts w:ascii="Arial" w:hAnsi="Arial"/>
          <w:color w:val="000000"/>
          <w:sz w:val="20"/>
        </w:rPr>
        <w:t xml:space="preserve"> </w:t>
      </w:r>
      <w:r>
        <w:rPr>
          <w:rFonts w:ascii="Arial" w:hAnsi="Arial"/>
          <w:b w:val="false"/>
          <w:color w:val="000000"/>
          <w:sz w:val="20"/>
        </w:rPr>
        <w:t>million</w:t>
      </w:r>
      <w:r>
        <w:rPr>
          <w:rFonts w:ascii="Arial" w:hAnsi="Arial"/>
          <w:color w:val="000000"/>
          <w:sz w:val="20"/>
        </w:rPr>
        <w:t xml:space="preserve"> </w:t>
      </w:r>
      <w:r>
        <w:rPr>
          <w:rFonts w:ascii="Arial" w:hAnsi="Arial"/>
          <w:b w:val="false"/>
          <w:color w:val="000000"/>
          <w:sz w:val="20"/>
        </w:rPr>
        <w:t>of stock-based compensation was recorded by taking the $6.95</w:t>
      </w:r>
      <w:r>
        <w:rPr>
          <w:rFonts w:ascii="Arial" w:hAnsi="Arial"/>
          <w:color w:val="000000"/>
          <w:sz w:val="20"/>
        </w:rPr>
        <w:t xml:space="preserve"> </w:t>
      </w:r>
      <w:r>
        <w:rPr>
          <w:rFonts w:ascii="Arial" w:hAnsi="Arial"/>
          <w:b w:val="false"/>
          <w:color w:val="000000"/>
          <w:sz w:val="20"/>
        </w:rPr>
        <w:t>quoted market price of the Company's common stock as of the date and time of the closing of the Merger and multiplying this price by the 337,429</w:t>
      </w:r>
      <w:r>
        <w:rPr>
          <w:rFonts w:ascii="Arial" w:hAnsi="Arial"/>
          <w:color w:val="000000"/>
          <w:sz w:val="20"/>
        </w:rPr>
        <w:t xml:space="preserve"> </w:t>
      </w:r>
      <w:r>
        <w:rPr>
          <w:rFonts w:ascii="Arial" w:hAnsi="Arial"/>
          <w:b w:val="false"/>
          <w:color w:val="000000"/>
          <w:sz w:val="20"/>
        </w:rPr>
        <w:t>shares of DTIC Common Stock Issued.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sz w:val="20"/>
        </w:rPr>
      </w:pPr>
      <w:r>
        <w:rPr>
          <w:rFonts w:ascii="Arial" w:hAnsi="Arial"/>
          <w:b w:val="false"/>
          <w:color w:val="000000"/>
          <w:sz w:val="20"/>
        </w:rPr>
        <w:t>In connection with the Merger, certain holders of DTIH redeemable convertible preferred stockholders entered into exchange agreements (the "Exchange Agreements") wherein the DTIH redeemable convertible preferred stockholders exchanged their rights to receive a portion of the $11.0</w:t>
      </w:r>
      <w:r>
        <w:rPr>
          <w:rFonts w:ascii="Arial" w:hAnsi="Arial"/>
          <w:color w:val="000000"/>
          <w:sz w:val="20"/>
        </w:rPr>
        <w:t xml:space="preserve"> </w:t>
      </w:r>
      <w:r>
        <w:rPr>
          <w:rFonts w:ascii="Arial" w:hAnsi="Arial"/>
          <w:b w:val="false"/>
          <w:color w:val="000000"/>
          <w:sz w:val="20"/>
        </w:rPr>
        <w:t>million</w:t>
      </w:r>
      <w:r>
        <w:rPr>
          <w:rFonts w:ascii="Arial" w:hAnsi="Arial"/>
          <w:color w:val="000000"/>
          <w:sz w:val="20"/>
        </w:rPr>
        <w:t xml:space="preserve"> </w:t>
      </w:r>
      <w:r>
        <w:rPr>
          <w:rFonts w:ascii="Arial" w:hAnsi="Arial"/>
          <w:b w:val="false"/>
          <w:color w:val="000000"/>
          <w:sz w:val="20"/>
        </w:rPr>
        <w:t>Aggregate Company Cash Consideration (as defined within the Merger Agreement) for the rights to receive shares of DTIC Common Stock. Immediately following the effectiveness of the Exchange Agreements, which became effective as of the closing of the Merger, the holders of DTIH redeemable convertible preferred stock that participated in the Exchange Agreements held 2,042,181</w:t>
      </w:r>
      <w:r>
        <w:rPr>
          <w:rFonts w:ascii="Arial" w:hAnsi="Arial"/>
          <w:color w:val="000000"/>
          <w:sz w:val="20"/>
        </w:rPr>
        <w:t xml:space="preserve"> </w:t>
      </w:r>
      <w:r>
        <w:rPr>
          <w:rFonts w:ascii="Arial" w:hAnsi="Arial"/>
          <w:b w:val="false"/>
          <w:color w:val="000000"/>
          <w:sz w:val="20"/>
        </w:rPr>
        <w:t>shares of DTIC Common Stock as a result of their participation in the Exchange Agreements. In addition, the holders of DTIH redeemable convertible preferred stock that did not participate in the Exchange Agreements were paid $0.2</w:t>
      </w:r>
      <w:r>
        <w:rPr>
          <w:rFonts w:ascii="Arial" w:hAnsi="Arial"/>
          <w:color w:val="000000"/>
          <w:sz w:val="20"/>
        </w:rPr>
        <w:t xml:space="preserve"> </w:t>
      </w:r>
      <w:r>
        <w:rPr>
          <w:rFonts w:ascii="Arial" w:hAnsi="Arial"/>
          <w:b w:val="false"/>
          <w:color w:val="000000"/>
          <w:sz w:val="20"/>
        </w:rPr>
        <w:t>million</w:t>
      </w:r>
      <w:r>
        <w:rPr>
          <w:rFonts w:ascii="Arial" w:hAnsi="Arial"/>
          <w:color w:val="000000"/>
          <w:sz w:val="20"/>
        </w:rPr>
        <w:t xml:space="preserve"> </w:t>
      </w:r>
      <w:r>
        <w:rPr>
          <w:rFonts w:ascii="Arial" w:hAnsi="Arial"/>
          <w:b w:val="false"/>
          <w:color w:val="000000"/>
          <w:sz w:val="20"/>
        </w:rPr>
        <w:t>from the Aggregate Company Cash Consideration in exchange for the cancellation of their DTIH redeemable convertible preferred stock in connection with the closing of the Merger.</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sz w:val="20"/>
        </w:rPr>
      </w:pPr>
      <w:r>
        <w:rPr>
          <w:rFonts w:ascii="Arial" w:hAnsi="Arial"/>
          <w:b w:val="false"/>
          <w:color w:val="000000"/>
          <w:sz w:val="20"/>
        </w:rPr>
        <w:t>In connection with the Merger, ROC entered into subscription agreements (the "Subscription Agreements") with certain accredited investors (which were related parties of ROC due to their affiliation with ROC Energy Holdings, LLC, which is ROC's sponsor ("Sponsor" or "ROC Sponsor")) (the "PIPE Investors") for an aggregate of 2,970,296</w:t>
      </w:r>
      <w:r>
        <w:rPr>
          <w:rFonts w:ascii="Arial" w:hAnsi="Arial"/>
          <w:color w:val="000000"/>
          <w:sz w:val="20"/>
        </w:rPr>
        <w:t xml:space="preserve"> </w:t>
      </w:r>
      <w:r>
        <w:rPr>
          <w:rFonts w:ascii="Arial" w:hAnsi="Arial"/>
          <w:b w:val="false"/>
          <w:color w:val="000000"/>
          <w:sz w:val="20"/>
        </w:rPr>
        <w:t>shares of DTIC Common Stock at a price of $10.10</w:t>
      </w:r>
      <w:r>
        <w:rPr>
          <w:rFonts w:ascii="Arial" w:hAnsi="Arial"/>
          <w:color w:val="000000"/>
          <w:sz w:val="20"/>
        </w:rPr>
        <w:t xml:space="preserve"> </w:t>
      </w:r>
      <w:r>
        <w:rPr>
          <w:rFonts w:ascii="Arial" w:hAnsi="Arial"/>
          <w:b w:val="false"/>
          <w:color w:val="000000"/>
          <w:sz w:val="20"/>
        </w:rPr>
        <w:t>per share, for a total of $30.0</w:t>
      </w:r>
      <w:r>
        <w:rPr>
          <w:rFonts w:ascii="Arial" w:hAnsi="Arial"/>
          <w:color w:val="000000"/>
          <w:sz w:val="20"/>
        </w:rPr>
        <w:t xml:space="preserve"> </w:t>
      </w:r>
      <w:r>
        <w:rPr>
          <w:rFonts w:ascii="Arial" w:hAnsi="Arial"/>
          <w:b w:val="false"/>
          <w:color w:val="000000"/>
          <w:sz w:val="20"/>
        </w:rPr>
        <w:t>million</w:t>
      </w:r>
      <w:r>
        <w:rPr>
          <w:rFonts w:ascii="Arial" w:hAnsi="Arial"/>
          <w:color w:val="000000"/>
          <w:sz w:val="20"/>
        </w:rPr>
        <w:t xml:space="preserve"> </w:t>
      </w:r>
      <w:r>
        <w:rPr>
          <w:rFonts w:ascii="Arial" w:hAnsi="Arial"/>
          <w:b w:val="false"/>
          <w:color w:val="000000"/>
          <w:sz w:val="20"/>
        </w:rPr>
        <w:t>(the "PIPE Financing"). Upon the closing of the PIPE Financing (which closed in connection with the closing of the Merger), the Company received $25.9</w:t>
      </w:r>
      <w:r>
        <w:rPr>
          <w:rFonts w:ascii="Arial" w:hAnsi="Arial"/>
          <w:color w:val="000000"/>
          <w:sz w:val="20"/>
        </w:rPr>
        <w:t xml:space="preserve"> </w:t>
      </w:r>
      <w:r>
        <w:rPr>
          <w:rFonts w:ascii="Arial" w:hAnsi="Arial"/>
          <w:b w:val="false"/>
          <w:color w:val="000000"/>
          <w:sz w:val="20"/>
        </w:rPr>
        <w:t>million</w:t>
      </w:r>
      <w:r>
        <w:rPr>
          <w:rFonts w:ascii="Arial" w:hAnsi="Arial"/>
          <w:color w:val="000000"/>
          <w:sz w:val="20"/>
        </w:rPr>
        <w:t xml:space="preserve"> </w:t>
      </w:r>
      <w:r>
        <w:rPr>
          <w:rFonts w:ascii="Arial" w:hAnsi="Arial"/>
          <w:b w:val="false"/>
          <w:color w:val="000000"/>
          <w:sz w:val="20"/>
        </w:rPr>
        <w:t>in cash and $4.1</w:t>
      </w:r>
      <w:r>
        <w:rPr>
          <w:rFonts w:ascii="Arial" w:hAnsi="Arial"/>
          <w:color w:val="000000"/>
          <w:sz w:val="20"/>
        </w:rPr>
        <w:t xml:space="preserve"> </w:t>
      </w:r>
      <w:r>
        <w:rPr>
          <w:rFonts w:ascii="Arial" w:hAnsi="Arial"/>
          <w:b w:val="false"/>
          <w:color w:val="000000"/>
          <w:sz w:val="20"/>
        </w:rPr>
        <w:t>million</w:t>
      </w:r>
      <w:r>
        <w:rPr>
          <w:rFonts w:ascii="Arial" w:hAnsi="Arial"/>
          <w:color w:val="000000"/>
          <w:sz w:val="20"/>
        </w:rPr>
        <w:t xml:space="preserve"> </w:t>
      </w:r>
      <w:r>
        <w:rPr>
          <w:rFonts w:ascii="Arial" w:hAnsi="Arial"/>
          <w:b w:val="false"/>
          <w:color w:val="000000"/>
          <w:sz w:val="20"/>
        </w:rPr>
        <w:t>worth of shares from the PIPE Financing were used to settle related party promissory notes issued by ROC to the ROC Sponsor and an affiliate of ROC Sponsor.</w:t>
      </w:r>
    </w:p>
    <w:p>
      <w:pPr>
        <w:pStyle w:val="TextBody"/>
        <w:bidi w:val="0"/>
        <w:jc w:val="both"/>
        <w:rPr/>
      </w:pPr>
      <w:r>
        <w:rPr/>
        <w:t> </w:t>
      </w:r>
    </w:p>
    <w:p>
      <w:pPr>
        <w:pStyle w:val="TextBody"/>
        <w:bidi w:val="0"/>
        <w:jc w:val="both"/>
        <w:rPr>
          <w:rFonts w:ascii="Times New Roman" w:hAnsi="Times New Roman"/>
          <w:sz w:val="20"/>
        </w:rPr>
      </w:pPr>
      <w:r>
        <w:rPr>
          <w:rFonts w:ascii="Arial" w:hAnsi="Arial"/>
          <w:b w:val="false"/>
          <w:color w:val="000000"/>
          <w:sz w:val="20"/>
        </w:rPr>
        <w:t>The proceeds received by the Company from the Merger and PIPE Financing, net of transaction costs, totaled $23.2</w:t>
      </w:r>
      <w:r>
        <w:rPr>
          <w:rFonts w:ascii="Times New Roman" w:hAnsi="Times New Roman"/>
          <w:color w:val="000000"/>
          <w:sz w:val="20"/>
        </w:rPr>
        <w:t xml:space="preserve"> </w:t>
      </w:r>
      <w:r>
        <w:rPr>
          <w:rFonts w:ascii="Arial" w:hAnsi="Arial"/>
          <w:b w:val="false"/>
          <w:color w:val="000000"/>
          <w:sz w:val="20"/>
        </w:rPr>
        <w:t>million.</w:t>
      </w:r>
    </w:p>
    <w:p>
      <w:pPr>
        <w:pStyle w:val="TextBody"/>
        <w:bidi w:val="0"/>
        <w:jc w:val="both"/>
        <w:rPr/>
      </w:pPr>
      <w:r>
        <w:rPr/>
        <w:t> </w:t>
      </w:r>
    </w:p>
    <w:p>
      <w:pPr>
        <w:pStyle w:val="TextBody"/>
        <w:bidi w:val="0"/>
        <w:jc w:val="both"/>
        <w:rPr>
          <w:rFonts w:ascii="Times New Roman" w:hAnsi="Times New Roman"/>
          <w:sz w:val="20"/>
        </w:rPr>
      </w:pPr>
      <w:r>
        <w:rPr>
          <w:rFonts w:ascii="Arial" w:hAnsi="Arial"/>
          <w:b w:val="false"/>
          <w:color w:val="000000"/>
          <w:sz w:val="20"/>
        </w:rPr>
        <w:t>The Merger was accounted for as a reverse recapitalization in accordance with U.S. GAAP. Under this method of accounting, ROC was treated as the acquired company for financial reporting purposes (see Note 1 for further details. Accordingly, for accounting purposes, the Merger was treated as the equivalent of the Company issuing shares for the net assets of ROC, accompanied by a recapitalization. The net assets of ROC were stated at historical cost with no</w:t>
      </w:r>
      <w:r>
        <w:rPr>
          <w:rFonts w:ascii="Times New Roman" w:hAnsi="Times New Roman"/>
          <w:color w:val="000000"/>
          <w:sz w:val="20"/>
        </w:rPr>
        <w:t xml:space="preserve"> </w:t>
      </w:r>
      <w:r>
        <w:rPr>
          <w:rFonts w:ascii="Arial" w:hAnsi="Arial"/>
          <w:b w:val="false"/>
          <w:color w:val="000000"/>
          <w:sz w:val="20"/>
        </w:rPr>
        <w:t>goodwill or other intangible assets recorded.</w:t>
      </w:r>
    </w:p>
    <w:p>
      <w:pPr>
        <w:pStyle w:val="TextBody"/>
        <w:bidi w:val="0"/>
        <w:jc w:val="both"/>
        <w:rPr/>
      </w:pPr>
      <w:r>
        <w:rPr/>
        <w:t> </w:t>
      </w:r>
    </w:p>
    <w:p>
      <w:pPr>
        <w:pStyle w:val="TextBody"/>
        <w:bidi w:val="0"/>
        <w:jc w:val="center"/>
        <w:rPr/>
      </w:pPr>
      <w:r>
        <w:rPr/>
        <w:t> </w:t>
      </w:r>
    </w:p>
    <w:p>
      <w:pPr>
        <w:pStyle w:val="TextBody"/>
        <w:bidi w:val="0"/>
        <w:jc w:val="center"/>
        <w:rPr>
          <w:rFonts w:ascii="Arial" w:hAnsi="Arial"/>
          <w:b w:val="false"/>
          <w:color w:val="000000"/>
          <w:sz w:val="20"/>
        </w:rPr>
      </w:pPr>
      <w:r>
        <w:rPr>
          <w:rFonts w:ascii="Arial" w:hAnsi="Arial"/>
          <w:b w:val="false"/>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Arial" w:hAnsi="Arial"/>
          <w:b w:val="false"/>
          <w:color w:val="000000"/>
          <w:sz w:val="20"/>
        </w:rPr>
      </w:pPr>
      <w:r>
        <w:rPr>
          <w:rFonts w:ascii="Arial" w:hAnsi="Arial"/>
          <w:b w:val="false"/>
          <w:color w:val="000000"/>
          <w:sz w:val="20"/>
        </w:rPr>
        <w:t>The following table presents the total DTIC Common Stock outstanding immediately after the closing of the Merger:</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8802"/>
        <w:gridCol w:w="146"/>
        <w:gridCol w:w="1066"/>
        <w:gridCol w:w="191"/>
      </w:tblGrid>
      <w:tr>
        <w:trPr/>
        <w:tc>
          <w:tcPr>
            <w:tcW w:w="88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8802" w:type="dxa"/>
            <w:tcBorders/>
            <w:shd w:fill="FFFFFF" w:val="clear"/>
            <w:vAlign w:val="center"/>
          </w:tcPr>
          <w:p>
            <w:pPr>
              <w:pStyle w:val="TableContents"/>
              <w:bidi w:val="0"/>
              <w:spacing w:before="0" w:after="283"/>
              <w:jc w:val="left"/>
              <w:rPr/>
            </w:pPr>
            <w:r>
              <w:rPr/>
              <w:t> </w:t>
            </w:r>
          </w:p>
        </w:tc>
        <w:tc>
          <w:tcPr>
            <w:tcW w:w="1212"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91"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r>
      <w:tr>
        <w:trPr/>
        <w:tc>
          <w:tcPr>
            <w:tcW w:w="8802"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Exchange of ROC common stock not subject to possible redemption for DTIC Common Stock upon Merger</w:t>
            </w:r>
          </w:p>
        </w:tc>
        <w:tc>
          <w:tcPr>
            <w:tcW w:w="146"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3,403,500</w:t>
            </w:r>
          </w:p>
        </w:tc>
        <w:tc>
          <w:tcPr>
            <w:tcW w:w="191" w:type="dxa"/>
            <w:tcBorders/>
            <w:shd w:fill="CFF0FC" w:val="clear"/>
            <w:vAlign w:val="center"/>
          </w:tcPr>
          <w:p>
            <w:pPr>
              <w:pStyle w:val="TableContents"/>
              <w:bidi w:val="0"/>
              <w:spacing w:before="0" w:after="283"/>
              <w:jc w:val="left"/>
              <w:rPr/>
            </w:pPr>
            <w:r>
              <w:rPr/>
              <w:t> </w:t>
            </w:r>
          </w:p>
        </w:tc>
      </w:tr>
      <w:tr>
        <w:trPr/>
        <w:tc>
          <w:tcPr>
            <w:tcW w:w="8802"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Conversion of ROC Public Rights into shares of DTIC Common Stock</w:t>
            </w:r>
          </w:p>
        </w:tc>
        <w:tc>
          <w:tcPr>
            <w:tcW w:w="146"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2,070,000</w:t>
            </w:r>
          </w:p>
        </w:tc>
        <w:tc>
          <w:tcPr>
            <w:tcW w:w="191" w:type="dxa"/>
            <w:tcBorders/>
            <w:shd w:fill="FFFFFF" w:val="clear"/>
            <w:vAlign w:val="center"/>
          </w:tcPr>
          <w:p>
            <w:pPr>
              <w:pStyle w:val="TableContents"/>
              <w:bidi w:val="0"/>
              <w:spacing w:before="0" w:after="283"/>
              <w:jc w:val="left"/>
              <w:rPr/>
            </w:pPr>
            <w:r>
              <w:rPr/>
              <w:t> </w:t>
            </w:r>
          </w:p>
        </w:tc>
      </w:tr>
      <w:tr>
        <w:trPr/>
        <w:tc>
          <w:tcPr>
            <w:tcW w:w="8802"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Conversion of ROC Private Rights into shares of DTIC Common Stock</w:t>
            </w:r>
          </w:p>
        </w:tc>
        <w:tc>
          <w:tcPr>
            <w:tcW w:w="146"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79,600</w:t>
            </w:r>
          </w:p>
        </w:tc>
        <w:tc>
          <w:tcPr>
            <w:tcW w:w="191" w:type="dxa"/>
            <w:tcBorders/>
            <w:shd w:fill="CFF0FC" w:val="clear"/>
            <w:vAlign w:val="center"/>
          </w:tcPr>
          <w:p>
            <w:pPr>
              <w:pStyle w:val="TableContents"/>
              <w:bidi w:val="0"/>
              <w:spacing w:before="0" w:after="283"/>
              <w:jc w:val="left"/>
              <w:rPr/>
            </w:pPr>
            <w:r>
              <w:rPr/>
              <w:t> </w:t>
            </w:r>
          </w:p>
        </w:tc>
      </w:tr>
      <w:tr>
        <w:trPr/>
        <w:tc>
          <w:tcPr>
            <w:tcW w:w="8802"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Exchange of ROC common stock subject to possible redemption that was not redeemed for DTIC 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158,621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8802"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Subtotal - Merger, net of redemptions</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5,711,721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8802"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Issuance of DTIC Common Stock in connection with PIPE Financing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2,970,296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8802"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Exchange of DTIH common stock outstanding as of December 31, 2022 for DTIC Common Stock</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11,951,137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8802"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Exchange of DTIH redeemable convertible preferred stock outstanding as of December 31, 2022 for DTIC 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6,719,641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8802"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Issuance of shares as stock-based compensation to former DTIH stockholders as part of transaction services agreement upon the Merger</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337,429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8802"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Issuance of DTIC Common Stock to former holders of DTIH redeemable convertible preferred stock in connection with Exchange Agreements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2,042,181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8802"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Net exercise of stock options by DTIH stockholder</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36,163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8802"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Total - DTIC Common Stock outstanding as a result of Merger, PIPE Financing, DTIH for DTIC share exchanges, transaction services agreement, Exchange Agreements, and exercise of stock options</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29,768,568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both"/>
        <w:rPr>
          <w:rFonts w:ascii="Arial" w:hAnsi="Arial"/>
          <w:b/>
          <w:color w:val="000000"/>
          <w:sz w:val="20"/>
        </w:rPr>
      </w:pPr>
      <w:r>
        <w:rPr>
          <w:rFonts w:ascii="Arial" w:hAnsi="Arial"/>
          <w:b/>
          <w:color w:val="000000"/>
          <w:sz w:val="20"/>
        </w:rPr>
        <w:t>NOTE 3 – INVESTMENTS – EQUITY SECURITIES</w:t>
      </w:r>
    </w:p>
    <w:p>
      <w:pPr>
        <w:pStyle w:val="TextBody"/>
        <w:bidi w:val="0"/>
        <w:spacing w:before="240" w:after="283"/>
        <w:jc w:val="both"/>
        <w:rPr>
          <w:rFonts w:ascii="Arial" w:hAnsi="Arial"/>
          <w:b w:val="false"/>
          <w:color w:val="000000"/>
          <w:sz w:val="20"/>
        </w:rPr>
      </w:pPr>
      <w:r>
        <w:rPr>
          <w:rFonts w:ascii="Arial" w:hAnsi="Arial"/>
          <w:b w:val="false"/>
          <w:color w:val="000000"/>
          <w:sz w:val="20"/>
        </w:rPr>
        <w:t>The following table shows the cost and fair value of the Company’s investments in equity securities (in thousands):</w:t>
      </w:r>
    </w:p>
    <w:p>
      <w:pPr>
        <w:pStyle w:val="TextBody"/>
        <w:bidi w:val="0"/>
        <w:jc w:val="both"/>
        <w:rPr/>
      </w:pPr>
      <w:r>
        <w:rPr/>
        <w:t> </w:t>
      </w:r>
    </w:p>
    <w:tbl>
      <w:tblPr>
        <w:tblW w:w="5280" w:type="dxa"/>
        <w:jc w:val="left"/>
        <w:tblInd w:w="0" w:type="dxa"/>
        <w:tblLayout w:type="fixed"/>
        <w:tblCellMar>
          <w:top w:w="28" w:type="dxa"/>
          <w:left w:w="28" w:type="dxa"/>
          <w:bottom w:w="28" w:type="dxa"/>
          <w:right w:w="28" w:type="dxa"/>
        </w:tblCellMar>
      </w:tblPr>
      <w:tblGrid>
        <w:gridCol w:w="1876"/>
        <w:gridCol w:w="146"/>
        <w:gridCol w:w="211"/>
        <w:gridCol w:w="421"/>
        <w:gridCol w:w="146"/>
        <w:gridCol w:w="146"/>
        <w:gridCol w:w="315"/>
        <w:gridCol w:w="631"/>
        <w:gridCol w:w="166"/>
        <w:gridCol w:w="146"/>
        <w:gridCol w:w="234"/>
        <w:gridCol w:w="651"/>
        <w:gridCol w:w="191"/>
      </w:tblGrid>
      <w:tr>
        <w:trPr/>
        <w:tc>
          <w:tcPr>
            <w:tcW w:w="1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7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Unrealized</w:t>
              <w:b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7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September 30, 2023</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999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6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995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8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5"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187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Unrealized</w:t>
              <w:br/>
              <w:t>Gain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7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December 31, 2022</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999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6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1,143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Arial" w:hAnsi="Arial"/>
          <w:b w:val="false"/>
          <w:color w:val="000000"/>
          <w:sz w:val="20"/>
        </w:rPr>
        <w:t>Unrealized holding losses on equity securities for the three months ended September 30, 2023 and 2022 were approximately $0.5</w:t>
      </w:r>
      <w:r>
        <w:rPr>
          <w:rFonts w:ascii="Times New Roman" w:hAnsi="Times New Roman"/>
          <w:color w:val="000000"/>
          <w:sz w:val="20"/>
        </w:rPr>
        <w:t xml:space="preserve"> </w:t>
      </w:r>
      <w:r>
        <w:rPr>
          <w:rFonts w:ascii="Arial" w:hAnsi="Arial"/>
          <w:b w:val="false"/>
          <w:color w:val="000000"/>
          <w:sz w:val="20"/>
        </w:rPr>
        <w:t>million</w:t>
      </w:r>
      <w:r>
        <w:rPr>
          <w:rFonts w:ascii="Times New Roman" w:hAnsi="Times New Roman"/>
          <w:color w:val="000000"/>
          <w:sz w:val="20"/>
        </w:rPr>
        <w:t xml:space="preserve"> </w:t>
      </w:r>
      <w:r>
        <w:rPr>
          <w:rFonts w:ascii="Arial" w:hAnsi="Arial"/>
          <w:b w:val="false"/>
          <w:color w:val="000000"/>
          <w:sz w:val="20"/>
        </w:rPr>
        <w:t>and $0.4</w:t>
      </w:r>
      <w:r>
        <w:rPr>
          <w:rFonts w:ascii="Times New Roman" w:hAnsi="Times New Roman"/>
          <w:color w:val="000000"/>
          <w:sz w:val="20"/>
        </w:rPr>
        <w:t xml:space="preserve"> </w:t>
      </w:r>
      <w:r>
        <w:rPr>
          <w:rFonts w:ascii="Arial" w:hAnsi="Arial"/>
          <w:b w:val="false"/>
          <w:color w:val="000000"/>
          <w:sz w:val="20"/>
        </w:rPr>
        <w:t>million, respectively. Unrealized holding losses on equity securities for the nine months ended September 30, 2023 and 2022 were approximately $0.1</w:t>
      </w:r>
      <w:r>
        <w:rPr>
          <w:rFonts w:ascii="Times New Roman" w:hAnsi="Times New Roman"/>
          <w:color w:val="000000"/>
          <w:sz w:val="20"/>
        </w:rPr>
        <w:t xml:space="preserve"> </w:t>
      </w:r>
      <w:r>
        <w:rPr>
          <w:rFonts w:ascii="Arial" w:hAnsi="Arial"/>
          <w:b w:val="false"/>
          <w:color w:val="000000"/>
          <w:sz w:val="20"/>
        </w:rPr>
        <w:t>million</w:t>
      </w:r>
      <w:r>
        <w:rPr>
          <w:rFonts w:ascii="Times New Roman" w:hAnsi="Times New Roman"/>
          <w:color w:val="000000"/>
          <w:sz w:val="20"/>
        </w:rPr>
        <w:t xml:space="preserve"> </w:t>
      </w:r>
      <w:r>
        <w:rPr>
          <w:rFonts w:ascii="Arial" w:hAnsi="Arial"/>
          <w:b w:val="false"/>
          <w:color w:val="000000"/>
          <w:sz w:val="20"/>
        </w:rPr>
        <w:t>and $0.1</w:t>
      </w:r>
      <w:r>
        <w:rPr>
          <w:rFonts w:ascii="Times New Roman" w:hAnsi="Times New Roman"/>
          <w:color w:val="000000"/>
          <w:sz w:val="20"/>
        </w:rPr>
        <w:t xml:space="preserve"> </w:t>
      </w:r>
      <w:r>
        <w:rPr>
          <w:rFonts w:ascii="Arial" w:hAnsi="Arial"/>
          <w:b w:val="false"/>
          <w:color w:val="000000"/>
          <w:sz w:val="20"/>
        </w:rPr>
        <w:t>million, respectively.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000000"/>
          <w:sz w:val="20"/>
        </w:rPr>
        <w:t>NOTE 4 – BALANCE SHEET DETAILS - CURRENT ASSETS AND CURRENT LIABILITIES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Inventories, net</w:t>
      </w:r>
      <w:r>
        <w:rPr>
          <w:rFonts w:ascii="Times New Roman" w:hAnsi="Times New Roman"/>
          <w:color w:val="000000"/>
          <w:sz w:val="20"/>
        </w:rPr>
        <w:t xml:space="preserve"> </w:t>
      </w:r>
    </w:p>
    <w:p>
      <w:pPr>
        <w:pStyle w:val="TextBody"/>
        <w:bidi w:val="0"/>
        <w:spacing w:before="240" w:after="283"/>
        <w:jc w:val="both"/>
        <w:rPr>
          <w:rFonts w:ascii="Arial" w:hAnsi="Arial"/>
          <w:b w:val="false"/>
          <w:color w:val="000000"/>
          <w:sz w:val="20"/>
        </w:rPr>
      </w:pPr>
      <w:r>
        <w:rPr>
          <w:rFonts w:ascii="Arial" w:hAnsi="Arial"/>
          <w:b w:val="false"/>
          <w:color w:val="000000"/>
          <w:sz w:val="20"/>
        </w:rPr>
        <w:t>The following table shows the components of inventory (in thousands):</w:t>
      </w:r>
    </w:p>
    <w:p>
      <w:pPr>
        <w:pStyle w:val="TextBody"/>
        <w:bidi w:val="0"/>
        <w:jc w:val="both"/>
        <w:rPr/>
      </w:pPr>
      <w:r>
        <w:rPr/>
        <w:t> </w:t>
      </w:r>
    </w:p>
    <w:tbl>
      <w:tblPr>
        <w:tblW w:w="7360" w:type="dxa"/>
        <w:jc w:val="left"/>
        <w:tblInd w:w="0" w:type="dxa"/>
        <w:tblLayout w:type="fixed"/>
        <w:tblCellMar>
          <w:top w:w="28" w:type="dxa"/>
          <w:left w:w="28" w:type="dxa"/>
          <w:bottom w:w="28" w:type="dxa"/>
          <w:right w:w="28" w:type="dxa"/>
        </w:tblCellMar>
      </w:tblPr>
      <w:tblGrid>
        <w:gridCol w:w="3221"/>
        <w:gridCol w:w="146"/>
        <w:gridCol w:w="432"/>
        <w:gridCol w:w="1203"/>
        <w:gridCol w:w="166"/>
        <w:gridCol w:w="146"/>
        <w:gridCol w:w="416"/>
        <w:gridCol w:w="1159"/>
        <w:gridCol w:w="471"/>
      </w:tblGrid>
      <w:tr>
        <w:trPr/>
        <w:tc>
          <w:tcPr>
            <w:tcW w:w="3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322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6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 2022</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2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Raw materials</w:t>
            </w:r>
          </w:p>
        </w:tc>
        <w:tc>
          <w:tcPr>
            <w:tcW w:w="146" w:type="dxa"/>
            <w:tcBorders/>
            <w:shd w:fill="CFF0FC" w:val="clear"/>
            <w:vAlign w:val="center"/>
          </w:tcPr>
          <w:p>
            <w:pPr>
              <w:pStyle w:val="TableContents"/>
              <w:bidi w:val="0"/>
              <w:spacing w:before="0" w:after="283"/>
              <w:jc w:val="left"/>
              <w:rPr/>
            </w:pPr>
            <w:r>
              <w:rPr/>
              <w:t> </w:t>
            </w:r>
          </w:p>
        </w:tc>
        <w:tc>
          <w:tcPr>
            <w:tcW w:w="432"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203"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6,638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159"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3,377</w:t>
            </w:r>
          </w:p>
        </w:tc>
        <w:tc>
          <w:tcPr>
            <w:tcW w:w="471" w:type="dxa"/>
            <w:tcBorders/>
            <w:shd w:fill="CFF0FC" w:val="clear"/>
            <w:vAlign w:val="center"/>
          </w:tcPr>
          <w:p>
            <w:pPr>
              <w:pStyle w:val="TableContents"/>
              <w:bidi w:val="0"/>
              <w:spacing w:before="0" w:after="283"/>
              <w:jc w:val="left"/>
              <w:rPr/>
            </w:pPr>
            <w:r>
              <w:rPr/>
              <w:t> </w:t>
            </w:r>
          </w:p>
        </w:tc>
      </w:tr>
      <w:tr>
        <w:trPr/>
        <w:tc>
          <w:tcPr>
            <w:tcW w:w="322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Finished goods</w:t>
            </w:r>
          </w:p>
        </w:tc>
        <w:tc>
          <w:tcPr>
            <w:tcW w:w="146" w:type="dxa"/>
            <w:tcBorders/>
            <w:shd w:fill="FFFFFF" w:val="clear"/>
            <w:vAlign w:val="center"/>
          </w:tcPr>
          <w:p>
            <w:pPr>
              <w:pStyle w:val="TableContents"/>
              <w:bidi w:val="0"/>
              <w:spacing w:before="0" w:after="283"/>
              <w:jc w:val="left"/>
              <w:rPr/>
            </w:pPr>
            <w:r>
              <w:rPr/>
              <w:t> </w:t>
            </w:r>
          </w:p>
        </w:tc>
        <w:tc>
          <w:tcPr>
            <w:tcW w:w="4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115</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21"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Total inventories</w:t>
            </w:r>
          </w:p>
        </w:tc>
        <w:tc>
          <w:tcPr>
            <w:tcW w:w="146" w:type="dxa"/>
            <w:tcBorders/>
            <w:shd w:fill="CFF0FC" w:val="clear"/>
            <w:vAlign w:val="center"/>
          </w:tcPr>
          <w:p>
            <w:pPr>
              <w:pStyle w:val="TableContents"/>
              <w:bidi w:val="0"/>
              <w:spacing w:before="0" w:after="283"/>
              <w:jc w:val="left"/>
              <w:rPr/>
            </w:pPr>
            <w:r>
              <w:rPr/>
              <w:t> </w:t>
            </w:r>
          </w:p>
        </w:tc>
        <w:tc>
          <w:tcPr>
            <w:tcW w:w="432" w:type="dxa"/>
            <w:tcBorders/>
            <w:shd w:fill="CFF0FC" w:val="clear"/>
            <w:vAlign w:val="center"/>
          </w:tcPr>
          <w:p>
            <w:pPr>
              <w:pStyle w:val="TableContents"/>
              <w:bidi w:val="0"/>
              <w:spacing w:before="0" w:after="283"/>
              <w:jc w:val="left"/>
              <w:rPr/>
            </w:pPr>
            <w:r>
              <w:rPr/>
              <w:t> </w:t>
            </w:r>
          </w:p>
        </w:tc>
        <w:tc>
          <w:tcPr>
            <w:tcW w:w="1203" w:type="dxa"/>
            <w:tcBorders/>
            <w:shd w:fill="CFF0FC"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6,746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6" w:type="dxa"/>
            <w:tcBorders/>
            <w:shd w:fill="CFF0FC" w:val="clear"/>
            <w:vAlign w:val="center"/>
          </w:tcPr>
          <w:p>
            <w:pPr>
              <w:pStyle w:val="TableContents"/>
              <w:bidi w:val="0"/>
              <w:spacing w:before="0" w:after="283"/>
              <w:jc w:val="left"/>
              <w:rPr/>
            </w:pPr>
            <w:r>
              <w:rPr/>
              <w:t> </w:t>
            </w:r>
          </w:p>
        </w:tc>
        <w:tc>
          <w:tcPr>
            <w:tcW w:w="1159" w:type="dxa"/>
            <w:tcBorders/>
            <w:shd w:fill="CFF0FC"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3,492</w:t>
            </w:r>
          </w:p>
        </w:tc>
        <w:tc>
          <w:tcPr>
            <w:tcW w:w="471" w:type="dxa"/>
            <w:tcBorders/>
            <w:shd w:fill="CFF0FC" w:val="clear"/>
            <w:vAlign w:val="center"/>
          </w:tcPr>
          <w:p>
            <w:pPr>
              <w:pStyle w:val="TableContents"/>
              <w:bidi w:val="0"/>
              <w:spacing w:before="0" w:after="283"/>
              <w:ind w:left="0" w:right="0" w:firstLine="280"/>
              <w:jc w:val="left"/>
              <w:rPr/>
            </w:pPr>
            <w:r>
              <w:rPr/>
              <w:t> </w:t>
            </w:r>
          </w:p>
        </w:tc>
      </w:tr>
      <w:tr>
        <w:trPr/>
        <w:tc>
          <w:tcPr>
            <w:tcW w:w="3221" w:type="dxa"/>
            <w:tcBorders/>
            <w:shd w:fill="FFFFFF"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Allowance for obsolete inventory</w:t>
            </w:r>
          </w:p>
        </w:tc>
        <w:tc>
          <w:tcPr>
            <w:tcW w:w="146" w:type="dxa"/>
            <w:tcBorders/>
            <w:shd w:fill="FFFFFF" w:val="clear"/>
            <w:vAlign w:val="center"/>
          </w:tcPr>
          <w:p>
            <w:pPr>
              <w:pStyle w:val="TableContents"/>
              <w:bidi w:val="0"/>
              <w:spacing w:before="0" w:after="283"/>
              <w:jc w:val="left"/>
              <w:rPr/>
            </w:pPr>
            <w:r>
              <w:rPr/>
              <w:t> </w:t>
            </w:r>
          </w:p>
        </w:tc>
        <w:tc>
          <w:tcPr>
            <w:tcW w:w="4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(211</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3221"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Inventories, net</w:t>
            </w:r>
          </w:p>
        </w:tc>
        <w:tc>
          <w:tcPr>
            <w:tcW w:w="146" w:type="dxa"/>
            <w:tcBorders/>
            <w:shd w:fill="CFF0FC" w:val="clear"/>
            <w:vAlign w:val="center"/>
          </w:tcPr>
          <w:p>
            <w:pPr>
              <w:pStyle w:val="TableContents"/>
              <w:bidi w:val="0"/>
              <w:spacing w:before="0" w:after="283"/>
              <w:jc w:val="left"/>
              <w:rPr/>
            </w:pPr>
            <w:r>
              <w:rPr/>
              <w:t> </w:t>
            </w:r>
          </w:p>
        </w:tc>
        <w:tc>
          <w:tcPr>
            <w:tcW w:w="4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2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6,586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1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3,281</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pPr>
      <w:r>
        <w:rPr/>
        <w:t> </w:t>
      </w:r>
    </w:p>
    <w:p>
      <w:pPr>
        <w:pStyle w:val="TextBody"/>
        <w:bidi w:val="0"/>
        <w:jc w:val="center"/>
        <w:rPr>
          <w:rFonts w:ascii="Arial" w:hAnsi="Arial"/>
          <w:b w:val="false"/>
          <w:color w:val="000000"/>
          <w:sz w:val="20"/>
        </w:rPr>
      </w:pPr>
      <w:r>
        <w:rPr>
          <w:rFonts w:ascii="Arial" w:hAnsi="Arial"/>
          <w:b w:val="false"/>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b/>
          <w:i/>
          <w:color w:val="000000"/>
          <w:sz w:val="20"/>
        </w:rPr>
      </w:pPr>
      <w:r>
        <w:rPr>
          <w:rFonts w:ascii="Arial" w:hAnsi="Arial"/>
          <w:b/>
          <w:i/>
          <w:color w:val="000000"/>
          <w:sz w:val="20"/>
        </w:rPr>
        <w:t>Prepaid expenses and other current assets</w:t>
      </w:r>
    </w:p>
    <w:p>
      <w:pPr>
        <w:pStyle w:val="TextBody"/>
        <w:bidi w:val="0"/>
        <w:spacing w:before="240" w:after="283"/>
        <w:jc w:val="both"/>
        <w:rPr>
          <w:rFonts w:ascii="Arial" w:hAnsi="Arial"/>
          <w:b w:val="false"/>
          <w:color w:val="000000"/>
          <w:sz w:val="20"/>
        </w:rPr>
      </w:pPr>
      <w:r>
        <w:rPr>
          <w:rFonts w:ascii="Arial" w:hAnsi="Arial"/>
          <w:b w:val="false"/>
          <w:color w:val="000000"/>
          <w:sz w:val="20"/>
        </w:rPr>
        <w:t>The following table shows the components of prepaid expenses and other current assets (in thousands):</w:t>
      </w:r>
    </w:p>
    <w:p>
      <w:pPr>
        <w:pStyle w:val="TextBody"/>
        <w:bidi w:val="0"/>
        <w:jc w:val="left"/>
        <w:rPr/>
      </w:pPr>
      <w:r>
        <w:rPr/>
        <w:t> </w:t>
      </w:r>
    </w:p>
    <w:tbl>
      <w:tblPr>
        <w:tblW w:w="6620" w:type="dxa"/>
        <w:jc w:val="left"/>
        <w:tblInd w:w="0" w:type="dxa"/>
        <w:tblLayout w:type="fixed"/>
        <w:tblCellMar>
          <w:top w:w="28" w:type="dxa"/>
          <w:left w:w="28" w:type="dxa"/>
          <w:bottom w:w="28" w:type="dxa"/>
          <w:right w:w="28" w:type="dxa"/>
        </w:tblCellMar>
      </w:tblPr>
      <w:tblGrid>
        <w:gridCol w:w="2501"/>
        <w:gridCol w:w="146"/>
        <w:gridCol w:w="432"/>
        <w:gridCol w:w="1203"/>
        <w:gridCol w:w="146"/>
        <w:gridCol w:w="146"/>
        <w:gridCol w:w="416"/>
        <w:gridCol w:w="1159"/>
        <w:gridCol w:w="471"/>
      </w:tblGrid>
      <w:tr>
        <w:trPr/>
        <w:tc>
          <w:tcPr>
            <w:tcW w:w="2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250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6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 2022</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01"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Prepaid expenses:</w:t>
            </w:r>
          </w:p>
        </w:tc>
        <w:tc>
          <w:tcPr>
            <w:tcW w:w="146" w:type="dxa"/>
            <w:tcBorders/>
            <w:shd w:fill="CFF0FC" w:val="clear"/>
            <w:vAlign w:val="center"/>
          </w:tcPr>
          <w:p>
            <w:pPr>
              <w:pStyle w:val="TableContents"/>
              <w:bidi w:val="0"/>
              <w:spacing w:before="0" w:after="283"/>
              <w:jc w:val="left"/>
              <w:rPr/>
            </w:pPr>
            <w:r>
              <w:rPr/>
              <w:t> </w:t>
            </w:r>
          </w:p>
        </w:tc>
        <w:tc>
          <w:tcPr>
            <w:tcW w:w="163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75" w:type="dxa"/>
            <w:gridSpan w:val="2"/>
            <w:tcBorders/>
            <w:shd w:fill="CFF0FC" w:val="clear"/>
            <w:vAlign w:val="center"/>
          </w:tcPr>
          <w:p>
            <w:pPr>
              <w:pStyle w:val="TableContents"/>
              <w:bidi w:val="0"/>
              <w:spacing w:before="0" w:after="283"/>
              <w:jc w:val="right"/>
              <w:rPr/>
            </w:pPr>
            <w:r>
              <w:rPr/>
              <w:t> </w:t>
            </w:r>
          </w:p>
        </w:tc>
        <w:tc>
          <w:tcPr>
            <w:tcW w:w="471" w:type="dxa"/>
            <w:tcBorders/>
            <w:shd w:fill="CFF0FC" w:val="clear"/>
            <w:vAlign w:val="center"/>
          </w:tcPr>
          <w:p>
            <w:pPr>
              <w:pStyle w:val="TableContents"/>
              <w:bidi w:val="0"/>
              <w:spacing w:before="0" w:after="283"/>
              <w:ind w:left="0" w:right="0" w:firstLine="280"/>
              <w:jc w:val="right"/>
              <w:rPr/>
            </w:pPr>
            <w:r>
              <w:rPr/>
              <w:t> </w:t>
            </w:r>
          </w:p>
        </w:tc>
      </w:tr>
      <w:tr>
        <w:trPr/>
        <w:tc>
          <w:tcPr>
            <w:tcW w:w="2501" w:type="dxa"/>
            <w:tcBorders/>
            <w:shd w:fill="FFFFFF"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ERC benefits receivable</w:t>
            </w:r>
          </w:p>
        </w:tc>
        <w:tc>
          <w:tcPr>
            <w:tcW w:w="146" w:type="dxa"/>
            <w:tcBorders/>
            <w:shd w:fill="FFFFFF" w:val="clear"/>
            <w:vAlign w:val="center"/>
          </w:tcPr>
          <w:p>
            <w:pPr>
              <w:pStyle w:val="TableContents"/>
              <w:bidi w:val="0"/>
              <w:spacing w:before="0" w:after="283"/>
              <w:jc w:val="left"/>
              <w:rPr/>
            </w:pPr>
            <w:r>
              <w:rPr/>
              <w:t> </w:t>
            </w:r>
          </w:p>
        </w:tc>
        <w:tc>
          <w:tcPr>
            <w:tcW w:w="432"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20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159"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2,117</w:t>
            </w:r>
          </w:p>
        </w:tc>
        <w:tc>
          <w:tcPr>
            <w:tcW w:w="471" w:type="dxa"/>
            <w:tcBorders/>
            <w:shd w:fill="FFFFFF" w:val="clear"/>
            <w:vAlign w:val="center"/>
          </w:tcPr>
          <w:p>
            <w:pPr>
              <w:pStyle w:val="TableContents"/>
              <w:bidi w:val="0"/>
              <w:spacing w:before="0" w:after="283"/>
              <w:ind w:left="0" w:right="0" w:firstLine="280"/>
              <w:jc w:val="left"/>
              <w:rPr/>
            </w:pPr>
            <w:r>
              <w:rPr/>
              <w:t> </w:t>
            </w:r>
          </w:p>
        </w:tc>
      </w:tr>
      <w:tr>
        <w:trPr/>
        <w:tc>
          <w:tcPr>
            <w:tcW w:w="2501" w:type="dxa"/>
            <w:tcBorders/>
            <w:shd w:fill="CFF0FC"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Deposits on inventory</w:t>
            </w:r>
          </w:p>
        </w:tc>
        <w:tc>
          <w:tcPr>
            <w:tcW w:w="146" w:type="dxa"/>
            <w:tcBorders/>
            <w:shd w:fill="CFF0FC" w:val="clear"/>
            <w:vAlign w:val="center"/>
          </w:tcPr>
          <w:p>
            <w:pPr>
              <w:pStyle w:val="TableContents"/>
              <w:bidi w:val="0"/>
              <w:spacing w:before="0" w:after="283"/>
              <w:jc w:val="left"/>
              <w:rPr/>
            </w:pPr>
            <w:r>
              <w:rPr/>
              <w:t> </w:t>
            </w:r>
          </w:p>
        </w:tc>
        <w:tc>
          <w:tcPr>
            <w:tcW w:w="432" w:type="dxa"/>
            <w:tcBorders/>
            <w:shd w:fill="CFF0FC" w:val="clear"/>
            <w:vAlign w:val="center"/>
          </w:tcPr>
          <w:p>
            <w:pPr>
              <w:pStyle w:val="TableContents"/>
              <w:bidi w:val="0"/>
              <w:spacing w:before="0" w:after="283"/>
              <w:jc w:val="left"/>
              <w:rPr/>
            </w:pPr>
            <w:r>
              <w:rPr/>
              <w:t> </w:t>
            </w:r>
          </w:p>
        </w:tc>
        <w:tc>
          <w:tcPr>
            <w:tcW w:w="1203"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2,040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6" w:type="dxa"/>
            <w:tcBorders/>
            <w:shd w:fill="CFF0FC" w:val="clear"/>
            <w:vAlign w:val="center"/>
          </w:tcPr>
          <w:p>
            <w:pPr>
              <w:pStyle w:val="TableContents"/>
              <w:bidi w:val="0"/>
              <w:spacing w:before="0" w:after="283"/>
              <w:jc w:val="left"/>
              <w:rPr/>
            </w:pPr>
            <w:r>
              <w:rPr/>
              <w:t> </w:t>
            </w:r>
          </w:p>
        </w:tc>
        <w:tc>
          <w:tcPr>
            <w:tcW w:w="1159"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680</w:t>
            </w:r>
          </w:p>
        </w:tc>
        <w:tc>
          <w:tcPr>
            <w:tcW w:w="471" w:type="dxa"/>
            <w:tcBorders/>
            <w:shd w:fill="CFF0FC" w:val="clear"/>
            <w:vAlign w:val="center"/>
          </w:tcPr>
          <w:p>
            <w:pPr>
              <w:pStyle w:val="TableContents"/>
              <w:bidi w:val="0"/>
              <w:spacing w:before="0" w:after="283"/>
              <w:ind w:left="0" w:right="0" w:firstLine="280"/>
              <w:jc w:val="left"/>
              <w:rPr/>
            </w:pPr>
            <w:r>
              <w:rPr/>
              <w:t> </w:t>
            </w:r>
          </w:p>
        </w:tc>
      </w:tr>
      <w:tr>
        <w:trPr/>
        <w:tc>
          <w:tcPr>
            <w:tcW w:w="2501" w:type="dxa"/>
            <w:tcBorders/>
            <w:shd w:fill="FFFFFF"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Prepaid income tax</w:t>
            </w:r>
          </w:p>
        </w:tc>
        <w:tc>
          <w:tcPr>
            <w:tcW w:w="146" w:type="dxa"/>
            <w:tcBorders/>
            <w:shd w:fill="FFFFFF" w:val="clear"/>
            <w:vAlign w:val="center"/>
          </w:tcPr>
          <w:p>
            <w:pPr>
              <w:pStyle w:val="TableContents"/>
              <w:bidi w:val="0"/>
              <w:spacing w:before="0" w:after="283"/>
              <w:jc w:val="left"/>
              <w:rPr/>
            </w:pPr>
            <w:r>
              <w:rPr/>
              <w:t> </w:t>
            </w:r>
          </w:p>
        </w:tc>
        <w:tc>
          <w:tcPr>
            <w:tcW w:w="432"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565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left"/>
              <w:rPr/>
            </w:pPr>
            <w:r>
              <w:rPr/>
              <w:t> </w:t>
            </w:r>
          </w:p>
        </w:tc>
        <w:tc>
          <w:tcPr>
            <w:tcW w:w="1159" w:type="dxa"/>
            <w:tcBorders/>
            <w:shd w:fill="FFFFFF" w:val="clear"/>
            <w:vAlign w:val="center"/>
          </w:tcPr>
          <w:p>
            <w:pPr>
              <w:pStyle w:val="TableContents"/>
              <w:bidi w:val="0"/>
              <w:spacing w:before="0" w:after="283"/>
              <w:jc w:val="right"/>
              <w:rPr>
                <w:color w:val="000000"/>
              </w:rPr>
            </w:pPr>
            <w:r>
              <w:rPr>
                <w:color w:val="000000"/>
              </w:rPr>
              <w:t>—</w:t>
            </w:r>
          </w:p>
        </w:tc>
        <w:tc>
          <w:tcPr>
            <w:tcW w:w="471" w:type="dxa"/>
            <w:tcBorders/>
            <w:shd w:fill="FFFFFF" w:val="clear"/>
            <w:vAlign w:val="center"/>
          </w:tcPr>
          <w:p>
            <w:pPr>
              <w:pStyle w:val="TableContents"/>
              <w:bidi w:val="0"/>
              <w:spacing w:before="0" w:after="283"/>
              <w:ind w:left="0" w:right="0" w:firstLine="280"/>
              <w:jc w:val="left"/>
              <w:rPr/>
            </w:pPr>
            <w:r>
              <w:rPr/>
              <w:t> </w:t>
            </w:r>
          </w:p>
        </w:tc>
      </w:tr>
      <w:tr>
        <w:trPr/>
        <w:tc>
          <w:tcPr>
            <w:tcW w:w="2501" w:type="dxa"/>
            <w:tcBorders/>
            <w:shd w:fill="CFF0FC"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Prepaid insurance</w:t>
            </w:r>
          </w:p>
        </w:tc>
        <w:tc>
          <w:tcPr>
            <w:tcW w:w="146" w:type="dxa"/>
            <w:tcBorders/>
            <w:shd w:fill="CFF0FC" w:val="clear"/>
            <w:vAlign w:val="center"/>
          </w:tcPr>
          <w:p>
            <w:pPr>
              <w:pStyle w:val="TableContents"/>
              <w:bidi w:val="0"/>
              <w:spacing w:before="0" w:after="283"/>
              <w:jc w:val="left"/>
              <w:rPr/>
            </w:pPr>
            <w:r>
              <w:rPr/>
              <w:t> </w:t>
            </w:r>
          </w:p>
        </w:tc>
        <w:tc>
          <w:tcPr>
            <w:tcW w:w="432" w:type="dxa"/>
            <w:tcBorders/>
            <w:shd w:fill="CFF0FC" w:val="clear"/>
            <w:vAlign w:val="center"/>
          </w:tcPr>
          <w:p>
            <w:pPr>
              <w:pStyle w:val="TableContents"/>
              <w:bidi w:val="0"/>
              <w:spacing w:before="0" w:after="283"/>
              <w:jc w:val="left"/>
              <w:rPr/>
            </w:pPr>
            <w:r>
              <w:rPr/>
              <w:t> </w:t>
            </w:r>
          </w:p>
        </w:tc>
        <w:tc>
          <w:tcPr>
            <w:tcW w:w="1203"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1,621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6" w:type="dxa"/>
            <w:tcBorders/>
            <w:shd w:fill="CFF0FC" w:val="clear"/>
            <w:vAlign w:val="center"/>
          </w:tcPr>
          <w:p>
            <w:pPr>
              <w:pStyle w:val="TableContents"/>
              <w:bidi w:val="0"/>
              <w:spacing w:before="0" w:after="283"/>
              <w:jc w:val="left"/>
              <w:rPr/>
            </w:pPr>
            <w:r>
              <w:rPr/>
              <w:t> </w:t>
            </w:r>
          </w:p>
        </w:tc>
        <w:tc>
          <w:tcPr>
            <w:tcW w:w="1159"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358</w:t>
            </w:r>
          </w:p>
        </w:tc>
        <w:tc>
          <w:tcPr>
            <w:tcW w:w="471" w:type="dxa"/>
            <w:tcBorders/>
            <w:shd w:fill="CFF0FC" w:val="clear"/>
            <w:vAlign w:val="center"/>
          </w:tcPr>
          <w:p>
            <w:pPr>
              <w:pStyle w:val="TableContents"/>
              <w:bidi w:val="0"/>
              <w:spacing w:before="0" w:after="283"/>
              <w:ind w:left="0" w:right="0" w:firstLine="280"/>
              <w:jc w:val="left"/>
              <w:rPr/>
            </w:pPr>
            <w:r>
              <w:rPr/>
              <w:t> </w:t>
            </w:r>
          </w:p>
        </w:tc>
      </w:tr>
      <w:tr>
        <w:trPr/>
        <w:tc>
          <w:tcPr>
            <w:tcW w:w="2501" w:type="dxa"/>
            <w:tcBorders/>
            <w:shd w:fill="FFFFFF"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Prepaid rent</w:t>
            </w:r>
          </w:p>
        </w:tc>
        <w:tc>
          <w:tcPr>
            <w:tcW w:w="146" w:type="dxa"/>
            <w:tcBorders/>
            <w:shd w:fill="FFFFFF" w:val="clear"/>
            <w:vAlign w:val="center"/>
          </w:tcPr>
          <w:p>
            <w:pPr>
              <w:pStyle w:val="TableContents"/>
              <w:bidi w:val="0"/>
              <w:spacing w:before="0" w:after="283"/>
              <w:jc w:val="left"/>
              <w:rPr/>
            </w:pPr>
            <w:r>
              <w:rPr/>
              <w:t> </w:t>
            </w:r>
          </w:p>
        </w:tc>
        <w:tc>
          <w:tcPr>
            <w:tcW w:w="432"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371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left"/>
              <w:rPr/>
            </w:pPr>
            <w:r>
              <w:rPr/>
              <w:t> </w:t>
            </w:r>
          </w:p>
        </w:tc>
        <w:tc>
          <w:tcPr>
            <w:tcW w:w="1159"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381</w:t>
            </w:r>
          </w:p>
        </w:tc>
        <w:tc>
          <w:tcPr>
            <w:tcW w:w="471" w:type="dxa"/>
            <w:tcBorders/>
            <w:shd w:fill="FFFFFF" w:val="clear"/>
            <w:vAlign w:val="center"/>
          </w:tcPr>
          <w:p>
            <w:pPr>
              <w:pStyle w:val="TableContents"/>
              <w:bidi w:val="0"/>
              <w:spacing w:before="0" w:after="283"/>
              <w:ind w:left="0" w:right="0" w:firstLine="280"/>
              <w:jc w:val="left"/>
              <w:rPr/>
            </w:pPr>
            <w:r>
              <w:rPr/>
              <w:t> </w:t>
            </w:r>
          </w:p>
        </w:tc>
      </w:tr>
      <w:tr>
        <w:trPr/>
        <w:tc>
          <w:tcPr>
            <w:tcW w:w="2501" w:type="dxa"/>
            <w:tcBorders/>
            <w:shd w:fill="CFF0FC"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Prepaid equipment</w:t>
            </w:r>
          </w:p>
        </w:tc>
        <w:tc>
          <w:tcPr>
            <w:tcW w:w="146" w:type="dxa"/>
            <w:tcBorders/>
            <w:shd w:fill="CFF0FC" w:val="clear"/>
            <w:vAlign w:val="center"/>
          </w:tcPr>
          <w:p>
            <w:pPr>
              <w:pStyle w:val="TableContents"/>
              <w:bidi w:val="0"/>
              <w:spacing w:before="0" w:after="283"/>
              <w:jc w:val="left"/>
              <w:rPr/>
            </w:pPr>
            <w:r>
              <w:rPr/>
              <w:t> </w:t>
            </w:r>
          </w:p>
        </w:tc>
        <w:tc>
          <w:tcPr>
            <w:tcW w:w="432" w:type="dxa"/>
            <w:tcBorders/>
            <w:shd w:fill="CFF0FC" w:val="clear"/>
            <w:vAlign w:val="center"/>
          </w:tcPr>
          <w:p>
            <w:pPr>
              <w:pStyle w:val="TableContents"/>
              <w:bidi w:val="0"/>
              <w:spacing w:before="0" w:after="283"/>
              <w:jc w:val="left"/>
              <w:rPr/>
            </w:pPr>
            <w:r>
              <w:rPr/>
              <w:t> </w:t>
            </w:r>
          </w:p>
        </w:tc>
        <w:tc>
          <w:tcPr>
            <w:tcW w:w="1203"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178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6" w:type="dxa"/>
            <w:tcBorders/>
            <w:shd w:fill="CFF0FC" w:val="clear"/>
            <w:vAlign w:val="center"/>
          </w:tcPr>
          <w:p>
            <w:pPr>
              <w:pStyle w:val="TableContents"/>
              <w:bidi w:val="0"/>
              <w:spacing w:before="0" w:after="283"/>
              <w:jc w:val="left"/>
              <w:rPr/>
            </w:pPr>
            <w:r>
              <w:rPr/>
              <w:t> </w:t>
            </w:r>
          </w:p>
        </w:tc>
        <w:tc>
          <w:tcPr>
            <w:tcW w:w="1159"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179</w:t>
            </w:r>
          </w:p>
        </w:tc>
        <w:tc>
          <w:tcPr>
            <w:tcW w:w="471" w:type="dxa"/>
            <w:tcBorders/>
            <w:shd w:fill="CFF0FC" w:val="clear"/>
            <w:vAlign w:val="center"/>
          </w:tcPr>
          <w:p>
            <w:pPr>
              <w:pStyle w:val="TableContents"/>
              <w:bidi w:val="0"/>
              <w:spacing w:before="0" w:after="283"/>
              <w:ind w:left="0" w:right="0" w:firstLine="280"/>
              <w:jc w:val="left"/>
              <w:rPr/>
            </w:pPr>
            <w:r>
              <w:rPr/>
              <w:t> </w:t>
            </w:r>
          </w:p>
        </w:tc>
      </w:tr>
      <w:tr>
        <w:trPr/>
        <w:tc>
          <w:tcPr>
            <w:tcW w:w="2501" w:type="dxa"/>
            <w:tcBorders/>
            <w:shd w:fill="FFFFFF"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Prepaid other</w:t>
            </w:r>
          </w:p>
        </w:tc>
        <w:tc>
          <w:tcPr>
            <w:tcW w:w="146" w:type="dxa"/>
            <w:tcBorders/>
            <w:shd w:fill="FFFFFF" w:val="clear"/>
            <w:vAlign w:val="center"/>
          </w:tcPr>
          <w:p>
            <w:pPr>
              <w:pStyle w:val="TableContents"/>
              <w:bidi w:val="0"/>
              <w:spacing w:before="0" w:after="283"/>
              <w:jc w:val="left"/>
              <w:rPr/>
            </w:pPr>
            <w:r>
              <w:rPr/>
              <w:t> </w:t>
            </w:r>
          </w:p>
        </w:tc>
        <w:tc>
          <w:tcPr>
            <w:tcW w:w="432"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187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left"/>
              <w:rPr/>
            </w:pPr>
            <w:r>
              <w:rPr/>
              <w:t> </w:t>
            </w:r>
          </w:p>
        </w:tc>
        <w:tc>
          <w:tcPr>
            <w:tcW w:w="1159"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173</w:t>
            </w:r>
          </w:p>
        </w:tc>
        <w:tc>
          <w:tcPr>
            <w:tcW w:w="471" w:type="dxa"/>
            <w:tcBorders/>
            <w:shd w:fill="FFFFFF" w:val="clear"/>
            <w:vAlign w:val="center"/>
          </w:tcPr>
          <w:p>
            <w:pPr>
              <w:pStyle w:val="TableContents"/>
              <w:bidi w:val="0"/>
              <w:spacing w:before="0" w:after="283"/>
              <w:jc w:val="left"/>
              <w:rPr/>
            </w:pPr>
            <w:r>
              <w:rPr/>
              <w:t> </w:t>
            </w:r>
          </w:p>
        </w:tc>
      </w:tr>
      <w:tr>
        <w:trPr/>
        <w:tc>
          <w:tcPr>
            <w:tcW w:w="2501"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Other current assets:</w:t>
            </w:r>
          </w:p>
        </w:tc>
        <w:tc>
          <w:tcPr>
            <w:tcW w:w="146" w:type="dxa"/>
            <w:tcBorders/>
            <w:shd w:fill="CFF0FC" w:val="clear"/>
            <w:vAlign w:val="center"/>
          </w:tcPr>
          <w:p>
            <w:pPr>
              <w:pStyle w:val="TableContents"/>
              <w:bidi w:val="0"/>
              <w:spacing w:before="0" w:after="283"/>
              <w:jc w:val="left"/>
              <w:rPr/>
            </w:pPr>
            <w:r>
              <w:rPr/>
              <w:t> </w:t>
            </w:r>
          </w:p>
        </w:tc>
        <w:tc>
          <w:tcPr>
            <w:tcW w:w="163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75" w:type="dxa"/>
            <w:gridSpan w:val="2"/>
            <w:tcBorders/>
            <w:shd w:fill="CFF0FC" w:val="clear"/>
            <w:vAlign w:val="center"/>
          </w:tcPr>
          <w:p>
            <w:pPr>
              <w:pStyle w:val="TableContents"/>
              <w:bidi w:val="0"/>
              <w:spacing w:before="0" w:after="283"/>
              <w:jc w:val="right"/>
              <w:rPr/>
            </w:pPr>
            <w:r>
              <w:rPr/>
              <w:t> </w:t>
            </w:r>
          </w:p>
        </w:tc>
        <w:tc>
          <w:tcPr>
            <w:tcW w:w="471" w:type="dxa"/>
            <w:tcBorders/>
            <w:shd w:fill="CFF0FC" w:val="clear"/>
            <w:vAlign w:val="center"/>
          </w:tcPr>
          <w:p>
            <w:pPr>
              <w:pStyle w:val="TableContents"/>
              <w:bidi w:val="0"/>
              <w:spacing w:before="0" w:after="283"/>
              <w:ind w:left="0" w:right="0" w:firstLine="280"/>
              <w:jc w:val="right"/>
              <w:rPr/>
            </w:pPr>
            <w:r>
              <w:rPr/>
              <w:t> </w:t>
            </w:r>
          </w:p>
        </w:tc>
      </w:tr>
      <w:tr>
        <w:trPr/>
        <w:tc>
          <w:tcPr>
            <w:tcW w:w="2501" w:type="dxa"/>
            <w:tcBorders/>
            <w:shd w:fill="FFFFFF"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Interest rate swap asset</w:t>
            </w:r>
          </w:p>
        </w:tc>
        <w:tc>
          <w:tcPr>
            <w:tcW w:w="146" w:type="dxa"/>
            <w:tcBorders/>
            <w:shd w:fill="FFFFFF" w:val="clear"/>
            <w:vAlign w:val="center"/>
          </w:tcPr>
          <w:p>
            <w:pPr>
              <w:pStyle w:val="TableContents"/>
              <w:bidi w:val="0"/>
              <w:spacing w:before="0" w:after="283"/>
              <w:jc w:val="left"/>
              <w:rPr/>
            </w:pPr>
            <w:r>
              <w:rPr/>
              <w:t> </w:t>
            </w:r>
          </w:p>
        </w:tc>
        <w:tc>
          <w:tcPr>
            <w:tcW w:w="432"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20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159"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476</w:t>
            </w:r>
          </w:p>
        </w:tc>
        <w:tc>
          <w:tcPr>
            <w:tcW w:w="471" w:type="dxa"/>
            <w:tcBorders/>
            <w:shd w:fill="FFFFFF" w:val="clear"/>
            <w:vAlign w:val="center"/>
          </w:tcPr>
          <w:p>
            <w:pPr>
              <w:pStyle w:val="TableContents"/>
              <w:bidi w:val="0"/>
              <w:spacing w:before="0" w:after="283"/>
              <w:ind w:left="0" w:right="0" w:firstLine="280"/>
              <w:jc w:val="left"/>
              <w:rPr/>
            </w:pPr>
            <w:r>
              <w:rPr/>
              <w:t> </w:t>
            </w:r>
          </w:p>
        </w:tc>
      </w:tr>
      <w:tr>
        <w:trPr/>
        <w:tc>
          <w:tcPr>
            <w:tcW w:w="2501" w:type="dxa"/>
            <w:tcBorders/>
            <w:shd w:fill="CFF0FC"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4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17</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01" w:type="dxa"/>
            <w:tcBorders/>
            <w:shd w:fill="FFFFFF"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4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4,976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1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4,381</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both"/>
        <w:rPr>
          <w:rFonts w:ascii="Times New Roman" w:hAnsi="Times New Roman"/>
          <w:sz w:val="20"/>
        </w:rPr>
      </w:pPr>
      <w:r>
        <w:rPr>
          <w:rFonts w:ascii="Arial" w:hAnsi="Arial"/>
          <w:b/>
          <w:i/>
          <w:color w:val="000000"/>
          <w:sz w:val="20"/>
        </w:rPr>
        <w:t>Accrued expenses and other current liabilities</w:t>
      </w:r>
      <w:r>
        <w:rPr>
          <w:rFonts w:ascii="Times New Roman" w:hAnsi="Times New Roman"/>
          <w:color w:val="000000"/>
          <w:sz w:val="20"/>
        </w:rPr>
        <w:t xml:space="preserve"> </w:t>
      </w:r>
    </w:p>
    <w:p>
      <w:pPr>
        <w:pStyle w:val="TextBody"/>
        <w:bidi w:val="0"/>
        <w:spacing w:before="240" w:after="283"/>
        <w:jc w:val="both"/>
        <w:rPr>
          <w:rFonts w:ascii="Arial" w:hAnsi="Arial"/>
          <w:b w:val="false"/>
          <w:color w:val="000000"/>
          <w:sz w:val="20"/>
        </w:rPr>
      </w:pPr>
      <w:r>
        <w:rPr>
          <w:rFonts w:ascii="Arial" w:hAnsi="Arial"/>
          <w:b w:val="false"/>
          <w:color w:val="000000"/>
          <w:sz w:val="20"/>
        </w:rPr>
        <w:t>The following table shows the components of accrued expenses and other current liabilities (in thousands):</w:t>
      </w:r>
    </w:p>
    <w:p>
      <w:pPr>
        <w:pStyle w:val="TextBody"/>
        <w:bidi w:val="0"/>
        <w:jc w:val="both"/>
        <w:rPr/>
      </w:pPr>
      <w:r>
        <w:rPr/>
        <w:t> </w:t>
      </w:r>
    </w:p>
    <w:tbl>
      <w:tblPr>
        <w:tblW w:w="9010" w:type="dxa"/>
        <w:jc w:val="left"/>
        <w:tblInd w:w="0" w:type="dxa"/>
        <w:tblLayout w:type="fixed"/>
        <w:tblCellMar>
          <w:top w:w="28" w:type="dxa"/>
          <w:left w:w="28" w:type="dxa"/>
          <w:bottom w:w="28" w:type="dxa"/>
          <w:right w:w="28" w:type="dxa"/>
        </w:tblCellMar>
      </w:tblPr>
      <w:tblGrid>
        <w:gridCol w:w="4891"/>
        <w:gridCol w:w="146"/>
        <w:gridCol w:w="381"/>
        <w:gridCol w:w="1254"/>
        <w:gridCol w:w="146"/>
        <w:gridCol w:w="146"/>
        <w:gridCol w:w="416"/>
        <w:gridCol w:w="1159"/>
        <w:gridCol w:w="471"/>
      </w:tblGrid>
      <w:tr>
        <w:trPr/>
        <w:tc>
          <w:tcPr>
            <w:tcW w:w="4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48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6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 2022</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91"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Accrued expenses:</w:t>
            </w:r>
          </w:p>
        </w:tc>
        <w:tc>
          <w:tcPr>
            <w:tcW w:w="146" w:type="dxa"/>
            <w:tcBorders/>
            <w:shd w:fill="CFF0FC" w:val="clear"/>
            <w:vAlign w:val="center"/>
          </w:tcPr>
          <w:p>
            <w:pPr>
              <w:pStyle w:val="TableContents"/>
              <w:bidi w:val="0"/>
              <w:spacing w:before="0" w:after="283"/>
              <w:jc w:val="left"/>
              <w:rPr/>
            </w:pPr>
            <w:r>
              <w:rPr/>
              <w:t> </w:t>
            </w:r>
          </w:p>
        </w:tc>
        <w:tc>
          <w:tcPr>
            <w:tcW w:w="163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75" w:type="dxa"/>
            <w:gridSpan w:val="2"/>
            <w:tcBorders/>
            <w:shd w:fill="CFF0FC" w:val="clear"/>
            <w:vAlign w:val="center"/>
          </w:tcPr>
          <w:p>
            <w:pPr>
              <w:pStyle w:val="TableContents"/>
              <w:bidi w:val="0"/>
              <w:spacing w:before="0" w:after="283"/>
              <w:jc w:val="right"/>
              <w:rPr/>
            </w:pPr>
            <w:r>
              <w:rPr/>
              <w:t> </w:t>
            </w:r>
          </w:p>
        </w:tc>
        <w:tc>
          <w:tcPr>
            <w:tcW w:w="471" w:type="dxa"/>
            <w:tcBorders/>
            <w:shd w:fill="CFF0FC" w:val="clear"/>
            <w:vAlign w:val="center"/>
          </w:tcPr>
          <w:p>
            <w:pPr>
              <w:pStyle w:val="TableContents"/>
              <w:bidi w:val="0"/>
              <w:spacing w:before="0" w:after="283"/>
              <w:ind w:left="0" w:right="0" w:firstLine="280"/>
              <w:jc w:val="right"/>
              <w:rPr/>
            </w:pPr>
            <w:r>
              <w:rPr/>
              <w:t> </w:t>
            </w:r>
          </w:p>
        </w:tc>
      </w:tr>
      <w:tr>
        <w:trPr/>
        <w:tc>
          <w:tcPr>
            <w:tcW w:w="4891" w:type="dxa"/>
            <w:tcBorders/>
            <w:shd w:fill="FFFFFF"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Accrued compensation and related benefits</w:t>
            </w:r>
          </w:p>
        </w:tc>
        <w:tc>
          <w:tcPr>
            <w:tcW w:w="146"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254"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5,306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159"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3,392</w:t>
            </w:r>
          </w:p>
        </w:tc>
        <w:tc>
          <w:tcPr>
            <w:tcW w:w="471" w:type="dxa"/>
            <w:tcBorders/>
            <w:shd w:fill="FFFFFF" w:val="clear"/>
            <w:vAlign w:val="center"/>
          </w:tcPr>
          <w:p>
            <w:pPr>
              <w:pStyle w:val="TableContents"/>
              <w:bidi w:val="0"/>
              <w:spacing w:before="0" w:after="283"/>
              <w:ind w:left="0" w:right="0" w:firstLine="280"/>
              <w:jc w:val="left"/>
              <w:rPr/>
            </w:pPr>
            <w:r>
              <w:rPr/>
              <w:t> </w:t>
            </w:r>
          </w:p>
        </w:tc>
      </w:tr>
      <w:tr>
        <w:trPr/>
        <w:tc>
          <w:tcPr>
            <w:tcW w:w="4891" w:type="dxa"/>
            <w:tcBorders/>
            <w:shd w:fill="CFF0FC"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Accrued insurance</w:t>
            </w:r>
          </w:p>
        </w:tc>
        <w:tc>
          <w:tcPr>
            <w:tcW w:w="146" w:type="dxa"/>
            <w:tcBorders/>
            <w:shd w:fill="CFF0FC" w:val="clear"/>
            <w:vAlign w:val="center"/>
          </w:tcPr>
          <w:p>
            <w:pPr>
              <w:pStyle w:val="TableContents"/>
              <w:bidi w:val="0"/>
              <w:spacing w:before="0" w:after="283"/>
              <w:jc w:val="left"/>
              <w:rPr/>
            </w:pPr>
            <w:r>
              <w:rPr/>
              <w:t> </w:t>
            </w:r>
          </w:p>
        </w:tc>
        <w:tc>
          <w:tcPr>
            <w:tcW w:w="381" w:type="dxa"/>
            <w:tcBorders/>
            <w:shd w:fill="CFF0FC" w:val="clear"/>
            <w:vAlign w:val="center"/>
          </w:tcPr>
          <w:p>
            <w:pPr>
              <w:pStyle w:val="TableContents"/>
              <w:bidi w:val="0"/>
              <w:spacing w:before="0" w:after="283"/>
              <w:jc w:val="left"/>
              <w:rPr/>
            </w:pPr>
            <w:r>
              <w:rPr/>
              <w:t> </w:t>
            </w:r>
          </w:p>
        </w:tc>
        <w:tc>
          <w:tcPr>
            <w:tcW w:w="1254"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1,564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6" w:type="dxa"/>
            <w:tcBorders/>
            <w:shd w:fill="CFF0FC" w:val="clear"/>
            <w:vAlign w:val="center"/>
          </w:tcPr>
          <w:p>
            <w:pPr>
              <w:pStyle w:val="TableContents"/>
              <w:bidi w:val="0"/>
              <w:spacing w:before="0" w:after="283"/>
              <w:jc w:val="left"/>
              <w:rPr/>
            </w:pPr>
            <w:r>
              <w:rPr/>
              <w:t> </w:t>
            </w:r>
          </w:p>
        </w:tc>
        <w:tc>
          <w:tcPr>
            <w:tcW w:w="1159"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525</w:t>
            </w:r>
          </w:p>
        </w:tc>
        <w:tc>
          <w:tcPr>
            <w:tcW w:w="471" w:type="dxa"/>
            <w:tcBorders/>
            <w:shd w:fill="CFF0FC" w:val="clear"/>
            <w:vAlign w:val="center"/>
          </w:tcPr>
          <w:p>
            <w:pPr>
              <w:pStyle w:val="TableContents"/>
              <w:bidi w:val="0"/>
              <w:spacing w:before="0" w:after="283"/>
              <w:ind w:left="0" w:right="0" w:firstLine="280"/>
              <w:jc w:val="left"/>
              <w:rPr/>
            </w:pPr>
            <w:r>
              <w:rPr/>
              <w:t> </w:t>
            </w:r>
          </w:p>
        </w:tc>
      </w:tr>
      <w:tr>
        <w:trPr/>
        <w:tc>
          <w:tcPr>
            <w:tcW w:w="4891" w:type="dxa"/>
            <w:tcBorders/>
            <w:shd w:fill="FFFFFF"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Accrued transaction advisory fees</w:t>
            </w:r>
          </w:p>
        </w:tc>
        <w:tc>
          <w:tcPr>
            <w:tcW w:w="146"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left"/>
              <w:rPr/>
            </w:pPr>
            <w:r>
              <w:rPr/>
              <w:t> </w:t>
            </w:r>
          </w:p>
        </w:tc>
        <w:tc>
          <w:tcPr>
            <w:tcW w:w="1254"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left"/>
              <w:rPr/>
            </w:pPr>
            <w:r>
              <w:rPr/>
              <w:t> </w:t>
            </w:r>
          </w:p>
        </w:tc>
        <w:tc>
          <w:tcPr>
            <w:tcW w:w="1159" w:type="dxa"/>
            <w:tcBorders/>
            <w:shd w:fill="FFFFFF" w:val="clear"/>
            <w:vAlign w:val="center"/>
          </w:tcPr>
          <w:p>
            <w:pPr>
              <w:pStyle w:val="TableContents"/>
              <w:bidi w:val="0"/>
              <w:spacing w:before="0" w:after="283"/>
              <w:jc w:val="right"/>
              <w:rPr>
                <w:color w:val="000000"/>
              </w:rPr>
            </w:pPr>
            <w:r>
              <w:rPr>
                <w:color w:val="000000"/>
              </w:rPr>
              <w:t>—</w:t>
            </w:r>
          </w:p>
        </w:tc>
        <w:tc>
          <w:tcPr>
            <w:tcW w:w="471" w:type="dxa"/>
            <w:tcBorders/>
            <w:shd w:fill="FFFFFF" w:val="clear"/>
            <w:vAlign w:val="center"/>
          </w:tcPr>
          <w:p>
            <w:pPr>
              <w:pStyle w:val="TableContents"/>
              <w:bidi w:val="0"/>
              <w:spacing w:before="0" w:after="283"/>
              <w:ind w:left="0" w:right="0" w:firstLine="280"/>
              <w:jc w:val="left"/>
              <w:rPr/>
            </w:pPr>
            <w:r>
              <w:rPr/>
              <w:t> </w:t>
            </w:r>
          </w:p>
        </w:tc>
      </w:tr>
      <w:tr>
        <w:trPr/>
        <w:tc>
          <w:tcPr>
            <w:tcW w:w="4891" w:type="dxa"/>
            <w:tcBorders/>
            <w:shd w:fill="CFF0FC"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Accrued professional services</w:t>
            </w:r>
          </w:p>
        </w:tc>
        <w:tc>
          <w:tcPr>
            <w:tcW w:w="146" w:type="dxa"/>
            <w:tcBorders/>
            <w:shd w:fill="CFF0FC" w:val="clear"/>
            <w:vAlign w:val="center"/>
          </w:tcPr>
          <w:p>
            <w:pPr>
              <w:pStyle w:val="TableContents"/>
              <w:bidi w:val="0"/>
              <w:spacing w:before="0" w:after="283"/>
              <w:jc w:val="left"/>
              <w:rPr/>
            </w:pPr>
            <w:r>
              <w:rPr/>
              <w:t> </w:t>
            </w:r>
          </w:p>
        </w:tc>
        <w:tc>
          <w:tcPr>
            <w:tcW w:w="381" w:type="dxa"/>
            <w:tcBorders/>
            <w:shd w:fill="CFF0FC" w:val="clear"/>
            <w:vAlign w:val="center"/>
          </w:tcPr>
          <w:p>
            <w:pPr>
              <w:pStyle w:val="TableContents"/>
              <w:bidi w:val="0"/>
              <w:spacing w:before="0" w:after="283"/>
              <w:jc w:val="left"/>
              <w:rPr/>
            </w:pPr>
            <w:r>
              <w:rPr/>
              <w:t> </w:t>
            </w:r>
          </w:p>
        </w:tc>
        <w:tc>
          <w:tcPr>
            <w:tcW w:w="1254"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6" w:type="dxa"/>
            <w:tcBorders/>
            <w:shd w:fill="CFF0FC" w:val="clear"/>
            <w:vAlign w:val="center"/>
          </w:tcPr>
          <w:p>
            <w:pPr>
              <w:pStyle w:val="TableContents"/>
              <w:bidi w:val="0"/>
              <w:spacing w:before="0" w:after="283"/>
              <w:jc w:val="left"/>
              <w:rPr/>
            </w:pPr>
            <w:r>
              <w:rPr/>
              <w:t> </w:t>
            </w:r>
          </w:p>
        </w:tc>
        <w:tc>
          <w:tcPr>
            <w:tcW w:w="1159"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509</w:t>
            </w:r>
          </w:p>
        </w:tc>
        <w:tc>
          <w:tcPr>
            <w:tcW w:w="471" w:type="dxa"/>
            <w:tcBorders/>
            <w:shd w:fill="CFF0FC" w:val="clear"/>
            <w:vAlign w:val="center"/>
          </w:tcPr>
          <w:p>
            <w:pPr>
              <w:pStyle w:val="TableContents"/>
              <w:bidi w:val="0"/>
              <w:spacing w:before="0" w:after="283"/>
              <w:ind w:left="0" w:right="0" w:firstLine="280"/>
              <w:jc w:val="left"/>
              <w:rPr/>
            </w:pPr>
            <w:r>
              <w:rPr/>
              <w:t> </w:t>
            </w:r>
          </w:p>
        </w:tc>
      </w:tr>
      <w:tr>
        <w:trPr/>
        <w:tc>
          <w:tcPr>
            <w:tcW w:w="4891" w:type="dxa"/>
            <w:tcBorders/>
            <w:shd w:fill="FFFFFF"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Accrued interest</w:t>
            </w:r>
          </w:p>
        </w:tc>
        <w:tc>
          <w:tcPr>
            <w:tcW w:w="146"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left"/>
              <w:rPr/>
            </w:pPr>
            <w:r>
              <w:rPr/>
              <w:t> </w:t>
            </w:r>
          </w:p>
        </w:tc>
        <w:tc>
          <w:tcPr>
            <w:tcW w:w="1254"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left"/>
              <w:rPr/>
            </w:pPr>
            <w:r>
              <w:rPr/>
              <w:t> </w:t>
            </w:r>
          </w:p>
        </w:tc>
        <w:tc>
          <w:tcPr>
            <w:tcW w:w="1159"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62</w:t>
            </w:r>
          </w:p>
        </w:tc>
        <w:tc>
          <w:tcPr>
            <w:tcW w:w="471" w:type="dxa"/>
            <w:tcBorders/>
            <w:shd w:fill="FFFFFF" w:val="clear"/>
            <w:vAlign w:val="center"/>
          </w:tcPr>
          <w:p>
            <w:pPr>
              <w:pStyle w:val="TableContents"/>
              <w:bidi w:val="0"/>
              <w:spacing w:before="0" w:after="283"/>
              <w:ind w:left="0" w:right="0" w:firstLine="280"/>
              <w:jc w:val="left"/>
              <w:rPr/>
            </w:pPr>
            <w:r>
              <w:rPr/>
              <w:t> </w:t>
            </w:r>
          </w:p>
        </w:tc>
      </w:tr>
      <w:tr>
        <w:trPr/>
        <w:tc>
          <w:tcPr>
            <w:tcW w:w="4891" w:type="dxa"/>
            <w:tcBorders/>
            <w:shd w:fill="CFF0FC"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Accrued property taxes</w:t>
            </w:r>
          </w:p>
        </w:tc>
        <w:tc>
          <w:tcPr>
            <w:tcW w:w="146" w:type="dxa"/>
            <w:tcBorders/>
            <w:shd w:fill="CFF0FC" w:val="clear"/>
            <w:vAlign w:val="center"/>
          </w:tcPr>
          <w:p>
            <w:pPr>
              <w:pStyle w:val="TableContents"/>
              <w:bidi w:val="0"/>
              <w:spacing w:before="0" w:after="283"/>
              <w:jc w:val="left"/>
              <w:rPr/>
            </w:pPr>
            <w:r>
              <w:rPr/>
              <w:t> </w:t>
            </w:r>
          </w:p>
        </w:tc>
        <w:tc>
          <w:tcPr>
            <w:tcW w:w="381" w:type="dxa"/>
            <w:tcBorders/>
            <w:shd w:fill="CFF0FC" w:val="clear"/>
            <w:vAlign w:val="center"/>
          </w:tcPr>
          <w:p>
            <w:pPr>
              <w:pStyle w:val="TableContents"/>
              <w:bidi w:val="0"/>
              <w:spacing w:before="0" w:after="283"/>
              <w:jc w:val="left"/>
              <w:rPr/>
            </w:pPr>
            <w:r>
              <w:rPr/>
              <w:t> </w:t>
            </w:r>
          </w:p>
        </w:tc>
        <w:tc>
          <w:tcPr>
            <w:tcW w:w="1254"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835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6" w:type="dxa"/>
            <w:tcBorders/>
            <w:shd w:fill="CFF0FC" w:val="clear"/>
            <w:vAlign w:val="center"/>
          </w:tcPr>
          <w:p>
            <w:pPr>
              <w:pStyle w:val="TableContents"/>
              <w:bidi w:val="0"/>
              <w:spacing w:before="0" w:after="283"/>
              <w:jc w:val="left"/>
              <w:rPr/>
            </w:pPr>
            <w:r>
              <w:rPr/>
              <w:t> </w:t>
            </w:r>
          </w:p>
        </w:tc>
        <w:tc>
          <w:tcPr>
            <w:tcW w:w="1159"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41</w:t>
            </w:r>
          </w:p>
        </w:tc>
        <w:tc>
          <w:tcPr>
            <w:tcW w:w="471" w:type="dxa"/>
            <w:tcBorders/>
            <w:shd w:fill="CFF0FC" w:val="clear"/>
            <w:vAlign w:val="center"/>
          </w:tcPr>
          <w:p>
            <w:pPr>
              <w:pStyle w:val="TableContents"/>
              <w:bidi w:val="0"/>
              <w:spacing w:before="0" w:after="283"/>
              <w:ind w:left="0" w:right="0" w:firstLine="280"/>
              <w:jc w:val="left"/>
              <w:rPr/>
            </w:pPr>
            <w:r>
              <w:rPr/>
              <w:t> </w:t>
            </w:r>
          </w:p>
        </w:tc>
      </w:tr>
      <w:tr>
        <w:trPr/>
        <w:tc>
          <w:tcPr>
            <w:tcW w:w="4891" w:type="dxa"/>
            <w:tcBorders/>
            <w:shd w:fill="FFFFFF"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left"/>
              <w:rPr/>
            </w:pPr>
            <w:r>
              <w:rPr/>
              <w:t> </w:t>
            </w:r>
          </w:p>
        </w:tc>
        <w:tc>
          <w:tcPr>
            <w:tcW w:w="1254"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111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left"/>
              <w:rPr/>
            </w:pPr>
            <w:r>
              <w:rPr/>
              <w:t> </w:t>
            </w:r>
          </w:p>
        </w:tc>
        <w:tc>
          <w:tcPr>
            <w:tcW w:w="1159"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38</w:t>
            </w:r>
          </w:p>
        </w:tc>
        <w:tc>
          <w:tcPr>
            <w:tcW w:w="471" w:type="dxa"/>
            <w:tcBorders/>
            <w:shd w:fill="FFFFFF" w:val="clear"/>
            <w:vAlign w:val="center"/>
          </w:tcPr>
          <w:p>
            <w:pPr>
              <w:pStyle w:val="TableContents"/>
              <w:bidi w:val="0"/>
              <w:spacing w:before="0" w:after="283"/>
              <w:jc w:val="left"/>
              <w:rPr/>
            </w:pPr>
            <w:r>
              <w:rPr/>
              <w:t> </w:t>
            </w:r>
          </w:p>
        </w:tc>
      </w:tr>
      <w:tr>
        <w:trPr/>
        <w:tc>
          <w:tcPr>
            <w:tcW w:w="4891"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Other current liabilities:</w:t>
            </w:r>
          </w:p>
        </w:tc>
        <w:tc>
          <w:tcPr>
            <w:tcW w:w="146" w:type="dxa"/>
            <w:tcBorders/>
            <w:shd w:fill="CFF0FC" w:val="clear"/>
            <w:vAlign w:val="center"/>
          </w:tcPr>
          <w:p>
            <w:pPr>
              <w:pStyle w:val="TableContents"/>
              <w:bidi w:val="0"/>
              <w:spacing w:before="0" w:after="283"/>
              <w:jc w:val="left"/>
              <w:rPr/>
            </w:pPr>
            <w:r>
              <w:rPr/>
              <w:t> </w:t>
            </w:r>
          </w:p>
        </w:tc>
        <w:tc>
          <w:tcPr>
            <w:tcW w:w="163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75" w:type="dxa"/>
            <w:gridSpan w:val="2"/>
            <w:tcBorders/>
            <w:shd w:fill="CFF0FC" w:val="clear"/>
            <w:vAlign w:val="center"/>
          </w:tcPr>
          <w:p>
            <w:pPr>
              <w:pStyle w:val="TableContents"/>
              <w:bidi w:val="0"/>
              <w:spacing w:before="0" w:after="283"/>
              <w:jc w:val="right"/>
              <w:rPr/>
            </w:pPr>
            <w:r>
              <w:rPr/>
              <w:t> </w:t>
            </w:r>
          </w:p>
        </w:tc>
        <w:tc>
          <w:tcPr>
            <w:tcW w:w="471" w:type="dxa"/>
            <w:tcBorders/>
            <w:shd w:fill="CFF0FC" w:val="clear"/>
            <w:vAlign w:val="center"/>
          </w:tcPr>
          <w:p>
            <w:pPr>
              <w:pStyle w:val="TableContents"/>
              <w:bidi w:val="0"/>
              <w:spacing w:before="0" w:after="283"/>
              <w:ind w:left="0" w:right="0" w:firstLine="280"/>
              <w:jc w:val="right"/>
              <w:rPr/>
            </w:pPr>
            <w:r>
              <w:rPr/>
              <w:t> </w:t>
            </w:r>
          </w:p>
        </w:tc>
      </w:tr>
      <w:tr>
        <w:trPr/>
        <w:tc>
          <w:tcPr>
            <w:tcW w:w="4891" w:type="dxa"/>
            <w:tcBorders/>
            <w:shd w:fill="FFFFFF"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Income tax payable</w:t>
            </w:r>
          </w:p>
        </w:tc>
        <w:tc>
          <w:tcPr>
            <w:tcW w:w="146"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254"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2,129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159"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1,780</w:t>
            </w:r>
          </w:p>
        </w:tc>
        <w:tc>
          <w:tcPr>
            <w:tcW w:w="471" w:type="dxa"/>
            <w:tcBorders/>
            <w:shd w:fill="FFFFFF" w:val="clear"/>
            <w:vAlign w:val="center"/>
          </w:tcPr>
          <w:p>
            <w:pPr>
              <w:pStyle w:val="TableContents"/>
              <w:bidi w:val="0"/>
              <w:spacing w:before="0" w:after="283"/>
              <w:ind w:left="0" w:right="0" w:firstLine="280"/>
              <w:jc w:val="left"/>
              <w:rPr/>
            </w:pPr>
            <w:r>
              <w:rPr/>
              <w:t> </w:t>
            </w:r>
          </w:p>
        </w:tc>
      </w:tr>
      <w:tr>
        <w:trPr/>
        <w:tc>
          <w:tcPr>
            <w:tcW w:w="4891" w:type="dxa"/>
            <w:tcBorders/>
            <w:shd w:fill="CFF0FC"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Sales tax payable</w:t>
            </w:r>
          </w:p>
        </w:tc>
        <w:tc>
          <w:tcPr>
            <w:tcW w:w="146" w:type="dxa"/>
            <w:tcBorders/>
            <w:shd w:fill="CFF0FC" w:val="clear"/>
            <w:vAlign w:val="center"/>
          </w:tcPr>
          <w:p>
            <w:pPr>
              <w:pStyle w:val="TableContents"/>
              <w:bidi w:val="0"/>
              <w:spacing w:before="0" w:after="283"/>
              <w:jc w:val="left"/>
              <w:rPr/>
            </w:pPr>
            <w:r>
              <w:rPr/>
              <w:t> </w:t>
            </w:r>
          </w:p>
        </w:tc>
        <w:tc>
          <w:tcPr>
            <w:tcW w:w="381" w:type="dxa"/>
            <w:tcBorders/>
            <w:shd w:fill="CFF0FC" w:val="clear"/>
            <w:vAlign w:val="center"/>
          </w:tcPr>
          <w:p>
            <w:pPr>
              <w:pStyle w:val="TableContents"/>
              <w:bidi w:val="0"/>
              <w:spacing w:before="0" w:after="283"/>
              <w:jc w:val="left"/>
              <w:rPr/>
            </w:pPr>
            <w:r>
              <w:rPr/>
              <w:t> </w:t>
            </w:r>
          </w:p>
        </w:tc>
        <w:tc>
          <w:tcPr>
            <w:tcW w:w="1254"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204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6" w:type="dxa"/>
            <w:tcBorders/>
            <w:shd w:fill="CFF0FC" w:val="clear"/>
            <w:vAlign w:val="center"/>
          </w:tcPr>
          <w:p>
            <w:pPr>
              <w:pStyle w:val="TableContents"/>
              <w:bidi w:val="0"/>
              <w:spacing w:before="0" w:after="283"/>
              <w:jc w:val="left"/>
              <w:rPr/>
            </w:pPr>
            <w:r>
              <w:rPr/>
              <w:t> </w:t>
            </w:r>
          </w:p>
        </w:tc>
        <w:tc>
          <w:tcPr>
            <w:tcW w:w="1159"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587</w:t>
            </w:r>
          </w:p>
        </w:tc>
        <w:tc>
          <w:tcPr>
            <w:tcW w:w="471" w:type="dxa"/>
            <w:tcBorders/>
            <w:shd w:fill="CFF0FC" w:val="clear"/>
            <w:vAlign w:val="center"/>
          </w:tcPr>
          <w:p>
            <w:pPr>
              <w:pStyle w:val="TableContents"/>
              <w:bidi w:val="0"/>
              <w:spacing w:before="0" w:after="283"/>
              <w:ind w:left="0" w:right="0" w:firstLine="280"/>
              <w:jc w:val="left"/>
              <w:rPr/>
            </w:pPr>
            <w:r>
              <w:rPr/>
              <w:t> </w:t>
            </w:r>
          </w:p>
        </w:tc>
      </w:tr>
      <w:tr>
        <w:trPr/>
        <w:tc>
          <w:tcPr>
            <w:tcW w:w="4891" w:type="dxa"/>
            <w:tcBorders/>
            <w:shd w:fill="FFFFFF"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Unbilled lost-in-hole revenue</w:t>
            </w:r>
          </w:p>
        </w:tc>
        <w:tc>
          <w:tcPr>
            <w:tcW w:w="146"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left"/>
              <w:rPr/>
            </w:pPr>
            <w:r>
              <w:rPr/>
              <w:t> </w:t>
            </w:r>
          </w:p>
        </w:tc>
        <w:tc>
          <w:tcPr>
            <w:tcW w:w="1254"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155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left"/>
              <w:rPr/>
            </w:pPr>
            <w:r>
              <w:rPr/>
              <w:t> </w:t>
            </w:r>
          </w:p>
        </w:tc>
        <w:tc>
          <w:tcPr>
            <w:tcW w:w="1159"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282</w:t>
            </w:r>
          </w:p>
        </w:tc>
        <w:tc>
          <w:tcPr>
            <w:tcW w:w="471" w:type="dxa"/>
            <w:tcBorders/>
            <w:shd w:fill="FFFFFF" w:val="clear"/>
            <w:vAlign w:val="center"/>
          </w:tcPr>
          <w:p>
            <w:pPr>
              <w:pStyle w:val="TableContents"/>
              <w:bidi w:val="0"/>
              <w:spacing w:before="0" w:after="283"/>
              <w:ind w:left="0" w:right="0" w:firstLine="280"/>
              <w:jc w:val="left"/>
              <w:rPr/>
            </w:pPr>
            <w:r>
              <w:rPr/>
              <w:t> </w:t>
            </w:r>
          </w:p>
        </w:tc>
      </w:tr>
      <w:tr>
        <w:trPr/>
        <w:tc>
          <w:tcPr>
            <w:tcW w:w="4891" w:type="dxa"/>
            <w:tcBorders/>
            <w:shd w:fill="CFF0FC"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Deferred revenue</w:t>
            </w:r>
          </w:p>
        </w:tc>
        <w:tc>
          <w:tcPr>
            <w:tcW w:w="146" w:type="dxa"/>
            <w:tcBorders/>
            <w:shd w:fill="CFF0FC" w:val="clear"/>
            <w:vAlign w:val="center"/>
          </w:tcPr>
          <w:p>
            <w:pPr>
              <w:pStyle w:val="TableContents"/>
              <w:bidi w:val="0"/>
              <w:spacing w:before="0" w:after="283"/>
              <w:jc w:val="left"/>
              <w:rPr/>
            </w:pPr>
            <w:r>
              <w:rPr/>
              <w:t> </w:t>
            </w:r>
          </w:p>
        </w:tc>
        <w:tc>
          <w:tcPr>
            <w:tcW w:w="3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83</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91" w:type="dxa"/>
            <w:tcBorders/>
            <w:shd w:fill="FFFFFF"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Total accrued expenses and other current liabilities</w:t>
            </w:r>
          </w:p>
        </w:tc>
        <w:tc>
          <w:tcPr>
            <w:tcW w:w="146" w:type="dxa"/>
            <w:tcBorders/>
            <w:shd w:fill="FFFFFF" w:val="clear"/>
            <w:vAlign w:val="center"/>
          </w:tcPr>
          <w:p>
            <w:pPr>
              <w:pStyle w:val="TableContents"/>
              <w:bidi w:val="0"/>
              <w:spacing w:before="0" w:after="283"/>
              <w:jc w:val="left"/>
              <w:rPr/>
            </w:pPr>
            <w:r>
              <w:rPr/>
              <w:t> </w:t>
            </w:r>
          </w:p>
        </w:tc>
        <w:tc>
          <w:tcPr>
            <w:tcW w:w="3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11,864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1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7,299</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p>
      <w:pPr>
        <w:pStyle w:val="TextBody"/>
        <w:bidi w:val="0"/>
        <w:jc w:val="left"/>
        <w:rPr>
          <w:rFonts w:ascii="Arial" w:hAnsi="Arial"/>
          <w:b/>
          <w:color w:val="000000"/>
          <w:sz w:val="20"/>
        </w:rPr>
      </w:pPr>
      <w:r>
        <w:rPr>
          <w:rFonts w:ascii="Arial" w:hAnsi="Arial"/>
          <w:b/>
          <w:color w:val="000000"/>
          <w:sz w:val="20"/>
        </w:rPr>
        <w:t>NOTE 5 – PROPERTY, PLANT AND EQUIPMENT, NET</w:t>
      </w:r>
    </w:p>
    <w:p>
      <w:pPr>
        <w:pStyle w:val="TextBody"/>
        <w:bidi w:val="0"/>
        <w:spacing w:before="240" w:after="283"/>
        <w:jc w:val="both"/>
        <w:rPr>
          <w:rFonts w:ascii="Arial" w:hAnsi="Arial"/>
          <w:b w:val="false"/>
          <w:color w:val="000000"/>
          <w:sz w:val="20"/>
        </w:rPr>
      </w:pPr>
      <w:r>
        <w:rPr>
          <w:rFonts w:ascii="Arial" w:hAnsi="Arial"/>
          <w:b w:val="false"/>
          <w:color w:val="000000"/>
          <w:sz w:val="20"/>
        </w:rPr>
        <w:t>The following table shows the component of property, plant and equipment, net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205"/>
        <w:gridCol w:w="146"/>
        <w:gridCol w:w="1292"/>
        <w:gridCol w:w="146"/>
        <w:gridCol w:w="289"/>
        <w:gridCol w:w="1177"/>
        <w:gridCol w:w="166"/>
        <w:gridCol w:w="146"/>
        <w:gridCol w:w="281"/>
        <w:gridCol w:w="1143"/>
        <w:gridCol w:w="214"/>
      </w:tblGrid>
      <w:tr>
        <w:trPr/>
        <w:tc>
          <w:tcPr>
            <w:tcW w:w="52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520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Estimated Useful</w:t>
              <w:br/>
              <w:t>Lives (in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 2022</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05"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Rental tools and equipment</w:t>
            </w:r>
          </w:p>
        </w:tc>
        <w:tc>
          <w:tcPr>
            <w:tcW w:w="146" w:type="dxa"/>
            <w:tcBorders/>
            <w:shd w:fill="CFF0FC" w:val="clear"/>
            <w:vAlign w:val="center"/>
          </w:tcPr>
          <w:p>
            <w:pPr>
              <w:pStyle w:val="TableContents"/>
              <w:bidi w:val="0"/>
              <w:spacing w:before="0" w:after="283"/>
              <w:jc w:val="left"/>
              <w:rPr/>
            </w:pPr>
            <w:r>
              <w:rPr/>
              <w:t> </w:t>
            </w:r>
          </w:p>
        </w:tc>
        <w:tc>
          <w:tcPr>
            <w:tcW w:w="1292"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5-10</w:t>
            </w:r>
          </w:p>
        </w:tc>
        <w:tc>
          <w:tcPr>
            <w:tcW w:w="146" w:type="dxa"/>
            <w:tcBorders/>
            <w:shd w:fill="CFF0FC" w:val="clear"/>
            <w:vAlign w:val="center"/>
          </w:tcPr>
          <w:p>
            <w:pPr>
              <w:pStyle w:val="TableContents"/>
              <w:bidi w:val="0"/>
              <w:spacing w:before="0" w:after="283"/>
              <w:jc w:val="left"/>
              <w:rPr/>
            </w:pPr>
            <w:r>
              <w:rPr/>
              <w:t> </w:t>
            </w:r>
          </w:p>
        </w:tc>
        <w:tc>
          <w:tcPr>
            <w:tcW w:w="289" w:type="dxa"/>
            <w:tcBorders/>
            <w:shd w:fill="CFF0FC" w:val="clear"/>
            <w:vAlign w:val="center"/>
          </w:tcPr>
          <w:p>
            <w:pPr>
              <w:pStyle w:val="TableContents"/>
              <w:bidi w:val="0"/>
              <w:spacing w:before="0" w:after="283"/>
              <w:jc w:val="left"/>
              <w:rPr/>
            </w:pPr>
            <w:r>
              <w:rPr/>
              <w:t> </w:t>
            </w:r>
          </w:p>
        </w:tc>
        <w:tc>
          <w:tcPr>
            <w:tcW w:w="1177"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186,042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1" w:type="dxa"/>
            <w:tcBorders/>
            <w:shd w:fill="CFF0FC" w:val="clear"/>
            <w:vAlign w:val="center"/>
          </w:tcPr>
          <w:p>
            <w:pPr>
              <w:pStyle w:val="TableContents"/>
              <w:bidi w:val="0"/>
              <w:spacing w:before="0" w:after="283"/>
              <w:jc w:val="left"/>
              <w:rPr/>
            </w:pPr>
            <w:r>
              <w:rPr/>
              <w:t> </w:t>
            </w:r>
          </w:p>
        </w:tc>
        <w:tc>
          <w:tcPr>
            <w:tcW w:w="1143"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160,973</w:t>
            </w:r>
          </w:p>
        </w:tc>
        <w:tc>
          <w:tcPr>
            <w:tcW w:w="214" w:type="dxa"/>
            <w:tcBorders/>
            <w:shd w:fill="CFF0FC" w:val="clear"/>
            <w:vAlign w:val="center"/>
          </w:tcPr>
          <w:p>
            <w:pPr>
              <w:pStyle w:val="TableContents"/>
              <w:bidi w:val="0"/>
              <w:spacing w:before="0" w:after="283"/>
              <w:jc w:val="left"/>
              <w:rPr/>
            </w:pPr>
            <w:r>
              <w:rPr/>
              <w:t> </w:t>
            </w:r>
          </w:p>
        </w:tc>
      </w:tr>
      <w:tr>
        <w:trPr/>
        <w:tc>
          <w:tcPr>
            <w:tcW w:w="5205"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Buildings and improvements</w:t>
            </w:r>
          </w:p>
        </w:tc>
        <w:tc>
          <w:tcPr>
            <w:tcW w:w="146" w:type="dxa"/>
            <w:tcBorders/>
            <w:shd w:fill="FFFFFF" w:val="clear"/>
            <w:vAlign w:val="center"/>
          </w:tcPr>
          <w:p>
            <w:pPr>
              <w:pStyle w:val="TableContents"/>
              <w:bidi w:val="0"/>
              <w:spacing w:before="0" w:after="283"/>
              <w:jc w:val="left"/>
              <w:rPr/>
            </w:pPr>
            <w:r>
              <w:rPr/>
              <w:t> </w:t>
            </w:r>
          </w:p>
        </w:tc>
        <w:tc>
          <w:tcPr>
            <w:tcW w:w="1292"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5-40</w:t>
            </w:r>
          </w:p>
        </w:tc>
        <w:tc>
          <w:tcPr>
            <w:tcW w:w="146"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jc w:val="left"/>
              <w:rPr/>
            </w:pPr>
            <w:r>
              <w:rPr/>
              <w:t> </w:t>
            </w:r>
          </w:p>
        </w:tc>
        <w:tc>
          <w:tcPr>
            <w:tcW w:w="1177"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6,634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5,781</w:t>
            </w:r>
          </w:p>
        </w:tc>
        <w:tc>
          <w:tcPr>
            <w:tcW w:w="214" w:type="dxa"/>
            <w:tcBorders/>
            <w:shd w:fill="FFFFFF" w:val="clear"/>
            <w:vAlign w:val="center"/>
          </w:tcPr>
          <w:p>
            <w:pPr>
              <w:pStyle w:val="TableContents"/>
              <w:bidi w:val="0"/>
              <w:spacing w:before="0" w:after="283"/>
              <w:jc w:val="left"/>
              <w:rPr/>
            </w:pPr>
            <w:r>
              <w:rPr/>
              <w:t> </w:t>
            </w:r>
          </w:p>
        </w:tc>
      </w:tr>
      <w:tr>
        <w:trPr/>
        <w:tc>
          <w:tcPr>
            <w:tcW w:w="5205"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Office furniture, fixtures and equipment</w:t>
            </w:r>
          </w:p>
        </w:tc>
        <w:tc>
          <w:tcPr>
            <w:tcW w:w="146" w:type="dxa"/>
            <w:tcBorders/>
            <w:shd w:fill="CFF0FC" w:val="clear"/>
            <w:vAlign w:val="center"/>
          </w:tcPr>
          <w:p>
            <w:pPr>
              <w:pStyle w:val="TableContents"/>
              <w:bidi w:val="0"/>
              <w:spacing w:before="0" w:after="283"/>
              <w:jc w:val="left"/>
              <w:rPr/>
            </w:pPr>
            <w:r>
              <w:rPr/>
              <w:t> </w:t>
            </w:r>
          </w:p>
        </w:tc>
        <w:tc>
          <w:tcPr>
            <w:tcW w:w="1292"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3-5</w:t>
            </w:r>
          </w:p>
        </w:tc>
        <w:tc>
          <w:tcPr>
            <w:tcW w:w="146" w:type="dxa"/>
            <w:tcBorders/>
            <w:shd w:fill="CFF0FC" w:val="clear"/>
            <w:vAlign w:val="center"/>
          </w:tcPr>
          <w:p>
            <w:pPr>
              <w:pStyle w:val="TableContents"/>
              <w:bidi w:val="0"/>
              <w:spacing w:before="0" w:after="283"/>
              <w:jc w:val="left"/>
              <w:rPr/>
            </w:pPr>
            <w:r>
              <w:rPr/>
              <w:t> </w:t>
            </w:r>
          </w:p>
        </w:tc>
        <w:tc>
          <w:tcPr>
            <w:tcW w:w="289" w:type="dxa"/>
            <w:tcBorders/>
            <w:shd w:fill="CFF0FC" w:val="clear"/>
            <w:vAlign w:val="center"/>
          </w:tcPr>
          <w:p>
            <w:pPr>
              <w:pStyle w:val="TableContents"/>
              <w:bidi w:val="0"/>
              <w:spacing w:before="0" w:after="283"/>
              <w:jc w:val="left"/>
              <w:rPr/>
            </w:pPr>
            <w:r>
              <w:rPr/>
              <w:t> </w:t>
            </w:r>
          </w:p>
        </w:tc>
        <w:tc>
          <w:tcPr>
            <w:tcW w:w="1177"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2,362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1" w:type="dxa"/>
            <w:tcBorders/>
            <w:shd w:fill="CFF0FC" w:val="clear"/>
            <w:vAlign w:val="center"/>
          </w:tcPr>
          <w:p>
            <w:pPr>
              <w:pStyle w:val="TableContents"/>
              <w:bidi w:val="0"/>
              <w:spacing w:before="0" w:after="283"/>
              <w:jc w:val="left"/>
              <w:rPr/>
            </w:pPr>
            <w:r>
              <w:rPr/>
              <w:t> </w:t>
            </w:r>
          </w:p>
        </w:tc>
        <w:tc>
          <w:tcPr>
            <w:tcW w:w="1143"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2,101</w:t>
            </w:r>
          </w:p>
        </w:tc>
        <w:tc>
          <w:tcPr>
            <w:tcW w:w="214" w:type="dxa"/>
            <w:tcBorders/>
            <w:shd w:fill="CFF0FC" w:val="clear"/>
            <w:vAlign w:val="center"/>
          </w:tcPr>
          <w:p>
            <w:pPr>
              <w:pStyle w:val="TableContents"/>
              <w:bidi w:val="0"/>
              <w:spacing w:before="0" w:after="283"/>
              <w:jc w:val="left"/>
              <w:rPr/>
            </w:pPr>
            <w:r>
              <w:rPr/>
              <w:t> </w:t>
            </w:r>
          </w:p>
        </w:tc>
      </w:tr>
      <w:tr>
        <w:trPr/>
        <w:tc>
          <w:tcPr>
            <w:tcW w:w="5205"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Transportation and equipment</w:t>
            </w:r>
          </w:p>
        </w:tc>
        <w:tc>
          <w:tcPr>
            <w:tcW w:w="146" w:type="dxa"/>
            <w:tcBorders/>
            <w:shd w:fill="FFFFFF" w:val="clear"/>
            <w:vAlign w:val="center"/>
          </w:tcPr>
          <w:p>
            <w:pPr>
              <w:pStyle w:val="TableContents"/>
              <w:bidi w:val="0"/>
              <w:spacing w:before="0" w:after="283"/>
              <w:jc w:val="left"/>
              <w:rPr/>
            </w:pPr>
            <w:r>
              <w:rPr/>
              <w:t> </w:t>
            </w:r>
          </w:p>
        </w:tc>
        <w:tc>
          <w:tcPr>
            <w:tcW w:w="1292"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3-5</w:t>
            </w:r>
          </w:p>
        </w:tc>
        <w:tc>
          <w:tcPr>
            <w:tcW w:w="146" w:type="dxa"/>
            <w:tcBorders/>
            <w:shd w:fill="FFFFFF" w:val="cle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827</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05"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Total property, plant and equipment</w:t>
            </w:r>
          </w:p>
        </w:tc>
        <w:tc>
          <w:tcPr>
            <w:tcW w:w="146" w:type="dxa"/>
            <w:tcBorders/>
            <w:shd w:fill="CFF0FC" w:val="clear"/>
            <w:vAlign w:val="center"/>
          </w:tcPr>
          <w:p>
            <w:pPr>
              <w:pStyle w:val="TableContents"/>
              <w:bidi w:val="0"/>
              <w:spacing w:before="0" w:after="283"/>
              <w:jc w:val="left"/>
              <w:rPr/>
            </w:pPr>
            <w:r>
              <w:rPr/>
              <w:t> </w:t>
            </w:r>
          </w:p>
        </w:tc>
        <w:tc>
          <w:tcPr>
            <w:tcW w:w="1292"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shd w:fill="CFF0FC" w:val="clear"/>
            <w:vAlign w:val="center"/>
          </w:tcPr>
          <w:p>
            <w:pPr>
              <w:pStyle w:val="TableContents"/>
              <w:bidi w:val="0"/>
              <w:spacing w:before="0" w:after="283"/>
              <w:jc w:val="left"/>
              <w:rPr/>
            </w:pPr>
            <w:r>
              <w:rPr/>
              <w:t> </w:t>
            </w:r>
          </w:p>
        </w:tc>
        <w:tc>
          <w:tcPr>
            <w:tcW w:w="1177" w:type="dxa"/>
            <w:tcBorders/>
            <w:shd w:fill="CFF0FC"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195,834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1" w:type="dxa"/>
            <w:tcBorders/>
            <w:shd w:fill="CFF0FC" w:val="clear"/>
            <w:vAlign w:val="center"/>
          </w:tcPr>
          <w:p>
            <w:pPr>
              <w:pStyle w:val="TableContents"/>
              <w:bidi w:val="0"/>
              <w:spacing w:before="0" w:after="283"/>
              <w:jc w:val="left"/>
              <w:rPr/>
            </w:pPr>
            <w:r>
              <w:rPr/>
              <w:t> </w:t>
            </w:r>
          </w:p>
        </w:tc>
        <w:tc>
          <w:tcPr>
            <w:tcW w:w="1143" w:type="dxa"/>
            <w:tcBorders/>
            <w:shd w:fill="CFF0FC"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169,682</w:t>
            </w:r>
          </w:p>
        </w:tc>
        <w:tc>
          <w:tcPr>
            <w:tcW w:w="214" w:type="dxa"/>
            <w:tcBorders/>
            <w:shd w:fill="CFF0FC" w:val="clear"/>
            <w:vAlign w:val="center"/>
          </w:tcPr>
          <w:p>
            <w:pPr>
              <w:pStyle w:val="TableContents"/>
              <w:bidi w:val="0"/>
              <w:spacing w:before="0" w:after="283"/>
              <w:jc w:val="left"/>
              <w:rPr/>
            </w:pPr>
            <w:r>
              <w:rPr/>
              <w:t> </w:t>
            </w:r>
          </w:p>
        </w:tc>
      </w:tr>
      <w:tr>
        <w:trPr/>
        <w:tc>
          <w:tcPr>
            <w:tcW w:w="5205"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Less: accumulated deprecation</w:t>
            </w:r>
          </w:p>
        </w:tc>
        <w:tc>
          <w:tcPr>
            <w:tcW w:w="146" w:type="dxa"/>
            <w:tcBorders/>
            <w:shd w:fill="FFFFFF" w:val="clear"/>
            <w:vAlign w:val="center"/>
          </w:tcPr>
          <w:p>
            <w:pPr>
              <w:pStyle w:val="TableContents"/>
              <w:bidi w:val="0"/>
              <w:spacing w:before="0" w:after="283"/>
              <w:jc w:val="left"/>
              <w:rPr/>
            </w:pPr>
            <w:r>
              <w:rPr/>
              <w:t> </w:t>
            </w:r>
          </w:p>
        </w:tc>
        <w:tc>
          <w:tcPr>
            <w:tcW w:w="1292"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(131,265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(125,537</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5205"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Property, plant and equipment, net (excluding construction in progress)</w:t>
            </w:r>
          </w:p>
        </w:tc>
        <w:tc>
          <w:tcPr>
            <w:tcW w:w="146" w:type="dxa"/>
            <w:tcBorders/>
            <w:shd w:fill="CFF0FC" w:val="clear"/>
            <w:vAlign w:val="center"/>
          </w:tcPr>
          <w:p>
            <w:pPr>
              <w:pStyle w:val="TableContents"/>
              <w:bidi w:val="0"/>
              <w:spacing w:before="0" w:after="283"/>
              <w:jc w:val="left"/>
              <w:rPr/>
            </w:pPr>
            <w:r>
              <w:rPr/>
              <w:t> </w:t>
            </w:r>
          </w:p>
        </w:tc>
        <w:tc>
          <w:tcPr>
            <w:tcW w:w="1292"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shd w:fill="CFF0FC" w:val="clear"/>
            <w:vAlign w:val="center"/>
          </w:tcPr>
          <w:p>
            <w:pPr>
              <w:pStyle w:val="TableContents"/>
              <w:bidi w:val="0"/>
              <w:spacing w:before="0" w:after="283"/>
              <w:jc w:val="left"/>
              <w:rPr/>
            </w:pPr>
            <w:r>
              <w:rPr/>
              <w:t> </w:t>
            </w:r>
          </w:p>
        </w:tc>
        <w:tc>
          <w:tcPr>
            <w:tcW w:w="1177" w:type="dxa"/>
            <w:tcBorders/>
            <w:shd w:fill="CFF0FC"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64,569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1" w:type="dxa"/>
            <w:tcBorders/>
            <w:shd w:fill="CFF0FC" w:val="clear"/>
            <w:vAlign w:val="center"/>
          </w:tcPr>
          <w:p>
            <w:pPr>
              <w:pStyle w:val="TableContents"/>
              <w:bidi w:val="0"/>
              <w:spacing w:before="0" w:after="283"/>
              <w:jc w:val="left"/>
              <w:rPr/>
            </w:pPr>
            <w:r>
              <w:rPr/>
              <w:t> </w:t>
            </w:r>
          </w:p>
        </w:tc>
        <w:tc>
          <w:tcPr>
            <w:tcW w:w="1143" w:type="dxa"/>
            <w:tcBorders/>
            <w:shd w:fill="CFF0FC"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44,145</w:t>
            </w:r>
          </w:p>
        </w:tc>
        <w:tc>
          <w:tcPr>
            <w:tcW w:w="214" w:type="dxa"/>
            <w:tcBorders/>
            <w:shd w:fill="CFF0FC" w:val="clear"/>
            <w:vAlign w:val="center"/>
          </w:tcPr>
          <w:p>
            <w:pPr>
              <w:pStyle w:val="TableContents"/>
              <w:bidi w:val="0"/>
              <w:spacing w:before="0" w:after="283"/>
              <w:jc w:val="left"/>
              <w:rPr/>
            </w:pPr>
            <w:r>
              <w:rPr/>
              <w:t> </w:t>
            </w:r>
          </w:p>
        </w:tc>
      </w:tr>
      <w:tr>
        <w:trPr/>
        <w:tc>
          <w:tcPr>
            <w:tcW w:w="5205"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Construction in progress</w:t>
            </w:r>
          </w:p>
        </w:tc>
        <w:tc>
          <w:tcPr>
            <w:tcW w:w="146" w:type="dxa"/>
            <w:tcBorders/>
            <w:shd w:fill="FFFFFF" w:val="clear"/>
            <w:vAlign w:val="center"/>
          </w:tcPr>
          <w:p>
            <w:pPr>
              <w:pStyle w:val="TableContents"/>
              <w:bidi w:val="0"/>
              <w:spacing w:before="0" w:after="283"/>
              <w:jc w:val="left"/>
              <w:rPr/>
            </w:pPr>
            <w:r>
              <w:rPr/>
              <w:t> </w:t>
            </w:r>
          </w:p>
        </w:tc>
        <w:tc>
          <w:tcPr>
            <w:tcW w:w="1292"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9</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05"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Property, plant and equipment, net</w:t>
            </w:r>
          </w:p>
        </w:tc>
        <w:tc>
          <w:tcPr>
            <w:tcW w:w="146" w:type="dxa"/>
            <w:tcBorders/>
            <w:shd w:fill="CFF0FC" w:val="clear"/>
            <w:vAlign w:val="center"/>
          </w:tcPr>
          <w:p>
            <w:pPr>
              <w:pStyle w:val="TableContents"/>
              <w:bidi w:val="0"/>
              <w:spacing w:before="0" w:after="283"/>
              <w:jc w:val="left"/>
              <w:rPr/>
            </w:pPr>
            <w:r>
              <w:rPr/>
              <w:t> </w:t>
            </w:r>
          </w:p>
        </w:tc>
        <w:tc>
          <w:tcPr>
            <w:tcW w:w="1292"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64,569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1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44,154</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Arial" w:hAnsi="Arial"/>
          <w:b w:val="false"/>
          <w:color w:val="000000"/>
          <w:sz w:val="20"/>
        </w:rPr>
      </w:pPr>
      <w:r>
        <w:rPr>
          <w:rFonts w:ascii="Arial" w:hAnsi="Arial"/>
          <w:b w:val="false"/>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sz w:val="20"/>
        </w:rPr>
      </w:pPr>
      <w:r>
        <w:rPr>
          <w:rFonts w:ascii="Arial" w:hAnsi="Arial"/>
          <w:b w:val="false"/>
          <w:color w:val="000000"/>
          <w:sz w:val="20"/>
        </w:rPr>
        <w:t>Total depreciation expense for the three months ended September 30, 2023 and 2022 was approximately $5.3</w:t>
      </w:r>
      <w:r>
        <w:rPr>
          <w:rFonts w:ascii="Times New Roman" w:hAnsi="Times New Roman"/>
          <w:color w:val="000000"/>
          <w:sz w:val="20"/>
        </w:rPr>
        <w:t xml:space="preserve"> </w:t>
      </w:r>
      <w:r>
        <w:rPr>
          <w:rFonts w:ascii="Arial" w:hAnsi="Arial"/>
          <w:b w:val="false"/>
          <w:color w:val="000000"/>
          <w:sz w:val="20"/>
        </w:rPr>
        <w:t>million</w:t>
      </w:r>
      <w:r>
        <w:rPr>
          <w:rFonts w:ascii="Times New Roman" w:hAnsi="Times New Roman"/>
          <w:color w:val="000000"/>
          <w:sz w:val="20"/>
        </w:rPr>
        <w:t xml:space="preserve"> </w:t>
      </w:r>
      <w:r>
        <w:rPr>
          <w:rFonts w:ascii="Arial" w:hAnsi="Arial"/>
          <w:b w:val="false"/>
          <w:color w:val="000000"/>
          <w:sz w:val="20"/>
        </w:rPr>
        <w:t>and $4.8</w:t>
      </w:r>
      <w:r>
        <w:rPr>
          <w:rFonts w:ascii="Times New Roman" w:hAnsi="Times New Roman"/>
          <w:color w:val="000000"/>
          <w:sz w:val="20"/>
        </w:rPr>
        <w:t xml:space="preserve"> </w:t>
      </w:r>
      <w:r>
        <w:rPr>
          <w:rFonts w:ascii="Arial" w:hAnsi="Arial"/>
          <w:b w:val="false"/>
          <w:color w:val="000000"/>
          <w:sz w:val="20"/>
        </w:rPr>
        <w:t>million, respectively. Total depreciation expense for the nine months ended September 30, 2023 and 2022 was approximately $15.0</w:t>
      </w:r>
      <w:r>
        <w:rPr>
          <w:rFonts w:ascii="Times New Roman" w:hAnsi="Times New Roman"/>
          <w:color w:val="000000"/>
          <w:sz w:val="20"/>
        </w:rPr>
        <w:t xml:space="preserve"> </w:t>
      </w:r>
      <w:r>
        <w:rPr>
          <w:rFonts w:ascii="Arial" w:hAnsi="Arial"/>
          <w:b w:val="false"/>
          <w:color w:val="000000"/>
          <w:sz w:val="20"/>
        </w:rPr>
        <w:t>million</w:t>
      </w:r>
      <w:r>
        <w:rPr>
          <w:rFonts w:ascii="Times New Roman" w:hAnsi="Times New Roman"/>
          <w:color w:val="000000"/>
          <w:sz w:val="20"/>
        </w:rPr>
        <w:t xml:space="preserve"> </w:t>
      </w:r>
      <w:r>
        <w:rPr>
          <w:rFonts w:ascii="Arial" w:hAnsi="Arial"/>
          <w:b w:val="false"/>
          <w:color w:val="000000"/>
          <w:sz w:val="20"/>
        </w:rPr>
        <w:t>and $14.7</w:t>
      </w:r>
      <w:r>
        <w:rPr>
          <w:rFonts w:ascii="Times New Roman" w:hAnsi="Times New Roman"/>
          <w:color w:val="000000"/>
          <w:sz w:val="20"/>
        </w:rPr>
        <w:t xml:space="preserve"> </w:t>
      </w:r>
      <w:r>
        <w:rPr>
          <w:rFonts w:ascii="Arial" w:hAnsi="Arial"/>
          <w:b w:val="false"/>
          <w:color w:val="000000"/>
          <w:sz w:val="20"/>
        </w:rPr>
        <w:t>million, respectively. The Company has not acquired any property, plant and equipment under capital leases.</w:t>
      </w:r>
    </w:p>
    <w:p>
      <w:pPr>
        <w:pStyle w:val="TextBody"/>
        <w:bidi w:val="0"/>
        <w:spacing w:before="240" w:after="283"/>
        <w:jc w:val="both"/>
        <w:rPr>
          <w:rFonts w:ascii="Times New Roman" w:hAnsi="Times New Roman"/>
          <w:sz w:val="20"/>
        </w:rPr>
      </w:pPr>
      <w:r>
        <w:rPr>
          <w:rFonts w:ascii="Arial" w:hAnsi="Arial"/>
          <w:b w:val="false"/>
          <w:color w:val="000000"/>
          <w:sz w:val="20"/>
        </w:rPr>
        <w:t>Property, plant and equipment, net, were concentrated within the United States. As of September 30, 2023 and December 31, 2022, property, plant and equipment, net held within the United States was $62.4</w:t>
      </w:r>
      <w:r>
        <w:rPr>
          <w:rFonts w:ascii="Times New Roman" w:hAnsi="Times New Roman"/>
          <w:color w:val="000000"/>
          <w:sz w:val="20"/>
        </w:rPr>
        <w:t xml:space="preserve"> </w:t>
      </w:r>
      <w:r>
        <w:rPr>
          <w:rFonts w:ascii="Arial" w:hAnsi="Arial"/>
          <w:b w:val="false"/>
          <w:color w:val="000000"/>
          <w:sz w:val="20"/>
        </w:rPr>
        <w:t>million</w:t>
      </w:r>
      <w:r>
        <w:rPr>
          <w:rFonts w:ascii="Times New Roman" w:hAnsi="Times New Roman"/>
          <w:color w:val="000000"/>
          <w:sz w:val="20"/>
        </w:rPr>
        <w:t xml:space="preserve"> </w:t>
      </w:r>
      <w:r>
        <w:rPr>
          <w:rFonts w:ascii="Arial" w:hAnsi="Arial"/>
          <w:b w:val="false"/>
          <w:color w:val="000000"/>
          <w:sz w:val="20"/>
        </w:rPr>
        <w:t>and $41.8</w:t>
      </w:r>
      <w:r>
        <w:rPr>
          <w:rFonts w:ascii="Times New Roman" w:hAnsi="Times New Roman"/>
          <w:color w:val="000000"/>
          <w:sz w:val="20"/>
        </w:rPr>
        <w:t xml:space="preserve"> </w:t>
      </w:r>
      <w:r>
        <w:rPr>
          <w:rFonts w:ascii="Arial" w:hAnsi="Arial"/>
          <w:b w:val="false"/>
          <w:color w:val="000000"/>
          <w:sz w:val="20"/>
        </w:rPr>
        <w:t>million, respectively, or 97%</w:t>
      </w:r>
      <w:r>
        <w:rPr>
          <w:rFonts w:ascii="Times New Roman" w:hAnsi="Times New Roman"/>
          <w:color w:val="000000"/>
          <w:sz w:val="20"/>
        </w:rPr>
        <w:t xml:space="preserve"> </w:t>
      </w:r>
      <w:r>
        <w:rPr>
          <w:rFonts w:ascii="Arial" w:hAnsi="Arial"/>
          <w:b w:val="false"/>
          <w:color w:val="000000"/>
          <w:sz w:val="20"/>
        </w:rPr>
        <w:t>and 95%</w:t>
      </w:r>
      <w:r>
        <w:rPr>
          <w:rFonts w:ascii="Times New Roman" w:hAnsi="Times New Roman"/>
          <w:color w:val="000000"/>
          <w:sz w:val="20"/>
        </w:rPr>
        <w:t xml:space="preserve"> </w:t>
      </w:r>
      <w:r>
        <w:rPr>
          <w:rFonts w:ascii="Arial" w:hAnsi="Arial"/>
          <w:b w:val="false"/>
          <w:color w:val="000000"/>
          <w:sz w:val="20"/>
        </w:rPr>
        <w:t>of total property, plant and equipment, net, respectively. As of September 30, 2023 and December 31, 2022 property, plant and equipment, net held outside of the United States, in Canada, was $2.2</w:t>
      </w:r>
      <w:r>
        <w:rPr>
          <w:rFonts w:ascii="Times New Roman" w:hAnsi="Times New Roman"/>
          <w:color w:val="000000"/>
          <w:sz w:val="20"/>
        </w:rPr>
        <w:t xml:space="preserve"> </w:t>
      </w:r>
      <w:r>
        <w:rPr>
          <w:rFonts w:ascii="Arial" w:hAnsi="Arial"/>
          <w:b w:val="false"/>
          <w:color w:val="000000"/>
          <w:sz w:val="20"/>
        </w:rPr>
        <w:t>million</w:t>
      </w:r>
      <w:r>
        <w:rPr>
          <w:rFonts w:ascii="Times New Roman" w:hAnsi="Times New Roman"/>
          <w:color w:val="000000"/>
          <w:sz w:val="20"/>
        </w:rPr>
        <w:t xml:space="preserve"> </w:t>
      </w:r>
      <w:r>
        <w:rPr>
          <w:rFonts w:ascii="Arial" w:hAnsi="Arial"/>
          <w:b w:val="false"/>
          <w:color w:val="000000"/>
          <w:sz w:val="20"/>
        </w:rPr>
        <w:t>and $2.3</w:t>
      </w:r>
      <w:r>
        <w:rPr>
          <w:rFonts w:ascii="Times New Roman" w:hAnsi="Times New Roman"/>
          <w:color w:val="000000"/>
          <w:sz w:val="20"/>
        </w:rPr>
        <w:t xml:space="preserve"> </w:t>
      </w:r>
      <w:r>
        <w:rPr>
          <w:rFonts w:ascii="Arial" w:hAnsi="Arial"/>
          <w:b w:val="false"/>
          <w:color w:val="000000"/>
          <w:sz w:val="20"/>
        </w:rPr>
        <w:t>million, or 3%</w:t>
      </w:r>
      <w:r>
        <w:rPr>
          <w:rFonts w:ascii="Times New Roman" w:hAnsi="Times New Roman"/>
          <w:color w:val="000000"/>
          <w:sz w:val="20"/>
        </w:rPr>
        <w:t xml:space="preserve"> </w:t>
      </w:r>
      <w:r>
        <w:rPr>
          <w:rFonts w:ascii="Arial" w:hAnsi="Arial"/>
          <w:b w:val="false"/>
          <w:color w:val="000000"/>
          <w:sz w:val="20"/>
        </w:rPr>
        <w:t>and 5%</w:t>
      </w:r>
      <w:r>
        <w:rPr>
          <w:rFonts w:ascii="Times New Roman" w:hAnsi="Times New Roman"/>
          <w:color w:val="000000"/>
          <w:sz w:val="20"/>
        </w:rPr>
        <w:t xml:space="preserve"> </w:t>
      </w:r>
      <w:r>
        <w:rPr>
          <w:rFonts w:ascii="Arial" w:hAnsi="Arial"/>
          <w:b w:val="false"/>
          <w:color w:val="000000"/>
          <w:sz w:val="20"/>
        </w:rPr>
        <w:t>of total property, plant and equipment net for both periods.</w:t>
      </w:r>
    </w:p>
    <w:p>
      <w:pPr>
        <w:pStyle w:val="TextBody"/>
        <w:bidi w:val="0"/>
        <w:spacing w:before="240" w:after="283"/>
        <w:jc w:val="both"/>
        <w:rPr>
          <w:rFonts w:ascii="Arial" w:hAnsi="Arial"/>
          <w:b/>
          <w:color w:val="000000"/>
          <w:sz w:val="20"/>
        </w:rPr>
      </w:pPr>
      <w:r>
        <w:rPr>
          <w:rFonts w:ascii="Arial" w:hAnsi="Arial"/>
          <w:b/>
          <w:color w:val="000000"/>
          <w:sz w:val="20"/>
        </w:rPr>
        <w:t>NOTE 6 – INTANGIBLE ASSETS, NET</w:t>
      </w:r>
    </w:p>
    <w:p>
      <w:pPr>
        <w:pStyle w:val="TextBody"/>
        <w:bidi w:val="0"/>
        <w:jc w:val="left"/>
        <w:rPr/>
      </w:pPr>
      <w:r>
        <w:rPr/>
        <w:t> </w:t>
      </w:r>
    </w:p>
    <w:p>
      <w:pPr>
        <w:pStyle w:val="TextBody"/>
        <w:bidi w:val="0"/>
        <w:jc w:val="both"/>
        <w:rPr>
          <w:rFonts w:ascii="Arial" w:hAnsi="Arial"/>
          <w:b w:val="false"/>
          <w:color w:val="000000"/>
          <w:sz w:val="20"/>
        </w:rPr>
      </w:pPr>
      <w:r>
        <w:rPr>
          <w:rFonts w:ascii="Arial" w:hAnsi="Arial"/>
          <w:b w:val="false"/>
          <w:color w:val="000000"/>
          <w:sz w:val="20"/>
        </w:rPr>
        <w:t>The following table shows the components of intangible assets, net (in thousands):</w:t>
      </w:r>
    </w:p>
    <w:p>
      <w:pPr>
        <w:pStyle w:val="TextBody"/>
        <w:bidi w:val="0"/>
        <w:jc w:val="left"/>
        <w:rPr/>
      </w:pPr>
      <w:r>
        <w:rPr/>
        <w:t> </w:t>
      </w:r>
    </w:p>
    <w:tbl>
      <w:tblPr>
        <w:tblW w:w="8797" w:type="dxa"/>
        <w:jc w:val="left"/>
        <w:tblInd w:w="0" w:type="dxa"/>
        <w:tblLayout w:type="fixed"/>
        <w:tblCellMar>
          <w:top w:w="28" w:type="dxa"/>
          <w:left w:w="28" w:type="dxa"/>
          <w:bottom w:w="28" w:type="dxa"/>
          <w:right w:w="28" w:type="dxa"/>
        </w:tblCellMar>
      </w:tblPr>
      <w:tblGrid>
        <w:gridCol w:w="2896"/>
        <w:gridCol w:w="146"/>
        <w:gridCol w:w="1876"/>
        <w:gridCol w:w="146"/>
        <w:gridCol w:w="401"/>
        <w:gridCol w:w="1234"/>
        <w:gridCol w:w="166"/>
        <w:gridCol w:w="146"/>
        <w:gridCol w:w="386"/>
        <w:gridCol w:w="1189"/>
        <w:gridCol w:w="211"/>
      </w:tblGrid>
      <w:tr>
        <w:trPr/>
        <w:tc>
          <w:tcPr>
            <w:tcW w:w="2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89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Useful Lives (in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 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9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Trade name</w:t>
            </w:r>
          </w:p>
        </w:tc>
        <w:tc>
          <w:tcPr>
            <w:tcW w:w="146" w:type="dxa"/>
            <w:tcBorders/>
            <w:shd w:fill="CFF0FC" w:val="clear"/>
            <w:vAlign w:val="center"/>
          </w:tcPr>
          <w:p>
            <w:pPr>
              <w:pStyle w:val="TableContents"/>
              <w:bidi w:val="0"/>
              <w:spacing w:before="0" w:after="283"/>
              <w:jc w:val="left"/>
              <w:rPr/>
            </w:pPr>
            <w:r>
              <w:rPr/>
              <w:t> </w:t>
            </w:r>
          </w:p>
        </w:tc>
        <w:tc>
          <w:tcPr>
            <w:tcW w:w="1876" w:type="dxa"/>
            <w:tcBorders/>
            <w:shd w:fill="CFF0FC" w:val="cle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10-13</w:t>
            </w:r>
          </w:p>
        </w:tc>
        <w:tc>
          <w:tcPr>
            <w:tcW w:w="146" w:type="dxa"/>
            <w:tcBorders/>
            <w:shd w:fill="CFF0FC" w:val="clear"/>
            <w:vAlign w:val="center"/>
          </w:tcPr>
          <w:p>
            <w:pPr>
              <w:pStyle w:val="TableContents"/>
              <w:bidi w:val="0"/>
              <w:spacing w:before="0" w:after="283"/>
              <w:jc w:val="left"/>
              <w:rPr/>
            </w:pPr>
            <w:r>
              <w:rPr/>
              <w:t> </w:t>
            </w:r>
          </w:p>
        </w:tc>
        <w:tc>
          <w:tcPr>
            <w:tcW w:w="40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234"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1,280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189"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1,280</w:t>
            </w:r>
          </w:p>
        </w:tc>
        <w:tc>
          <w:tcPr>
            <w:tcW w:w="211" w:type="dxa"/>
            <w:tcBorders/>
            <w:shd w:fill="CFF0FC" w:val="clear"/>
            <w:vAlign w:val="center"/>
          </w:tcPr>
          <w:p>
            <w:pPr>
              <w:pStyle w:val="TableContents"/>
              <w:bidi w:val="0"/>
              <w:spacing w:before="0" w:after="283"/>
              <w:jc w:val="left"/>
              <w:rPr/>
            </w:pPr>
            <w:r>
              <w:rPr/>
              <w:t> </w:t>
            </w:r>
          </w:p>
        </w:tc>
      </w:tr>
      <w:tr>
        <w:trPr/>
        <w:tc>
          <w:tcPr>
            <w:tcW w:w="289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Technology</w:t>
            </w:r>
          </w:p>
        </w:tc>
        <w:tc>
          <w:tcPr>
            <w:tcW w:w="146" w:type="dxa"/>
            <w:tcBorders/>
            <w:shd w:fill="FFFFFF" w:val="clear"/>
            <w:vAlign w:val="center"/>
          </w:tcPr>
          <w:p>
            <w:pPr>
              <w:pStyle w:val="TableContents"/>
              <w:bidi w:val="0"/>
              <w:spacing w:before="0" w:after="283"/>
              <w:jc w:val="left"/>
              <w:rPr/>
            </w:pPr>
            <w:r>
              <w:rPr/>
              <w:t> </w:t>
            </w:r>
          </w:p>
        </w:tc>
        <w:tc>
          <w:tcPr>
            <w:tcW w:w="1876" w:type="dxa"/>
            <w:tcBorders/>
            <w:shd w:fill="FFFFFF" w:val="cle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13</w:t>
            </w:r>
          </w:p>
        </w:tc>
        <w:tc>
          <w:tcPr>
            <w:tcW w:w="146" w:type="dxa"/>
            <w:tcBorders/>
            <w:shd w:fill="FFFFFF" w:val="clear"/>
            <w:vAlign w:val="center"/>
          </w:tcPr>
          <w:p>
            <w:pPr>
              <w:pStyle w:val="TableContents"/>
              <w:bidi w:val="0"/>
              <w:spacing w:before="0" w:after="283"/>
              <w:jc w:val="left"/>
              <w:rPr/>
            </w:pPr>
            <w:r>
              <w:rPr/>
              <w:t> </w:t>
            </w:r>
          </w:p>
        </w:tc>
        <w:tc>
          <w:tcPr>
            <w:tcW w:w="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270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96"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Total intangible assets</w:t>
            </w:r>
          </w:p>
        </w:tc>
        <w:tc>
          <w:tcPr>
            <w:tcW w:w="146" w:type="dxa"/>
            <w:tcBorders/>
            <w:shd w:fill="CFF0FC" w:val="clear"/>
            <w:vAlign w:val="center"/>
          </w:tcPr>
          <w:p>
            <w:pPr>
              <w:pStyle w:val="TableContents"/>
              <w:bidi w:val="0"/>
              <w:spacing w:before="0" w:after="283"/>
              <w:jc w:val="left"/>
              <w:rPr/>
            </w:pPr>
            <w:r>
              <w:rPr/>
              <w:t> </w:t>
            </w:r>
          </w:p>
        </w:tc>
        <w:tc>
          <w:tcPr>
            <w:tcW w:w="187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401" w:type="dxa"/>
            <w:tcBorders/>
            <w:shd w:fill="CFF0FC" w:val="clear"/>
            <w:vAlign w:val="center"/>
          </w:tcPr>
          <w:p>
            <w:pPr>
              <w:pStyle w:val="TableContents"/>
              <w:bidi w:val="0"/>
              <w:spacing w:before="0" w:after="283"/>
              <w:jc w:val="left"/>
              <w:rPr/>
            </w:pPr>
            <w:r>
              <w:rPr/>
              <w:t> </w:t>
            </w:r>
          </w:p>
        </w:tc>
        <w:tc>
          <w:tcPr>
            <w:tcW w:w="1234" w:type="dxa"/>
            <w:tcBorders/>
            <w:shd w:fill="CFF0FC"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1,550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189" w:type="dxa"/>
            <w:tcBorders/>
            <w:shd w:fill="CFF0FC"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1,550</w:t>
            </w:r>
          </w:p>
        </w:tc>
        <w:tc>
          <w:tcPr>
            <w:tcW w:w="211" w:type="dxa"/>
            <w:tcBorders/>
            <w:shd w:fill="CFF0FC" w:val="clear"/>
            <w:vAlign w:val="center"/>
          </w:tcPr>
          <w:p>
            <w:pPr>
              <w:pStyle w:val="TableContents"/>
              <w:bidi w:val="0"/>
              <w:spacing w:before="0" w:after="283"/>
              <w:jc w:val="left"/>
              <w:rPr/>
            </w:pPr>
            <w:r>
              <w:rPr/>
              <w:t> </w:t>
            </w:r>
          </w:p>
        </w:tc>
      </w:tr>
      <w:tr>
        <w:trPr/>
        <w:tc>
          <w:tcPr>
            <w:tcW w:w="289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Less: accumulated amortization</w:t>
            </w:r>
          </w:p>
        </w:tc>
        <w:tc>
          <w:tcPr>
            <w:tcW w:w="146" w:type="dxa"/>
            <w:tcBorders/>
            <w:shd w:fill="FFFFFF" w:val="clear"/>
            <w:vAlign w:val="center"/>
          </w:tcPr>
          <w:p>
            <w:pPr>
              <w:pStyle w:val="TableContents"/>
              <w:bidi w:val="0"/>
              <w:spacing w:before="0" w:after="283"/>
              <w:jc w:val="left"/>
              <w:rPr/>
            </w:pPr>
            <w:r>
              <w:rPr/>
              <w:t> </w:t>
            </w:r>
          </w:p>
        </w:tc>
        <w:tc>
          <w:tcPr>
            <w:tcW w:w="18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(1,322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(1,287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2896"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Intangible assets, net</w:t>
            </w:r>
          </w:p>
        </w:tc>
        <w:tc>
          <w:tcPr>
            <w:tcW w:w="146" w:type="dxa"/>
            <w:tcBorders/>
            <w:shd w:fill="CFF0FC" w:val="clear"/>
            <w:vAlign w:val="center"/>
          </w:tcPr>
          <w:p>
            <w:pPr>
              <w:pStyle w:val="TableContents"/>
              <w:bidi w:val="0"/>
              <w:spacing w:before="0" w:after="283"/>
              <w:jc w:val="left"/>
              <w:rPr/>
            </w:pPr>
            <w:r>
              <w:rPr/>
              <w:t> </w:t>
            </w:r>
          </w:p>
        </w:tc>
        <w:tc>
          <w:tcPr>
            <w:tcW w:w="187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4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1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263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sz w:val="20"/>
        </w:rPr>
      </w:pPr>
      <w:r>
        <w:rPr>
          <w:rFonts w:ascii="Arial" w:hAnsi="Arial"/>
          <w:b w:val="false"/>
          <w:color w:val="000000"/>
          <w:sz w:val="20"/>
        </w:rPr>
        <w:t>Total amortization expense for the three months ended September 30, 2023 and 2022 was approximately $12</w:t>
      </w:r>
      <w:r>
        <w:rPr>
          <w:rFonts w:ascii="Times New Roman" w:hAnsi="Times New Roman"/>
          <w:color w:val="000000"/>
          <w:sz w:val="20"/>
        </w:rPr>
        <w:t xml:space="preserve"> </w:t>
      </w:r>
      <w:r>
        <w:rPr>
          <w:rFonts w:ascii="Arial" w:hAnsi="Arial"/>
          <w:b w:val="false"/>
          <w:color w:val="000000"/>
          <w:sz w:val="20"/>
        </w:rPr>
        <w:t>thousand</w:t>
      </w:r>
      <w:r>
        <w:rPr>
          <w:rFonts w:ascii="Times New Roman" w:hAnsi="Times New Roman"/>
          <w:color w:val="000000"/>
          <w:sz w:val="20"/>
        </w:rPr>
        <w:t xml:space="preserve"> </w:t>
      </w:r>
      <w:r>
        <w:rPr>
          <w:rFonts w:ascii="Arial" w:hAnsi="Arial"/>
          <w:b w:val="false"/>
          <w:color w:val="000000"/>
          <w:sz w:val="20"/>
        </w:rPr>
        <w:t>and $12</w:t>
      </w:r>
      <w:r>
        <w:rPr>
          <w:rFonts w:ascii="Times New Roman" w:hAnsi="Times New Roman"/>
          <w:color w:val="000000"/>
          <w:sz w:val="20"/>
        </w:rPr>
        <w:t xml:space="preserve"> </w:t>
      </w:r>
      <w:r>
        <w:rPr>
          <w:rFonts w:ascii="Arial" w:hAnsi="Arial"/>
          <w:b w:val="false"/>
          <w:color w:val="000000"/>
          <w:sz w:val="20"/>
        </w:rPr>
        <w:t>thousand, respectively. Total amortization expense for the nine months ended September 30, 2023 and 2022 was approximately $35</w:t>
      </w:r>
      <w:r>
        <w:rPr>
          <w:rFonts w:ascii="Times New Roman" w:hAnsi="Times New Roman"/>
          <w:color w:val="000000"/>
          <w:sz w:val="20"/>
        </w:rPr>
        <w:t xml:space="preserve"> </w:t>
      </w:r>
      <w:r>
        <w:rPr>
          <w:rFonts w:ascii="Arial" w:hAnsi="Arial"/>
          <w:b w:val="false"/>
          <w:color w:val="000000"/>
          <w:sz w:val="20"/>
        </w:rPr>
        <w:t>thousand</w:t>
      </w:r>
      <w:r>
        <w:rPr>
          <w:rFonts w:ascii="Times New Roman" w:hAnsi="Times New Roman"/>
          <w:color w:val="000000"/>
          <w:sz w:val="20"/>
        </w:rPr>
        <w:t xml:space="preserve"> </w:t>
      </w:r>
      <w:r>
        <w:rPr>
          <w:rFonts w:ascii="Arial" w:hAnsi="Arial"/>
          <w:b w:val="false"/>
          <w:color w:val="000000"/>
          <w:sz w:val="20"/>
        </w:rPr>
        <w:t>and $0.1</w:t>
      </w:r>
      <w:r>
        <w:rPr>
          <w:rFonts w:ascii="Times New Roman" w:hAnsi="Times New Roman"/>
          <w:color w:val="000000"/>
          <w:sz w:val="20"/>
        </w:rPr>
        <w:t xml:space="preserve"> </w:t>
      </w:r>
      <w:r>
        <w:rPr>
          <w:rFonts w:ascii="Arial" w:hAnsi="Arial"/>
          <w:b w:val="false"/>
          <w:color w:val="000000"/>
          <w:sz w:val="20"/>
        </w:rPr>
        <w:t>million, respectively.</w:t>
      </w:r>
    </w:p>
    <w:p>
      <w:pPr>
        <w:pStyle w:val="TextBody"/>
        <w:bidi w:val="0"/>
        <w:spacing w:before="240" w:after="283"/>
        <w:jc w:val="both"/>
        <w:rPr>
          <w:rFonts w:ascii="Arial" w:hAnsi="Arial"/>
          <w:b/>
          <w:color w:val="000000"/>
          <w:sz w:val="20"/>
        </w:rPr>
      </w:pPr>
      <w:r>
        <w:rPr>
          <w:rFonts w:ascii="Arial" w:hAnsi="Arial"/>
          <w:b/>
          <w:color w:val="000000"/>
          <w:sz w:val="20"/>
        </w:rPr>
        <w:t>NOTE 7 – REVOLVING CREDIT FACILITY</w:t>
      </w:r>
    </w:p>
    <w:p>
      <w:pPr>
        <w:pStyle w:val="TextBody"/>
        <w:bidi w:val="0"/>
        <w:jc w:val="both"/>
        <w:rPr/>
      </w:pPr>
      <w:r>
        <w:rPr/>
        <w:t> </w:t>
      </w:r>
    </w:p>
    <w:p>
      <w:pPr>
        <w:pStyle w:val="TextBody"/>
        <w:bidi w:val="0"/>
        <w:jc w:val="both"/>
        <w:rPr>
          <w:rFonts w:ascii="Times New Roman" w:hAnsi="Times New Roman"/>
          <w:sz w:val="20"/>
        </w:rPr>
      </w:pPr>
      <w:r>
        <w:rPr>
          <w:rFonts w:ascii="Arial" w:hAnsi="Arial"/>
          <w:b w:val="false"/>
          <w:color w:val="000000"/>
          <w:sz w:val="20"/>
        </w:rPr>
        <w:t>In December 2015, the Company entered into a credit facility with PNC Bank, National Association (the "Credit Facility"). The facility provides for a revolving line of credit with a maximum borrowing amount totaling $60.0</w:t>
      </w:r>
      <w:r>
        <w:rPr>
          <w:rFonts w:ascii="Times New Roman" w:hAnsi="Times New Roman"/>
          <w:color w:val="000000"/>
          <w:sz w:val="20"/>
        </w:rPr>
        <w:t xml:space="preserve"> </w:t>
      </w:r>
      <w:r>
        <w:rPr>
          <w:rFonts w:ascii="Arial" w:hAnsi="Arial"/>
          <w:b w:val="false"/>
          <w:color w:val="000000"/>
          <w:sz w:val="20"/>
        </w:rPr>
        <w:t>million, as of September 30, 2023 and December 31, 2022.</w:t>
      </w:r>
    </w:p>
    <w:p>
      <w:pPr>
        <w:pStyle w:val="TextBody"/>
        <w:bidi w:val="0"/>
        <w:jc w:val="both"/>
        <w:rPr/>
      </w:pPr>
      <w:r>
        <w:rPr/>
        <w:t> </w:t>
      </w:r>
    </w:p>
    <w:p>
      <w:pPr>
        <w:pStyle w:val="TextBody"/>
        <w:bidi w:val="0"/>
        <w:jc w:val="both"/>
        <w:rPr>
          <w:rFonts w:ascii="Times New Roman" w:hAnsi="Times New Roman"/>
          <w:sz w:val="20"/>
        </w:rPr>
      </w:pPr>
      <w:r>
        <w:rPr>
          <w:rFonts w:ascii="Arial" w:hAnsi="Arial"/>
          <w:b w:val="false"/>
          <w:color w:val="000000"/>
          <w:sz w:val="20"/>
        </w:rPr>
        <w:t>On June 20, 2023, the Company entered into the Amended and Restated Revolving Credit, Security and Guaranty Agreement among Drilling Tools International, Inc., certain of its subsidiaries, Drilling Tools International Corporation and PNC Bank, National Association (the “Credit Facility Agreement”) that modified the terms of its previous agreement and related amendments. This amended agreement modified certain defined terms in the previous agreement, removed the $20.0</w:t>
      </w:r>
      <w:r>
        <w:rPr>
          <w:rFonts w:ascii="Times New Roman" w:hAnsi="Times New Roman"/>
          <w:color w:val="000000"/>
          <w:sz w:val="20"/>
        </w:rPr>
        <w:t xml:space="preserve"> </w:t>
      </w:r>
      <w:r>
        <w:rPr>
          <w:rFonts w:ascii="Arial" w:hAnsi="Arial"/>
          <w:b w:val="false"/>
          <w:color w:val="000000"/>
          <w:sz w:val="20"/>
        </w:rPr>
        <w:t>million</w:t>
      </w:r>
      <w:r>
        <w:rPr>
          <w:rFonts w:ascii="Times New Roman" w:hAnsi="Times New Roman"/>
          <w:color w:val="000000"/>
          <w:sz w:val="20"/>
        </w:rPr>
        <w:t xml:space="preserve"> </w:t>
      </w:r>
      <w:r>
        <w:rPr>
          <w:rFonts w:ascii="Arial" w:hAnsi="Arial"/>
          <w:b w:val="false"/>
          <w:color w:val="000000"/>
          <w:sz w:val="20"/>
        </w:rPr>
        <w:t>unfunded capital expenditures requirement, removed the $9.0</w:t>
      </w:r>
      <w:r>
        <w:rPr>
          <w:rFonts w:ascii="Times New Roman" w:hAnsi="Times New Roman"/>
          <w:color w:val="000000"/>
          <w:sz w:val="20"/>
        </w:rPr>
        <w:t xml:space="preserve"> </w:t>
      </w:r>
      <w:r>
        <w:rPr>
          <w:rFonts w:ascii="Arial" w:hAnsi="Arial"/>
          <w:b w:val="false"/>
          <w:color w:val="000000"/>
          <w:sz w:val="20"/>
        </w:rPr>
        <w:t>million</w:t>
      </w:r>
      <w:r>
        <w:rPr>
          <w:rFonts w:ascii="Times New Roman" w:hAnsi="Times New Roman"/>
          <w:color w:val="000000"/>
          <w:sz w:val="20"/>
        </w:rPr>
        <w:t xml:space="preserve"> </w:t>
      </w:r>
      <w:r>
        <w:rPr>
          <w:rFonts w:ascii="Arial" w:hAnsi="Arial"/>
          <w:b w:val="false"/>
          <w:color w:val="000000"/>
          <w:sz w:val="20"/>
        </w:rPr>
        <w:t xml:space="preserve">sublimit to the Company's Canadian entity and changed the legal debtor from DTIH to DTIC. See Note 2 - </w:t>
      </w:r>
      <w:r>
        <w:rPr>
          <w:rFonts w:ascii="Arial" w:hAnsi="Arial"/>
          <w:b w:val="false"/>
          <w:i/>
          <w:color w:val="000000"/>
          <w:sz w:val="20"/>
        </w:rPr>
        <w:t>Merger</w:t>
      </w:r>
      <w:r>
        <w:rPr>
          <w:rFonts w:ascii="Times New Roman" w:hAnsi="Times New Roman"/>
          <w:color w:val="000000"/>
          <w:sz w:val="20"/>
        </w:rPr>
        <w:t xml:space="preserve"> </w:t>
      </w:r>
      <w:r>
        <w:rPr>
          <w:rFonts w:ascii="Arial" w:hAnsi="Arial"/>
          <w:b w:val="false"/>
          <w:color w:val="000000"/>
          <w:sz w:val="20"/>
        </w:rPr>
        <w:t>for further discussion of the Merger.</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w:hAnsi="Arial"/>
          <w:b w:val="false"/>
          <w:color w:val="000000"/>
          <w:sz w:val="20"/>
        </w:rPr>
        <w:t>For the three and nine months ended September 30, 2023, the interest on the amount drawn was based on SOFR or the bank’s base lending rate plus applicable margin (approximately 8.32%</w:t>
      </w:r>
      <w:r>
        <w:rPr>
          <w:rFonts w:ascii="Times New Roman" w:hAnsi="Times New Roman"/>
          <w:color w:val="000000"/>
          <w:sz w:val="20"/>
        </w:rPr>
        <w:t xml:space="preserve"> </w:t>
      </w:r>
      <w:r>
        <w:rPr>
          <w:rFonts w:ascii="Arial" w:hAnsi="Arial"/>
          <w:b w:val="false"/>
          <w:color w:val="000000"/>
          <w:sz w:val="20"/>
        </w:rPr>
        <w:t>at September 30, 2023). The Credit Facility is collateralized by substantially all the assets of the Company and matures December 31, 2025.</w:t>
      </w:r>
    </w:p>
    <w:p>
      <w:pPr>
        <w:pStyle w:val="TextBody"/>
        <w:bidi w:val="0"/>
        <w:jc w:val="both"/>
        <w:rPr/>
      </w:pPr>
      <w:r>
        <w:rPr/>
        <w:t> </w:t>
      </w:r>
    </w:p>
    <w:p>
      <w:pPr>
        <w:pStyle w:val="TextBody"/>
        <w:bidi w:val="0"/>
        <w:jc w:val="both"/>
        <w:rPr>
          <w:rFonts w:ascii="Times New Roman" w:hAnsi="Times New Roman"/>
          <w:sz w:val="20"/>
        </w:rPr>
      </w:pPr>
      <w:r>
        <w:rPr>
          <w:rFonts w:ascii="Arial" w:hAnsi="Arial"/>
          <w:b w:val="false"/>
          <w:color w:val="000000"/>
          <w:sz w:val="20"/>
        </w:rPr>
        <w:t>As of September 30, 2023, there were no</w:t>
      </w:r>
      <w:r>
        <w:rPr>
          <w:rFonts w:ascii="Times New Roman" w:hAnsi="Times New Roman"/>
          <w:color w:val="000000"/>
          <w:sz w:val="20"/>
        </w:rPr>
        <w:t xml:space="preserve"> </w:t>
      </w:r>
      <w:r>
        <w:rPr>
          <w:rFonts w:ascii="Arial" w:hAnsi="Arial"/>
          <w:b w:val="false"/>
          <w:color w:val="000000"/>
          <w:sz w:val="20"/>
        </w:rPr>
        <w:t>amounts drawn against the line of credit.</w:t>
      </w:r>
    </w:p>
    <w:p>
      <w:pPr>
        <w:pStyle w:val="TextBody"/>
        <w:bidi w:val="0"/>
        <w:jc w:val="both"/>
        <w:rPr/>
      </w:pPr>
      <w:r>
        <w:rPr/>
        <w:t> </w:t>
      </w:r>
    </w:p>
    <w:p>
      <w:pPr>
        <w:pStyle w:val="TextBody"/>
        <w:bidi w:val="0"/>
        <w:jc w:val="both"/>
        <w:rPr>
          <w:rFonts w:ascii="Arial" w:hAnsi="Arial"/>
          <w:b w:val="false"/>
          <w:color w:val="000000"/>
          <w:sz w:val="20"/>
        </w:rPr>
      </w:pPr>
      <w:r>
        <w:rPr>
          <w:rFonts w:ascii="Arial" w:hAnsi="Arial"/>
          <w:b w:val="false"/>
          <w:color w:val="000000"/>
          <w:sz w:val="20"/>
        </w:rPr>
        <w:t>The Company is subject to various restrictive covenants associated with these borrowings including, but not limited to, a fixed charge ratio, and a minimum amount of undrawn availability. As of September 30, 2023, the Company was in compliance with all restrictive covenants.</w:t>
      </w:r>
    </w:p>
    <w:p>
      <w:pPr>
        <w:pStyle w:val="TextBody"/>
        <w:bidi w:val="0"/>
        <w:jc w:val="both"/>
        <w:rPr/>
      </w:pPr>
      <w:r>
        <w:rPr/>
        <w:t> </w:t>
      </w:r>
    </w:p>
    <w:p>
      <w:pPr>
        <w:pStyle w:val="TextBody"/>
        <w:bidi w:val="0"/>
        <w:jc w:val="center"/>
        <w:rPr/>
      </w:pPr>
      <w:r>
        <w:rPr/>
        <w:t> </w:t>
      </w:r>
    </w:p>
    <w:p>
      <w:pPr>
        <w:pStyle w:val="TextBody"/>
        <w:bidi w:val="0"/>
        <w:jc w:val="center"/>
        <w:rPr>
          <w:rFonts w:ascii="Arial" w:hAnsi="Arial"/>
          <w:b w:val="false"/>
          <w:color w:val="000000"/>
          <w:sz w:val="20"/>
        </w:rPr>
      </w:pPr>
      <w:r>
        <w:rPr>
          <w:rFonts w:ascii="Arial" w:hAnsi="Arial"/>
          <w:b w:val="false"/>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Arial" w:hAnsi="Arial"/>
          <w:b/>
          <w:i/>
          <w:color w:val="000000"/>
          <w:sz w:val="20"/>
        </w:rPr>
      </w:pPr>
      <w:r>
        <w:rPr>
          <w:rFonts w:ascii="Arial" w:hAnsi="Arial"/>
          <w:b/>
          <w:i/>
          <w:color w:val="000000"/>
          <w:sz w:val="20"/>
        </w:rPr>
        <w:t>Contingent Interest Embedded Derivative Liability</w:t>
      </w:r>
    </w:p>
    <w:p>
      <w:pPr>
        <w:pStyle w:val="TextBody"/>
        <w:bidi w:val="0"/>
        <w:spacing w:before="240" w:after="283"/>
        <w:jc w:val="both"/>
        <w:rPr>
          <w:rFonts w:ascii="Times New Roman" w:hAnsi="Times New Roman"/>
          <w:sz w:val="20"/>
        </w:rPr>
      </w:pPr>
      <w:r>
        <w:rPr>
          <w:rFonts w:ascii="Arial" w:hAnsi="Arial"/>
          <w:b w:val="false"/>
          <w:color w:val="000000"/>
          <w:sz w:val="20"/>
        </w:rPr>
        <w:t xml:space="preserve">Under the Credit Facility Agreement, the interest rate will reset (the 'Default Rate') upon the event of a default and an additional 2% will be added to the base rate. The Company analyzed the Default Rate feature of the Credit Facility for derivative accounting consideration under ASC 815, </w:t>
      </w:r>
      <w:r>
        <w:rPr>
          <w:rFonts w:ascii="Arial" w:hAnsi="Arial"/>
          <w:b w:val="false"/>
          <w:i/>
          <w:color w:val="000000"/>
          <w:sz w:val="20"/>
        </w:rPr>
        <w:t>Derivatives and Hedging</w:t>
      </w:r>
      <w:r>
        <w:rPr>
          <w:rFonts w:ascii="Arial" w:hAnsi="Arial"/>
          <w:b w:val="false"/>
          <w:color w:val="000000"/>
          <w:sz w:val="20"/>
        </w:rPr>
        <w:t>, and determined the Default Rate met the definition of a derivative as it is a contingent interest feature. The Company also noted that the Default Rate feature (the 'Default Rate Derivative') required bifurcation from the host contract and was to be accounted for at fair value. In accordance with ASC 815-15, the Company bifurcated the Default Rate feature of the note and determined the derivative is liability classified.</w:t>
      </w:r>
      <w:r>
        <w:rPr>
          <w:rFonts w:ascii="Times New Roman" w:hAnsi="Times New Roman"/>
          <w:color w:val="000000"/>
          <w:sz w:val="20"/>
        </w:rPr>
        <w:t xml:space="preserve"> </w:t>
      </w:r>
    </w:p>
    <w:p>
      <w:pPr>
        <w:pStyle w:val="TextBody"/>
        <w:bidi w:val="0"/>
        <w:spacing w:before="240" w:after="283"/>
        <w:jc w:val="both"/>
        <w:rPr>
          <w:rFonts w:ascii="Arial" w:hAnsi="Arial"/>
          <w:b w:val="false"/>
          <w:color w:val="000000"/>
          <w:sz w:val="20"/>
        </w:rPr>
      </w:pPr>
      <w:r>
        <w:rPr>
          <w:rFonts w:ascii="Arial" w:hAnsi="Arial"/>
          <w:b w:val="false"/>
          <w:color w:val="000000"/>
          <w:sz w:val="20"/>
        </w:rPr>
        <w:t>The Default Rate Derivative is treated as a liability, initially measured at fair value with subsequent changes in fair value recorded in earnings. Management has assessed the probability of occurrence for a non-credit default event and determined the likelihood of a referenced event to be remote. Therefore, the estimated fair value of the Default Rate Derivative was negligible as of September 30, 2023 and December 31, 2022 and therefore no amounts were recorded as of September 30, 2023 or December 31, 2022.</w:t>
      </w:r>
    </w:p>
    <w:p>
      <w:pPr>
        <w:pStyle w:val="TextBody"/>
        <w:bidi w:val="0"/>
        <w:spacing w:before="240" w:after="283"/>
        <w:jc w:val="both"/>
        <w:rPr>
          <w:rFonts w:ascii="Times New Roman" w:hAnsi="Times New Roman"/>
          <w:sz w:val="20"/>
        </w:rPr>
      </w:pPr>
      <w:r>
        <w:rPr>
          <w:rFonts w:ascii="Arial" w:hAnsi="Arial"/>
          <w:b/>
          <w:color w:val="000000"/>
          <w:sz w:val="20"/>
        </w:rPr>
        <w:t>NOTE 8 – INCOME TAXES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w:hAnsi="Arial"/>
          <w:b w:val="false"/>
          <w:color w:val="000000"/>
          <w:sz w:val="20"/>
        </w:rPr>
        <w:t>The Company recorded income tax expense on the unaudited condensed consolidated statements of income and comprehensive income of $2.1</w:t>
      </w:r>
      <w:r>
        <w:rPr>
          <w:rFonts w:ascii="Times New Roman" w:hAnsi="Times New Roman"/>
          <w:color w:val="000000"/>
          <w:sz w:val="20"/>
        </w:rPr>
        <w:t xml:space="preserve"> </w:t>
      </w:r>
      <w:r>
        <w:rPr>
          <w:rFonts w:ascii="Arial" w:hAnsi="Arial"/>
          <w:b w:val="false"/>
          <w:color w:val="000000"/>
          <w:sz w:val="20"/>
        </w:rPr>
        <w:t>million</w:t>
      </w:r>
      <w:r>
        <w:rPr>
          <w:rFonts w:ascii="Times New Roman" w:hAnsi="Times New Roman"/>
          <w:color w:val="000000"/>
          <w:sz w:val="20"/>
        </w:rPr>
        <w:t xml:space="preserve"> </w:t>
      </w:r>
      <w:r>
        <w:rPr>
          <w:rFonts w:ascii="Arial" w:hAnsi="Arial"/>
          <w:b w:val="false"/>
          <w:color w:val="000000"/>
          <w:sz w:val="20"/>
        </w:rPr>
        <w:t>and $0.6</w:t>
      </w:r>
      <w:r>
        <w:rPr>
          <w:rFonts w:ascii="Times New Roman" w:hAnsi="Times New Roman"/>
          <w:color w:val="000000"/>
          <w:sz w:val="20"/>
        </w:rPr>
        <w:t xml:space="preserve"> </w:t>
      </w:r>
      <w:r>
        <w:rPr>
          <w:rFonts w:ascii="Arial" w:hAnsi="Arial"/>
          <w:b w:val="false"/>
          <w:color w:val="000000"/>
          <w:sz w:val="20"/>
        </w:rPr>
        <w:t>million</w:t>
      </w:r>
      <w:r>
        <w:rPr>
          <w:rFonts w:ascii="Times New Roman" w:hAnsi="Times New Roman"/>
          <w:color w:val="000000"/>
          <w:sz w:val="20"/>
        </w:rPr>
        <w:t xml:space="preserve"> </w:t>
      </w:r>
      <w:r>
        <w:rPr>
          <w:rFonts w:ascii="Arial" w:hAnsi="Arial"/>
          <w:b w:val="false"/>
          <w:color w:val="000000"/>
          <w:sz w:val="20"/>
        </w:rPr>
        <w:t>for the three months ended September 30, 2023 and 2022, respectively. The Company recorded income tax expense on the unaudited condensed consolidated statements of income and comprehensive income of $5.2</w:t>
      </w:r>
      <w:r>
        <w:rPr>
          <w:rFonts w:ascii="Times New Roman" w:hAnsi="Times New Roman"/>
          <w:color w:val="000000"/>
          <w:sz w:val="20"/>
        </w:rPr>
        <w:t xml:space="preserve"> </w:t>
      </w:r>
      <w:r>
        <w:rPr>
          <w:rFonts w:ascii="Arial" w:hAnsi="Arial"/>
          <w:b w:val="false"/>
          <w:color w:val="000000"/>
          <w:sz w:val="20"/>
        </w:rPr>
        <w:t>million</w:t>
      </w:r>
      <w:r>
        <w:rPr>
          <w:rFonts w:ascii="Times New Roman" w:hAnsi="Times New Roman"/>
          <w:color w:val="000000"/>
          <w:sz w:val="20"/>
        </w:rPr>
        <w:t xml:space="preserve"> </w:t>
      </w:r>
      <w:r>
        <w:rPr>
          <w:rFonts w:ascii="Arial" w:hAnsi="Arial"/>
          <w:b w:val="false"/>
          <w:color w:val="000000"/>
          <w:sz w:val="20"/>
        </w:rPr>
        <w:t>and $2.8</w:t>
      </w:r>
      <w:r>
        <w:rPr>
          <w:rFonts w:ascii="Times New Roman" w:hAnsi="Times New Roman"/>
          <w:color w:val="000000"/>
          <w:sz w:val="20"/>
        </w:rPr>
        <w:t xml:space="preserve"> </w:t>
      </w:r>
      <w:r>
        <w:rPr>
          <w:rFonts w:ascii="Arial" w:hAnsi="Arial"/>
          <w:b w:val="false"/>
          <w:color w:val="000000"/>
          <w:sz w:val="20"/>
        </w:rPr>
        <w:t>million</w:t>
      </w:r>
      <w:r>
        <w:rPr>
          <w:rFonts w:ascii="Times New Roman" w:hAnsi="Times New Roman"/>
          <w:color w:val="000000"/>
          <w:sz w:val="20"/>
        </w:rPr>
        <w:t xml:space="preserve"> </w:t>
      </w:r>
      <w:r>
        <w:rPr>
          <w:rFonts w:ascii="Arial" w:hAnsi="Arial"/>
          <w:b w:val="false"/>
          <w:color w:val="000000"/>
          <w:sz w:val="20"/>
        </w:rPr>
        <w:t>for the nine months ended September 30, 2023 and 2022, respectively.</w:t>
      </w:r>
    </w:p>
    <w:p>
      <w:pPr>
        <w:pStyle w:val="TextBody"/>
        <w:bidi w:val="0"/>
        <w:jc w:val="both"/>
        <w:rPr>
          <w:rFonts w:ascii="Times New Roman" w:hAnsi="Times New Roman"/>
          <w:sz w:val="20"/>
        </w:rPr>
      </w:pPr>
      <w:r>
        <w:rPr>
          <w:rFonts w:ascii="Arial" w:hAnsi="Arial"/>
          <w:b w:val="false"/>
          <w:color w:val="000000"/>
          <w:sz w:val="20"/>
        </w:rPr>
        <w:t>The Company calculates its tax provision using the discreet quarter methodology. The Company’s effective tax rate for the three months ended September 30, 2023 and 2022 were provisions of 32.9%</w:t>
      </w:r>
      <w:r>
        <w:rPr>
          <w:rFonts w:ascii="Times New Roman" w:hAnsi="Times New Roman"/>
          <w:color w:val="000000"/>
          <w:sz w:val="20"/>
        </w:rPr>
        <w:t xml:space="preserve"> </w:t>
      </w:r>
      <w:r>
        <w:rPr>
          <w:rFonts w:ascii="Arial" w:hAnsi="Arial"/>
          <w:b w:val="false"/>
          <w:color w:val="000000"/>
          <w:sz w:val="20"/>
        </w:rPr>
        <w:t>and 8.2%, respectively. The Company’s effective tax rate for the nine months ended September 30, 2023 and 2022 were provisions of 32.3%</w:t>
      </w:r>
      <w:r>
        <w:rPr>
          <w:rFonts w:ascii="Times New Roman" w:hAnsi="Times New Roman"/>
          <w:color w:val="000000"/>
          <w:sz w:val="20"/>
        </w:rPr>
        <w:t xml:space="preserve"> </w:t>
      </w:r>
      <w:r>
        <w:rPr>
          <w:rFonts w:ascii="Arial" w:hAnsi="Arial"/>
          <w:b w:val="false"/>
          <w:color w:val="000000"/>
          <w:sz w:val="20"/>
        </w:rPr>
        <w:t>and 16.6%, respectively. Such rates differed from the Federal Statutory rate of 21.0%</w:t>
      </w:r>
      <w:r>
        <w:rPr>
          <w:rFonts w:ascii="Times New Roman" w:hAnsi="Times New Roman"/>
          <w:color w:val="000000"/>
          <w:sz w:val="20"/>
        </w:rPr>
        <w:t xml:space="preserve"> </w:t>
      </w:r>
      <w:r>
        <w:rPr>
          <w:rFonts w:ascii="Arial" w:hAnsi="Arial"/>
          <w:b w:val="false"/>
          <w:color w:val="000000"/>
          <w:sz w:val="20"/>
        </w:rPr>
        <w:t>primarily due to permanent differences, including disallowed transaction expenses, as well as state taxes and foreign income taxes on the Company's international operations.</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Arial" w:hAnsi="Arial"/>
          <w:b w:val="false"/>
          <w:color w:val="000000"/>
          <w:sz w:val="20"/>
        </w:rPr>
        <w:t>The Company records deferred tax assets and liabilities for the future tax benefit or expense that will result from differences between the carrying value of its assets for income tax purposes and for financial reporting purposes, as well as for operating loss and tax credit carryovers. A valuation allowance is recorded to bring the net deferred tax assets to a level that is more likely than not to be realized in the foreseeable future. This level will be estimated based on a number of factors, especially the amount of net deferred tax assets of the Company that are actually expected to be realized, for tax purposes, in the foreseeable future. There was no</w:t>
      </w:r>
      <w:r>
        <w:rPr>
          <w:rFonts w:ascii="Times New Roman" w:hAnsi="Times New Roman"/>
          <w:color w:val="000000"/>
          <w:sz w:val="20"/>
        </w:rPr>
        <w:t xml:space="preserve"> </w:t>
      </w:r>
      <w:r>
        <w:rPr>
          <w:rFonts w:ascii="Arial" w:hAnsi="Arial"/>
          <w:b w:val="false"/>
          <w:color w:val="000000"/>
          <w:sz w:val="20"/>
        </w:rPr>
        <w:t>change to the valuation allowance during the three and nine months ended September 30, 2023 and 2022.</w:t>
      </w:r>
    </w:p>
    <w:p>
      <w:pPr>
        <w:pStyle w:val="TextBody"/>
        <w:bidi w:val="0"/>
        <w:spacing w:before="240" w:after="283"/>
        <w:jc w:val="both"/>
        <w:rPr>
          <w:rFonts w:ascii="Arial" w:hAnsi="Arial"/>
          <w:b/>
          <w:color w:val="000000"/>
          <w:sz w:val="20"/>
        </w:rPr>
      </w:pPr>
      <w:r>
        <w:rPr>
          <w:rFonts w:ascii="Arial" w:hAnsi="Arial"/>
          <w:b/>
          <w:color w:val="000000"/>
          <w:sz w:val="20"/>
        </w:rPr>
        <w:t>NOTE 9 – STOCK-BASED COMPENSATION</w:t>
      </w:r>
    </w:p>
    <w:p>
      <w:pPr>
        <w:pStyle w:val="TextBody"/>
        <w:bidi w:val="0"/>
        <w:jc w:val="left"/>
        <w:rPr/>
      </w:pPr>
      <w:r>
        <w:rPr/>
        <w:t> </w:t>
      </w:r>
    </w:p>
    <w:p>
      <w:pPr>
        <w:pStyle w:val="TextBody"/>
        <w:bidi w:val="0"/>
        <w:jc w:val="both"/>
        <w:rPr>
          <w:rFonts w:ascii="Times New Roman" w:hAnsi="Times New Roman"/>
          <w:sz w:val="20"/>
        </w:rPr>
      </w:pPr>
      <w:r>
        <w:rPr>
          <w:rFonts w:ascii="Arial" w:hAnsi="Arial"/>
          <w:b w:val="false"/>
          <w:color w:val="000000"/>
          <w:sz w:val="20"/>
        </w:rPr>
        <w:t>On June 20, 2023, the Company adopted the Drilling Tools International Corporation 2023 Omnibus Incentive Plan (the 2023 Plan). The 2023 Plan became effective on the closing of the Merger, which also occurred on June 20, 2023. The 2023 Plan provides for the issuance of shares of Common Stock up to ten percent (10%) of the shares of outstanding Common Stock as of the closing of the Merger (which equates to</w:t>
      </w:r>
      <w:r>
        <w:rPr>
          <w:rFonts w:ascii="Times New Roman" w:hAnsi="Times New Roman"/>
          <w:color w:val="000000"/>
          <w:sz w:val="20"/>
        </w:rPr>
        <w:t xml:space="preserve"> </w:t>
      </w:r>
      <w:r>
        <w:rPr>
          <w:rFonts w:ascii="Arial" w:hAnsi="Arial"/>
          <w:b w:val="false"/>
          <w:color w:val="000000"/>
          <w:sz w:val="20"/>
        </w:rPr>
        <w:t>2,976,854</w:t>
      </w:r>
      <w:r>
        <w:rPr>
          <w:rFonts w:ascii="Times New Roman" w:hAnsi="Times New Roman"/>
          <w:color w:val="000000"/>
          <w:sz w:val="20"/>
        </w:rPr>
        <w:t xml:space="preserve"> </w:t>
      </w:r>
      <w:r>
        <w:rPr>
          <w:rFonts w:ascii="Arial" w:hAnsi="Arial"/>
          <w:b w:val="false"/>
          <w:color w:val="000000"/>
          <w:sz w:val="20"/>
        </w:rPr>
        <w:t>shares as of September 30, 2023) and automatically increases on the first trading day of each calendar year by the number of shares of Common Stock equal to three percent (3%) of the total number of outstanding Common Stock on the last day of the prior calendar year. The 2023 Plan allows for awards to be issued to employees, non-employee directors, and consultants in the form of options, stock appreciation rights, restricted shares, restricted stock units, performance based awards, other share-based awards, other cash-based awards, or a combination of the foregoing. As of September 30, 2023, there were 2,976,854</w:t>
      </w:r>
      <w:r>
        <w:rPr>
          <w:rFonts w:ascii="Times New Roman" w:hAnsi="Times New Roman"/>
          <w:color w:val="000000"/>
          <w:sz w:val="20"/>
        </w:rPr>
        <w:t xml:space="preserve"> </w:t>
      </w:r>
      <w:r>
        <w:rPr>
          <w:rFonts w:ascii="Arial" w:hAnsi="Arial"/>
          <w:b w:val="false"/>
          <w:color w:val="000000"/>
          <w:sz w:val="20"/>
        </w:rPr>
        <w:t>shares of Common Stock available for issuance under the 2023 Plan.</w:t>
      </w:r>
    </w:p>
    <w:p>
      <w:pPr>
        <w:pStyle w:val="TextBody"/>
        <w:bidi w:val="0"/>
        <w:jc w:val="both"/>
        <w:rPr/>
      </w:pPr>
      <w:r>
        <w:rPr/>
        <w:t> </w:t>
      </w:r>
    </w:p>
    <w:p>
      <w:pPr>
        <w:pStyle w:val="TextBody"/>
        <w:bidi w:val="0"/>
        <w:jc w:val="center"/>
        <w:rPr/>
      </w:pPr>
      <w:r>
        <w:rPr/>
        <w:t> </w:t>
      </w:r>
    </w:p>
    <w:p>
      <w:pPr>
        <w:pStyle w:val="TextBody"/>
        <w:bidi w:val="0"/>
        <w:jc w:val="center"/>
        <w:rPr>
          <w:rFonts w:ascii="Arial" w:hAnsi="Arial"/>
          <w:b w:val="false"/>
          <w:color w:val="000000"/>
          <w:sz w:val="20"/>
        </w:rPr>
      </w:pPr>
      <w:r>
        <w:rPr>
          <w:rFonts w:ascii="Arial" w:hAnsi="Arial"/>
          <w:b w:val="false"/>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Arial" w:hAnsi="Arial"/>
          <w:b w:val="false"/>
          <w:color w:val="000000"/>
          <w:sz w:val="20"/>
        </w:rPr>
        <w:t xml:space="preserve">In connection with the Merger, all outstanding options to purchase shares of DTIH common stock were canceled and exchanged for options to purchase shares of DTIC Common Stock ("Company Options"). The number of Company Options issued and the associated exercise prices were adjusted using the Common Exchange Ratio used for the Merger (see Note 2 - </w:t>
      </w:r>
      <w:r>
        <w:rPr>
          <w:rFonts w:ascii="Arial" w:hAnsi="Arial"/>
          <w:b w:val="false"/>
          <w:i/>
          <w:color w:val="000000"/>
          <w:sz w:val="20"/>
        </w:rPr>
        <w:t>Merger</w:t>
      </w:r>
      <w:r>
        <w:rPr>
          <w:rFonts w:ascii="Arial" w:hAnsi="Arial"/>
          <w:b w:val="false"/>
          <w:color w:val="000000"/>
          <w:sz w:val="20"/>
        </w:rPr>
        <w:t>). As a result of the Merger, the Company issued options to purchase a total of 2,361,722</w:t>
      </w:r>
      <w:r>
        <w:rPr>
          <w:rFonts w:ascii="Times New Roman" w:hAnsi="Times New Roman"/>
          <w:color w:val="000000"/>
          <w:sz w:val="20"/>
        </w:rPr>
        <w:t xml:space="preserve"> </w:t>
      </w:r>
      <w:r>
        <w:rPr>
          <w:rFonts w:ascii="Arial" w:hAnsi="Arial"/>
          <w:b w:val="false"/>
          <w:color w:val="000000"/>
          <w:sz w:val="20"/>
        </w:rPr>
        <w:t>shares of the Company's Common Stock to former holders of the DTIH stock options. The vesting schedules, remaining term, and provisions (other than the adjusted number of underlying shares and exercise prices) of the Company Options issued, are identical to the vesting schedules, remaining term, and other provisions of the DTIH stock options that were exchanged. Per a post-closing amendment, Company Options currently held by former holders of DTIH stock options are no longer subject to employment considerations.</w:t>
      </w:r>
    </w:p>
    <w:p>
      <w:pPr>
        <w:pStyle w:val="TextBody"/>
        <w:bidi w:val="0"/>
        <w:jc w:val="left"/>
        <w:rPr/>
      </w:pPr>
      <w:r>
        <w:rPr/>
        <w:t> </w:t>
      </w:r>
    </w:p>
    <w:p>
      <w:pPr>
        <w:pStyle w:val="TextBody"/>
        <w:bidi w:val="0"/>
        <w:jc w:val="both"/>
        <w:rPr>
          <w:rFonts w:ascii="Arial" w:hAnsi="Arial"/>
          <w:b w:val="false"/>
          <w:color w:val="000000"/>
          <w:sz w:val="20"/>
        </w:rPr>
      </w:pPr>
      <w:r>
        <w:rPr>
          <w:rFonts w:ascii="Arial" w:hAnsi="Arial"/>
          <w:b w:val="false"/>
          <w:color w:val="000000"/>
          <w:sz w:val="20"/>
        </w:rPr>
        <w:t>The fair value of each stock option award is estimated on the date of grant using a Black-Scholes option valuation model. Expected volatilities are based on comparable public company data. The Company uses future estimated employee termination and forfeiture rates of the options within the valuation model. The expected term of options granted is derived using the “plain vanilla” method due to the lack of history and volume of option activity at the Company. The risk-free rate is based on the approximate U.S. Treasury yield rate in effect at the time of grant. The Company’s calculation of share price involves the use of different valuation techniques, including a combination of an income and market approach. For any grants of stock options subsequent to the Company being publicly traded, the Company will use the quoted market price as of the grant date as an input into the Black-Scholes model.</w:t>
      </w:r>
    </w:p>
    <w:p>
      <w:pPr>
        <w:pStyle w:val="TextBody"/>
        <w:bidi w:val="0"/>
        <w:jc w:val="both"/>
        <w:rPr/>
      </w:pPr>
      <w:r>
        <w:rPr/>
        <w:t> </w:t>
      </w:r>
    </w:p>
    <w:p>
      <w:pPr>
        <w:pStyle w:val="TextBody"/>
        <w:bidi w:val="0"/>
        <w:jc w:val="both"/>
        <w:rPr>
          <w:rFonts w:ascii="Times New Roman" w:hAnsi="Times New Roman"/>
          <w:sz w:val="20"/>
        </w:rPr>
      </w:pPr>
      <w:r>
        <w:rPr>
          <w:rFonts w:ascii="Arial" w:hAnsi="Arial"/>
          <w:b w:val="false"/>
          <w:color w:val="000000"/>
          <w:sz w:val="20"/>
        </w:rPr>
        <w:t>Determination of the fair value is a matter of judgment and often involves the use of estimates and assumptions. In June of 2022 and prior to the closing of the Merger, one holder of DTIH stock options elected to net exercise all of such holder's stock options, resulting in 158,444</w:t>
      </w:r>
      <w:r>
        <w:rPr>
          <w:rFonts w:ascii="Times New Roman" w:hAnsi="Times New Roman"/>
          <w:color w:val="000000"/>
          <w:sz w:val="20"/>
        </w:rPr>
        <w:t xml:space="preserve"> </w:t>
      </w:r>
      <w:r>
        <w:rPr>
          <w:rFonts w:ascii="Arial" w:hAnsi="Arial"/>
          <w:b w:val="false"/>
          <w:color w:val="000000"/>
          <w:sz w:val="20"/>
        </w:rPr>
        <w:t>shares of DTIH common stock being issued prior to the Merger and subsequently canceled and exchanged for a total of 36,163</w:t>
      </w:r>
      <w:r>
        <w:rPr>
          <w:rFonts w:ascii="Times New Roman" w:hAnsi="Times New Roman"/>
          <w:color w:val="000000"/>
          <w:sz w:val="20"/>
        </w:rPr>
        <w:t xml:space="preserve"> </w:t>
      </w:r>
      <w:r>
        <w:rPr>
          <w:rFonts w:ascii="Arial" w:hAnsi="Arial"/>
          <w:b w:val="false"/>
          <w:color w:val="000000"/>
          <w:sz w:val="20"/>
        </w:rPr>
        <w:t>shares of DTIC Common Stock as of the date of the Merger.</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w:hAnsi="Arial"/>
          <w:b w:val="false"/>
          <w:color w:val="000000"/>
          <w:sz w:val="20"/>
        </w:rPr>
        <w:t>During the three and nine months ended September 30, 2022, there were no</w:t>
      </w:r>
      <w:r>
        <w:rPr>
          <w:rFonts w:ascii="Times New Roman" w:hAnsi="Times New Roman"/>
          <w:color w:val="000000"/>
          <w:sz w:val="20"/>
        </w:rPr>
        <w:t xml:space="preserve"> </w:t>
      </w:r>
      <w:r>
        <w:rPr>
          <w:rFonts w:ascii="Arial" w:hAnsi="Arial"/>
          <w:b w:val="false"/>
          <w:color w:val="000000"/>
          <w:sz w:val="20"/>
        </w:rPr>
        <w:t>options granted, exercised or forfeited.</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w:hAnsi="Arial"/>
          <w:b w:val="false"/>
          <w:color w:val="000000"/>
          <w:sz w:val="20"/>
        </w:rPr>
        <w:t>During the nine months ended September 30, 2023, the Company recognized $1.7</w:t>
      </w:r>
      <w:r>
        <w:rPr>
          <w:rFonts w:ascii="Times New Roman" w:hAnsi="Times New Roman"/>
          <w:color w:val="000000"/>
          <w:sz w:val="20"/>
        </w:rPr>
        <w:t xml:space="preserve"> </w:t>
      </w:r>
      <w:r>
        <w:rPr>
          <w:rFonts w:ascii="Arial" w:hAnsi="Arial"/>
          <w:b w:val="false"/>
          <w:color w:val="000000"/>
          <w:sz w:val="20"/>
        </w:rPr>
        <w:t>million</w:t>
      </w:r>
      <w:r>
        <w:rPr>
          <w:rFonts w:ascii="Times New Roman" w:hAnsi="Times New Roman"/>
          <w:color w:val="000000"/>
          <w:sz w:val="20"/>
        </w:rPr>
        <w:t xml:space="preserve"> </w:t>
      </w:r>
      <w:r>
        <w:rPr>
          <w:rFonts w:ascii="Arial" w:hAnsi="Arial"/>
          <w:b w:val="false"/>
          <w:color w:val="000000"/>
          <w:sz w:val="20"/>
        </w:rPr>
        <w:t>of stock-based compensation expense within selling, general, and administrative expense on the unaudited condensed consolidated statements of income and comprehensive income related to the accelerated vesting of an executive's 534,063</w:t>
      </w:r>
      <w:r>
        <w:rPr>
          <w:rFonts w:ascii="Times New Roman" w:hAnsi="Times New Roman"/>
          <w:color w:val="000000"/>
          <w:sz w:val="20"/>
        </w:rPr>
        <w:t xml:space="preserve"> </w:t>
      </w:r>
      <w:r>
        <w:rPr>
          <w:rFonts w:ascii="Arial" w:hAnsi="Arial"/>
          <w:b w:val="false"/>
          <w:color w:val="000000"/>
          <w:sz w:val="20"/>
        </w:rPr>
        <w:t>performance-based stock options. The performance conditions were satisfied upon completion of the Merger and all 534,063</w:t>
      </w:r>
      <w:r>
        <w:rPr>
          <w:rFonts w:ascii="Times New Roman" w:hAnsi="Times New Roman"/>
          <w:color w:val="000000"/>
          <w:sz w:val="20"/>
        </w:rPr>
        <w:t xml:space="preserve"> </w:t>
      </w:r>
      <w:r>
        <w:rPr>
          <w:rFonts w:ascii="Arial" w:hAnsi="Arial"/>
          <w:b w:val="false"/>
          <w:color w:val="000000"/>
          <w:sz w:val="20"/>
        </w:rPr>
        <w:t>performance-based stock options vested on June 20, 2023.</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w:hAnsi="Arial"/>
          <w:b w:val="false"/>
          <w:color w:val="000000"/>
          <w:sz w:val="20"/>
        </w:rPr>
        <w:t>During the nine months ended September 30, 2023, the Company recognized $2.3</w:t>
      </w:r>
      <w:r>
        <w:rPr>
          <w:rFonts w:ascii="Times New Roman" w:hAnsi="Times New Roman"/>
          <w:color w:val="000000"/>
          <w:sz w:val="20"/>
        </w:rPr>
        <w:t xml:space="preserve"> </w:t>
      </w:r>
      <w:r>
        <w:rPr>
          <w:rFonts w:ascii="Arial" w:hAnsi="Arial"/>
          <w:b w:val="false"/>
          <w:color w:val="000000"/>
          <w:sz w:val="20"/>
        </w:rPr>
        <w:t>million</w:t>
      </w:r>
      <w:r>
        <w:rPr>
          <w:rFonts w:ascii="Times New Roman" w:hAnsi="Times New Roman"/>
          <w:color w:val="000000"/>
          <w:sz w:val="20"/>
        </w:rPr>
        <w:t xml:space="preserve"> </w:t>
      </w:r>
      <w:r>
        <w:rPr>
          <w:rFonts w:ascii="Arial" w:hAnsi="Arial"/>
          <w:b w:val="false"/>
          <w:color w:val="000000"/>
          <w:sz w:val="20"/>
        </w:rPr>
        <w:t xml:space="preserve">of stock-based compensation expense within other expense on the unaudited condensed consolidated statements of income and comprehensive income as a result of the issuance of shares in accordance with the TSA with HHLLC (see Note 2 - </w:t>
      </w:r>
      <w:r>
        <w:rPr>
          <w:rFonts w:ascii="Arial" w:hAnsi="Arial"/>
          <w:b w:val="false"/>
          <w:i/>
          <w:color w:val="000000"/>
          <w:sz w:val="20"/>
        </w:rPr>
        <w:t>Merger</w:t>
      </w:r>
      <w:r>
        <w:rPr>
          <w:rFonts w:ascii="Arial" w:hAnsi="Arial"/>
          <w:b w:val="false"/>
          <w:color w:val="000000"/>
          <w:sz w:val="20"/>
        </w:rPr>
        <w:t>).</w:t>
      </w:r>
    </w:p>
    <w:p>
      <w:pPr>
        <w:pStyle w:val="TextBody"/>
        <w:bidi w:val="0"/>
        <w:jc w:val="both"/>
        <w:rPr/>
      </w:pPr>
      <w:r>
        <w:rPr/>
        <w:t> </w:t>
      </w:r>
    </w:p>
    <w:p>
      <w:pPr>
        <w:pStyle w:val="TextBody"/>
        <w:bidi w:val="0"/>
        <w:jc w:val="both"/>
        <w:rPr>
          <w:rFonts w:ascii="Times New Roman" w:hAnsi="Times New Roman"/>
          <w:sz w:val="20"/>
        </w:rPr>
      </w:pPr>
      <w:r>
        <w:rPr>
          <w:rFonts w:ascii="Arial" w:hAnsi="Arial"/>
          <w:b w:val="false"/>
          <w:color w:val="000000"/>
          <w:sz w:val="20"/>
        </w:rPr>
        <w:t>During the three months ended September 30, 2023, there was no</w:t>
      </w:r>
      <w:r>
        <w:rPr>
          <w:rFonts w:ascii="Times New Roman" w:hAnsi="Times New Roman"/>
          <w:color w:val="000000"/>
          <w:sz w:val="20"/>
        </w:rPr>
        <w:t xml:space="preserve"> </w:t>
      </w:r>
      <w:r>
        <w:rPr>
          <w:rFonts w:ascii="Arial" w:hAnsi="Arial"/>
          <w:b w:val="false"/>
          <w:color w:val="000000"/>
          <w:sz w:val="20"/>
        </w:rPr>
        <w:t>stock-based compensation expense recognized.</w:t>
      </w:r>
    </w:p>
    <w:p>
      <w:pPr>
        <w:pStyle w:val="TextBody"/>
        <w:bidi w:val="0"/>
        <w:spacing w:before="240" w:after="283"/>
        <w:jc w:val="both"/>
        <w:rPr>
          <w:rFonts w:ascii="Arial" w:hAnsi="Arial"/>
          <w:b/>
          <w:color w:val="000000"/>
          <w:sz w:val="20"/>
        </w:rPr>
      </w:pPr>
      <w:r>
        <w:rPr>
          <w:rFonts w:ascii="Arial" w:hAnsi="Arial"/>
          <w:b/>
          <w:color w:val="000000"/>
          <w:sz w:val="20"/>
        </w:rPr>
        <w:t>NOTE 10 – OTHER EXPENSES, NET</w:t>
      </w:r>
    </w:p>
    <w:p>
      <w:pPr>
        <w:pStyle w:val="TextBody"/>
        <w:bidi w:val="0"/>
        <w:spacing w:before="240" w:after="283"/>
        <w:jc w:val="both"/>
        <w:rPr>
          <w:rFonts w:ascii="Arial" w:hAnsi="Arial"/>
          <w:b w:val="false"/>
          <w:color w:val="000000"/>
          <w:sz w:val="20"/>
        </w:rPr>
      </w:pPr>
      <w:r>
        <w:rPr>
          <w:rFonts w:ascii="Arial" w:hAnsi="Arial"/>
          <w:b w:val="false"/>
          <w:color w:val="000000"/>
          <w:sz w:val="20"/>
        </w:rPr>
        <w:t>The following table shows the components of other expenses, net for the three months ended September 30, 2023 and 2022 (in thousands):</w:t>
      </w:r>
    </w:p>
    <w:tbl>
      <w:tblPr>
        <w:tblW w:w="9190" w:type="dxa"/>
        <w:jc w:val="left"/>
        <w:tblInd w:w="0" w:type="dxa"/>
        <w:tblLayout w:type="fixed"/>
        <w:tblCellMar>
          <w:top w:w="28" w:type="dxa"/>
          <w:left w:w="28" w:type="dxa"/>
          <w:bottom w:w="28" w:type="dxa"/>
          <w:right w:w="28" w:type="dxa"/>
        </w:tblCellMar>
      </w:tblPr>
      <w:tblGrid>
        <w:gridCol w:w="1861"/>
        <w:gridCol w:w="146"/>
        <w:gridCol w:w="1015"/>
        <w:gridCol w:w="2315"/>
        <w:gridCol w:w="166"/>
        <w:gridCol w:w="146"/>
        <w:gridCol w:w="1015"/>
        <w:gridCol w:w="2315"/>
        <w:gridCol w:w="211"/>
      </w:tblGrid>
      <w:tr>
        <w:trPr/>
        <w:tc>
          <w:tcPr>
            <w:tcW w:w="1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231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23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86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33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September 30,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3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September 30, 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6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Transaction fees</w:t>
            </w:r>
          </w:p>
        </w:tc>
        <w:tc>
          <w:tcPr>
            <w:tcW w:w="146" w:type="dxa"/>
            <w:tcBorders/>
            <w:shd w:fill="CFF0FC" w:val="clear"/>
            <w:vAlign w:val="center"/>
          </w:tcPr>
          <w:p>
            <w:pPr>
              <w:pStyle w:val="TableContents"/>
              <w:bidi w:val="0"/>
              <w:spacing w:before="0" w:after="283"/>
              <w:jc w:val="left"/>
              <w:rPr/>
            </w:pPr>
            <w:r>
              <w:rPr/>
              <w:t> </w:t>
            </w:r>
          </w:p>
        </w:tc>
        <w:tc>
          <w:tcPr>
            <w:tcW w:w="1015" w:type="dxa"/>
            <w:tcBorders/>
            <w:shd w:fill="CFF0FC" w:val="clear"/>
            <w:vAlign w:val="center"/>
          </w:tcPr>
          <w:p>
            <w:pPr>
              <w:pStyle w:val="TableContents"/>
              <w:bidi w:val="0"/>
              <w:spacing w:before="0" w:after="283"/>
              <w:jc w:val="left"/>
              <w:rPr/>
            </w:pPr>
            <w:r>
              <w:rPr/>
              <w:t> </w:t>
            </w:r>
          </w:p>
        </w:tc>
        <w:tc>
          <w:tcPr>
            <w:tcW w:w="2315"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(124</w:t>
            </w:r>
          </w:p>
        </w:tc>
        <w:tc>
          <w:tcPr>
            <w:tcW w:w="16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015" w:type="dxa"/>
            <w:tcBorders/>
            <w:shd w:fill="CFF0FC" w:val="clear"/>
            <w:vAlign w:val="center"/>
          </w:tcPr>
          <w:p>
            <w:pPr>
              <w:pStyle w:val="TableContents"/>
              <w:bidi w:val="0"/>
              <w:spacing w:before="0" w:after="283"/>
              <w:jc w:val="left"/>
              <w:rPr/>
            </w:pPr>
            <w:r>
              <w:rPr/>
              <w:t> </w:t>
            </w:r>
          </w:p>
        </w:tc>
        <w:tc>
          <w:tcPr>
            <w:tcW w:w="2315"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r>
      <w:tr>
        <w:trPr/>
        <w:tc>
          <w:tcPr>
            <w:tcW w:w="186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Other, net</w:t>
            </w:r>
          </w:p>
        </w:tc>
        <w:tc>
          <w:tcPr>
            <w:tcW w:w="146" w:type="dxa"/>
            <w:tcBorders/>
            <w:shd w:fill="FFFFFF" w:val="clear"/>
            <w:vAlign w:val="center"/>
          </w:tcPr>
          <w:p>
            <w:pPr>
              <w:pStyle w:val="TableContents"/>
              <w:bidi w:val="0"/>
              <w:spacing w:before="0" w:after="283"/>
              <w:jc w:val="left"/>
              <w:rPr/>
            </w:pPr>
            <w:r>
              <w:rPr/>
              <w:t> </w:t>
            </w:r>
          </w:p>
        </w:tc>
        <w:tc>
          <w:tcPr>
            <w:tcW w:w="10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0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(114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1861"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Other expense, net</w:t>
            </w:r>
          </w:p>
        </w:tc>
        <w:tc>
          <w:tcPr>
            <w:tcW w:w="146" w:type="dxa"/>
            <w:tcBorders/>
            <w:shd w:fill="CFF0FC" w:val="clear"/>
            <w:vAlign w:val="center"/>
          </w:tcPr>
          <w:p>
            <w:pPr>
              <w:pStyle w:val="TableContents"/>
              <w:bidi w:val="0"/>
              <w:spacing w:before="0" w:after="283"/>
              <w:jc w:val="left"/>
              <w:rPr/>
            </w:pPr>
            <w:r>
              <w:rPr/>
              <w:t> </w:t>
            </w:r>
          </w:p>
        </w:tc>
        <w:tc>
          <w:tcPr>
            <w:tcW w:w="10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23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0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23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r>
    </w:tbl>
    <w:p>
      <w:pPr>
        <w:pStyle w:val="TextBody"/>
        <w:bidi w:val="0"/>
        <w:jc w:val="left"/>
        <w:rPr/>
      </w:pPr>
      <w:r>
        <w:rPr/>
        <w:t> </w:t>
      </w:r>
    </w:p>
    <w:p>
      <w:pPr>
        <w:pStyle w:val="TextBody"/>
        <w:bidi w:val="0"/>
        <w:jc w:val="center"/>
        <w:rPr/>
      </w:pPr>
      <w:r>
        <w:rPr/>
        <w:t> </w:t>
      </w:r>
    </w:p>
    <w:p>
      <w:pPr>
        <w:pStyle w:val="TextBody"/>
        <w:bidi w:val="0"/>
        <w:jc w:val="center"/>
        <w:rPr>
          <w:rFonts w:ascii="Arial" w:hAnsi="Arial"/>
          <w:b w:val="false"/>
          <w:color w:val="000000"/>
          <w:sz w:val="20"/>
        </w:rPr>
      </w:pPr>
      <w:r>
        <w:rPr>
          <w:rFonts w:ascii="Arial" w:hAnsi="Arial"/>
          <w:b w:val="false"/>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both"/>
        <w:rPr>
          <w:rFonts w:ascii="Arial" w:hAnsi="Arial"/>
          <w:b w:val="false"/>
          <w:color w:val="000000"/>
          <w:sz w:val="20"/>
        </w:rPr>
      </w:pPr>
      <w:r>
        <w:rPr>
          <w:rFonts w:ascii="Arial" w:hAnsi="Arial"/>
          <w:b w:val="false"/>
          <w:color w:val="000000"/>
          <w:sz w:val="20"/>
        </w:rPr>
        <w:t>The following table shows the components of other expenses, net for the nine months ended September 30, 2023 and 2022 (in thousands):</w:t>
      </w:r>
    </w:p>
    <w:tbl>
      <w:tblPr>
        <w:tblW w:w="10205" w:type="dxa"/>
        <w:jc w:val="left"/>
        <w:tblInd w:w="0" w:type="dxa"/>
        <w:tblLayout w:type="fixed"/>
        <w:tblCellMar>
          <w:top w:w="28" w:type="dxa"/>
          <w:left w:w="28" w:type="dxa"/>
          <w:bottom w:w="28" w:type="dxa"/>
          <w:right w:w="28" w:type="dxa"/>
        </w:tblCellMar>
      </w:tblPr>
      <w:tblGrid>
        <w:gridCol w:w="3113"/>
        <w:gridCol w:w="146"/>
        <w:gridCol w:w="787"/>
        <w:gridCol w:w="2423"/>
        <w:gridCol w:w="166"/>
        <w:gridCol w:w="146"/>
        <w:gridCol w:w="979"/>
        <w:gridCol w:w="2232"/>
        <w:gridCol w:w="213"/>
      </w:tblGrid>
      <w:tr>
        <w:trPr/>
        <w:tc>
          <w:tcPr>
            <w:tcW w:w="31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24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113"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32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 September 30,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2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 September 30, 2022</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13"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HHLLC stock-based compensation</w:t>
            </w:r>
          </w:p>
        </w:tc>
        <w:tc>
          <w:tcPr>
            <w:tcW w:w="146" w:type="dxa"/>
            <w:tcBorders/>
            <w:shd w:fill="CFF0FC" w:val="clear"/>
            <w:vAlign w:val="center"/>
          </w:tcPr>
          <w:p>
            <w:pPr>
              <w:pStyle w:val="TableContents"/>
              <w:bidi w:val="0"/>
              <w:spacing w:before="0" w:after="283"/>
              <w:jc w:val="left"/>
              <w:rPr/>
            </w:pPr>
            <w:r>
              <w:rPr/>
              <w:t> </w:t>
            </w:r>
          </w:p>
        </w:tc>
        <w:tc>
          <w:tcPr>
            <w:tcW w:w="787"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2423"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(2,339</w:t>
            </w:r>
          </w:p>
        </w:tc>
        <w:tc>
          <w:tcPr>
            <w:tcW w:w="16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979"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2232" w:type="dxa"/>
            <w:tcBorders/>
            <w:shd w:fill="CFF0FC" w:val="clear"/>
            <w:vAlign w:val="center"/>
          </w:tcPr>
          <w:p>
            <w:pPr>
              <w:pStyle w:val="TableContents"/>
              <w:bidi w:val="0"/>
              <w:spacing w:before="0" w:after="283"/>
              <w:jc w:val="right"/>
              <w:rPr>
                <w:color w:val="000000"/>
              </w:rPr>
            </w:pPr>
            <w:r>
              <w:rPr>
                <w:color w:val="000000"/>
              </w:rPr>
              <w:t>—</w:t>
            </w:r>
          </w:p>
        </w:tc>
        <w:tc>
          <w:tcPr>
            <w:tcW w:w="213" w:type="dxa"/>
            <w:tcBorders/>
            <w:shd w:fill="CFF0FC" w:val="clear"/>
            <w:vAlign w:val="center"/>
          </w:tcPr>
          <w:p>
            <w:pPr>
              <w:pStyle w:val="TableContents"/>
              <w:bidi w:val="0"/>
              <w:spacing w:before="0" w:after="283"/>
              <w:jc w:val="left"/>
              <w:rPr/>
            </w:pPr>
            <w:r>
              <w:rPr/>
              <w:t> </w:t>
            </w:r>
          </w:p>
        </w:tc>
      </w:tr>
      <w:tr>
        <w:trPr/>
        <w:tc>
          <w:tcPr>
            <w:tcW w:w="3113"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Transaction fees</w:t>
            </w:r>
          </w:p>
        </w:tc>
        <w:tc>
          <w:tcPr>
            <w:tcW w:w="146"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left"/>
              <w:rPr/>
            </w:pPr>
            <w:r>
              <w:rPr/>
              <w:t> </w:t>
            </w:r>
          </w:p>
        </w:tc>
        <w:tc>
          <w:tcPr>
            <w:tcW w:w="2423"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(3,623</w:t>
            </w:r>
          </w:p>
        </w:tc>
        <w:tc>
          <w:tcPr>
            <w:tcW w:w="16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979" w:type="dxa"/>
            <w:tcBorders/>
            <w:shd w:fill="FFFFFF" w:val="clear"/>
            <w:vAlign w:val="center"/>
          </w:tcPr>
          <w:p>
            <w:pPr>
              <w:pStyle w:val="TableContents"/>
              <w:bidi w:val="0"/>
              <w:spacing w:before="0" w:after="283"/>
              <w:jc w:val="left"/>
              <w:rPr/>
            </w:pPr>
            <w:r>
              <w:rPr/>
              <w:t> </w:t>
            </w:r>
          </w:p>
        </w:tc>
        <w:tc>
          <w:tcPr>
            <w:tcW w:w="2232" w:type="dxa"/>
            <w:tcBorders/>
            <w:shd w:fill="FFFFFF" w:val="clear"/>
            <w:vAlign w:val="center"/>
          </w:tcPr>
          <w:p>
            <w:pPr>
              <w:pStyle w:val="TableContents"/>
              <w:bidi w:val="0"/>
              <w:spacing w:before="0" w:after="283"/>
              <w:jc w:val="right"/>
              <w:rPr>
                <w:color w:val="000000"/>
              </w:rPr>
            </w:pPr>
            <w:r>
              <w:rPr>
                <w:color w:val="000000"/>
              </w:rPr>
              <w:t>—</w:t>
            </w:r>
          </w:p>
        </w:tc>
        <w:tc>
          <w:tcPr>
            <w:tcW w:w="213" w:type="dxa"/>
            <w:tcBorders/>
            <w:shd w:fill="FFFFFF" w:val="clear"/>
            <w:vAlign w:val="center"/>
          </w:tcPr>
          <w:p>
            <w:pPr>
              <w:pStyle w:val="TableContents"/>
              <w:bidi w:val="0"/>
              <w:spacing w:before="0" w:after="283"/>
              <w:jc w:val="left"/>
              <w:rPr/>
            </w:pPr>
            <w:r>
              <w:rPr/>
              <w:t> </w:t>
            </w:r>
          </w:p>
        </w:tc>
      </w:tr>
      <w:tr>
        <w:trPr/>
        <w:tc>
          <w:tcPr>
            <w:tcW w:w="3113"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Other, net</w:t>
            </w:r>
          </w:p>
        </w:tc>
        <w:tc>
          <w:tcPr>
            <w:tcW w:w="146" w:type="dxa"/>
            <w:tcBorders/>
            <w:shd w:fill="CFF0FC" w:val="clear"/>
            <w:vAlign w:val="center"/>
          </w:tcPr>
          <w:p>
            <w:pPr>
              <w:pStyle w:val="TableContents"/>
              <w:bidi w:val="0"/>
              <w:spacing w:before="0" w:after="283"/>
              <w:jc w:val="left"/>
              <w:rPr/>
            </w:pPr>
            <w:r>
              <w:rPr/>
              <w:t> </w:t>
            </w:r>
          </w:p>
        </w:tc>
        <w:tc>
          <w:tcPr>
            <w:tcW w:w="787" w:type="dxa"/>
            <w:tcBorders/>
            <w:shd w:fill="CFF0FC" w:val="clear"/>
            <w:vAlign w:val="center"/>
          </w:tcPr>
          <w:p>
            <w:pPr>
              <w:pStyle w:val="TableContents"/>
              <w:bidi w:val="0"/>
              <w:spacing w:before="0" w:after="283"/>
              <w:jc w:val="left"/>
              <w:rPr/>
            </w:pPr>
            <w:r>
              <w:rPr/>
              <w:t> </w:t>
            </w:r>
          </w:p>
        </w:tc>
        <w:tc>
          <w:tcPr>
            <w:tcW w:w="2423"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(256</w:t>
            </w:r>
          </w:p>
        </w:tc>
        <w:tc>
          <w:tcPr>
            <w:tcW w:w="16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979" w:type="dxa"/>
            <w:tcBorders/>
            <w:shd w:fill="CFF0FC" w:val="clear"/>
            <w:vAlign w:val="center"/>
          </w:tcPr>
          <w:p>
            <w:pPr>
              <w:pStyle w:val="TableContents"/>
              <w:bidi w:val="0"/>
              <w:spacing w:before="0" w:after="283"/>
              <w:jc w:val="left"/>
              <w:rPr/>
            </w:pPr>
            <w:r>
              <w:rPr/>
              <w:t> </w:t>
            </w:r>
          </w:p>
        </w:tc>
        <w:tc>
          <w:tcPr>
            <w:tcW w:w="2232"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(209</w:t>
            </w:r>
          </w:p>
        </w:tc>
        <w:tc>
          <w:tcPr>
            <w:tcW w:w="213"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3113"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Interest income</w:t>
            </w:r>
          </w:p>
        </w:tc>
        <w:tc>
          <w:tcPr>
            <w:tcW w:w="146" w:type="dxa"/>
            <w:tcBorders/>
            <w:shd w:fill="FFFFFF" w:val="clear"/>
            <w:vAlign w:val="center"/>
          </w:tcPr>
          <w:p>
            <w:pPr>
              <w:pStyle w:val="TableContents"/>
              <w:bidi w:val="0"/>
              <w:spacing w:before="0" w:after="283"/>
              <w:jc w:val="left"/>
              <w:rPr/>
            </w:pPr>
            <w:r>
              <w:rPr/>
              <w:t> </w:t>
            </w:r>
          </w:p>
        </w:tc>
        <w:tc>
          <w:tcPr>
            <w:tcW w:w="7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13"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Other expense, net</w:t>
            </w:r>
          </w:p>
        </w:tc>
        <w:tc>
          <w:tcPr>
            <w:tcW w:w="146" w:type="dxa"/>
            <w:tcBorders/>
            <w:shd w:fill="CFF0FC" w:val="clear"/>
            <w:vAlign w:val="center"/>
          </w:tcPr>
          <w:p>
            <w:pPr>
              <w:pStyle w:val="TableContents"/>
              <w:bidi w:val="0"/>
              <w:spacing w:before="0" w:after="283"/>
              <w:jc w:val="left"/>
              <w:rPr/>
            </w:pPr>
            <w:r>
              <w:rPr/>
              <w:t> </w:t>
            </w:r>
          </w:p>
        </w:tc>
        <w:tc>
          <w:tcPr>
            <w:tcW w:w="7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24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(6,170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9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2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(209</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r>
    </w:tbl>
    <w:p>
      <w:pPr>
        <w:pStyle w:val="TextBody"/>
        <w:bidi w:val="0"/>
        <w:jc w:val="left"/>
        <w:rPr/>
      </w:pPr>
      <w:r>
        <w:rPr/>
        <w:t> </w:t>
      </w:r>
    </w:p>
    <w:p>
      <w:pPr>
        <w:pStyle w:val="TextBody"/>
        <w:bidi w:val="0"/>
        <w:spacing w:before="240" w:after="283"/>
        <w:jc w:val="both"/>
        <w:rPr>
          <w:rFonts w:ascii="Arial" w:hAnsi="Arial"/>
          <w:b/>
          <w:color w:val="000000"/>
          <w:sz w:val="20"/>
        </w:rPr>
      </w:pPr>
      <w:r>
        <w:rPr>
          <w:rFonts w:ascii="Arial" w:hAnsi="Arial"/>
          <w:b/>
          <w:color w:val="000000"/>
          <w:sz w:val="20"/>
        </w:rPr>
        <w:t>NOTE 11 – RELATED PARTY TRANSACTIONS</w:t>
      </w:r>
    </w:p>
    <w:p>
      <w:pPr>
        <w:pStyle w:val="TextBody"/>
        <w:bidi w:val="0"/>
        <w:jc w:val="left"/>
        <w:rPr/>
      </w:pPr>
      <w:r>
        <w:rPr/>
        <w:t> </w:t>
      </w:r>
    </w:p>
    <w:p>
      <w:pPr>
        <w:pStyle w:val="TextBody"/>
        <w:bidi w:val="0"/>
        <w:jc w:val="both"/>
        <w:rPr>
          <w:rFonts w:ascii="Arial" w:hAnsi="Arial"/>
          <w:b/>
          <w:i/>
          <w:color w:val="000000"/>
          <w:sz w:val="20"/>
        </w:rPr>
      </w:pPr>
      <w:r>
        <w:rPr>
          <w:rFonts w:ascii="Arial" w:hAnsi="Arial"/>
          <w:b/>
          <w:i/>
          <w:color w:val="000000"/>
          <w:sz w:val="20"/>
        </w:rPr>
        <w:t>Management fees</w:t>
      </w:r>
    </w:p>
    <w:p>
      <w:pPr>
        <w:pStyle w:val="TextBody"/>
        <w:bidi w:val="0"/>
        <w:jc w:val="both"/>
        <w:rPr>
          <w:rFonts w:ascii="Times New Roman" w:hAnsi="Times New Roman"/>
          <w:sz w:val="20"/>
        </w:rPr>
      </w:pPr>
      <w:r>
        <w:rPr>
          <w:rFonts w:ascii="Arial" w:hAnsi="Arial"/>
          <w:b w:val="false"/>
          <w:color w:val="000000"/>
          <w:sz w:val="20"/>
        </w:rPr>
        <w:t>For the three months ended September 30, 2023 and 2022, management fees paid to Hicks Holdings Operating LLC, a shareholder of the Company, were approximately $0.3</w:t>
      </w:r>
      <w:r>
        <w:rPr>
          <w:rFonts w:ascii="Times New Roman" w:hAnsi="Times New Roman"/>
          <w:color w:val="000000"/>
          <w:sz w:val="20"/>
        </w:rPr>
        <w:t xml:space="preserve"> </w:t>
      </w:r>
      <w:r>
        <w:rPr>
          <w:rFonts w:ascii="Arial" w:hAnsi="Arial"/>
          <w:b w:val="false"/>
          <w:color w:val="000000"/>
          <w:sz w:val="20"/>
        </w:rPr>
        <w:t>million</w:t>
      </w:r>
      <w:r>
        <w:rPr>
          <w:rFonts w:ascii="Times New Roman" w:hAnsi="Times New Roman"/>
          <w:color w:val="000000"/>
          <w:sz w:val="20"/>
        </w:rPr>
        <w:t xml:space="preserve"> </w:t>
      </w:r>
      <w:r>
        <w:rPr>
          <w:rFonts w:ascii="Arial" w:hAnsi="Arial"/>
          <w:b w:val="false"/>
          <w:color w:val="000000"/>
          <w:sz w:val="20"/>
        </w:rPr>
        <w:t>and $0.2</w:t>
      </w:r>
      <w:r>
        <w:rPr>
          <w:rFonts w:ascii="Times New Roman" w:hAnsi="Times New Roman"/>
          <w:color w:val="000000"/>
          <w:sz w:val="20"/>
        </w:rPr>
        <w:t xml:space="preserve"> </w:t>
      </w:r>
      <w:r>
        <w:rPr>
          <w:rFonts w:ascii="Arial" w:hAnsi="Arial"/>
          <w:b w:val="false"/>
          <w:color w:val="000000"/>
          <w:sz w:val="20"/>
        </w:rPr>
        <w:t>million, respectively. For the nine months ended September 30, 2023 and 2022, management fees paid to Hicks Holdings Operating LLC were approximately $0.9</w:t>
      </w:r>
      <w:r>
        <w:rPr>
          <w:rFonts w:ascii="Times New Roman" w:hAnsi="Times New Roman"/>
          <w:color w:val="000000"/>
          <w:sz w:val="20"/>
        </w:rPr>
        <w:t xml:space="preserve"> </w:t>
      </w:r>
      <w:r>
        <w:rPr>
          <w:rFonts w:ascii="Arial" w:hAnsi="Arial"/>
          <w:b w:val="false"/>
          <w:color w:val="000000"/>
          <w:sz w:val="20"/>
        </w:rPr>
        <w:t>million</w:t>
      </w:r>
      <w:r>
        <w:rPr>
          <w:rFonts w:ascii="Times New Roman" w:hAnsi="Times New Roman"/>
          <w:color w:val="000000"/>
          <w:sz w:val="20"/>
        </w:rPr>
        <w:t xml:space="preserve"> </w:t>
      </w:r>
      <w:r>
        <w:rPr>
          <w:rFonts w:ascii="Arial" w:hAnsi="Arial"/>
          <w:b w:val="false"/>
          <w:color w:val="000000"/>
          <w:sz w:val="20"/>
        </w:rPr>
        <w:t>and $0.4</w:t>
      </w:r>
      <w:r>
        <w:rPr>
          <w:rFonts w:ascii="Times New Roman" w:hAnsi="Times New Roman"/>
          <w:color w:val="000000"/>
          <w:sz w:val="20"/>
        </w:rPr>
        <w:t xml:space="preserve"> </w:t>
      </w:r>
      <w:r>
        <w:rPr>
          <w:rFonts w:ascii="Arial" w:hAnsi="Arial"/>
          <w:b w:val="false"/>
          <w:color w:val="000000"/>
          <w:sz w:val="20"/>
        </w:rPr>
        <w:t>million, respectively. Management fees paid to a shareholder are included in selling, general and administrative expense in the accompanying unaudited condensed consolidated statements of income and comprehensive income.</w:t>
      </w:r>
    </w:p>
    <w:p>
      <w:pPr>
        <w:pStyle w:val="TextBody"/>
        <w:bidi w:val="0"/>
        <w:jc w:val="both"/>
        <w:rPr/>
      </w:pPr>
      <w:r>
        <w:rPr/>
        <w:t> </w:t>
      </w:r>
    </w:p>
    <w:p>
      <w:pPr>
        <w:pStyle w:val="TextBody"/>
        <w:bidi w:val="0"/>
        <w:jc w:val="both"/>
        <w:rPr>
          <w:rFonts w:ascii="Arial" w:hAnsi="Arial"/>
          <w:b/>
          <w:i/>
          <w:color w:val="000000"/>
          <w:sz w:val="20"/>
        </w:rPr>
      </w:pPr>
      <w:r>
        <w:rPr>
          <w:rFonts w:ascii="Arial" w:hAnsi="Arial"/>
          <w:b/>
          <w:i/>
          <w:color w:val="000000"/>
          <w:sz w:val="20"/>
        </w:rPr>
        <w:t>Leases</w:t>
      </w:r>
    </w:p>
    <w:p>
      <w:pPr>
        <w:pStyle w:val="TextBody"/>
        <w:bidi w:val="0"/>
        <w:jc w:val="both"/>
        <w:rPr>
          <w:rFonts w:ascii="Times New Roman" w:hAnsi="Times New Roman"/>
          <w:sz w:val="20"/>
        </w:rPr>
      </w:pPr>
      <w:r>
        <w:rPr>
          <w:rFonts w:ascii="Arial" w:hAnsi="Arial"/>
          <w:b w:val="false"/>
          <w:color w:val="000000"/>
          <w:sz w:val="20"/>
        </w:rPr>
        <w:t>For the three months ended September 30, 2023 and 2022, the Company paid rent expense to Cree Investments, LLC, a shareholder of the Company, of approximately $13</w:t>
      </w:r>
      <w:r>
        <w:rPr>
          <w:rFonts w:ascii="Times New Roman" w:hAnsi="Times New Roman"/>
          <w:color w:val="000000"/>
          <w:sz w:val="20"/>
        </w:rPr>
        <w:t xml:space="preserve"> </w:t>
      </w:r>
      <w:r>
        <w:rPr>
          <w:rFonts w:ascii="Arial" w:hAnsi="Arial"/>
          <w:b w:val="false"/>
          <w:color w:val="000000"/>
          <w:sz w:val="20"/>
        </w:rPr>
        <w:t>thousand</w:t>
      </w:r>
      <w:r>
        <w:rPr>
          <w:rFonts w:ascii="Times New Roman" w:hAnsi="Times New Roman"/>
          <w:color w:val="000000"/>
          <w:sz w:val="20"/>
        </w:rPr>
        <w:t xml:space="preserve"> </w:t>
      </w:r>
      <w:r>
        <w:rPr>
          <w:rFonts w:ascii="Arial" w:hAnsi="Arial"/>
          <w:b w:val="false"/>
          <w:color w:val="000000"/>
          <w:sz w:val="20"/>
        </w:rPr>
        <w:t>and $13</w:t>
      </w:r>
      <w:r>
        <w:rPr>
          <w:rFonts w:ascii="Times New Roman" w:hAnsi="Times New Roman"/>
          <w:color w:val="000000"/>
          <w:sz w:val="20"/>
        </w:rPr>
        <w:t xml:space="preserve"> </w:t>
      </w:r>
      <w:r>
        <w:rPr>
          <w:rFonts w:ascii="Arial" w:hAnsi="Arial"/>
          <w:b w:val="false"/>
          <w:color w:val="000000"/>
          <w:sz w:val="20"/>
        </w:rPr>
        <w:t>thousand, respectively, relating to the lease of a building. For the nine months ended September 30, 2023 and 2022, the Company paid rent expense to Cree Investments, LLC of approximately $38</w:t>
      </w:r>
      <w:r>
        <w:rPr>
          <w:rFonts w:ascii="Times New Roman" w:hAnsi="Times New Roman"/>
          <w:color w:val="000000"/>
          <w:sz w:val="20"/>
        </w:rPr>
        <w:t xml:space="preserve"> </w:t>
      </w:r>
      <w:r>
        <w:rPr>
          <w:rFonts w:ascii="Arial" w:hAnsi="Arial"/>
          <w:b w:val="false"/>
          <w:color w:val="000000"/>
          <w:sz w:val="20"/>
        </w:rPr>
        <w:t>thousand</w:t>
      </w:r>
      <w:r>
        <w:rPr>
          <w:rFonts w:ascii="Times New Roman" w:hAnsi="Times New Roman"/>
          <w:color w:val="000000"/>
          <w:sz w:val="20"/>
        </w:rPr>
        <w:t xml:space="preserve"> </w:t>
      </w:r>
      <w:r>
        <w:rPr>
          <w:rFonts w:ascii="Arial" w:hAnsi="Arial"/>
          <w:b w:val="false"/>
          <w:color w:val="000000"/>
          <w:sz w:val="20"/>
        </w:rPr>
        <w:t>and $38</w:t>
      </w:r>
      <w:r>
        <w:rPr>
          <w:rFonts w:ascii="Times New Roman" w:hAnsi="Times New Roman"/>
          <w:color w:val="000000"/>
          <w:sz w:val="20"/>
        </w:rPr>
        <w:t xml:space="preserve"> </w:t>
      </w:r>
      <w:r>
        <w:rPr>
          <w:rFonts w:ascii="Arial" w:hAnsi="Arial"/>
          <w:b w:val="false"/>
          <w:color w:val="000000"/>
          <w:sz w:val="20"/>
        </w:rPr>
        <w:t xml:space="preserve">thousand, respectively, relating to the lease of a building. Future minimum lease payments related to this lease are included in the future minimum lease schedule in Note 12 - </w:t>
      </w:r>
      <w:r>
        <w:rPr>
          <w:rFonts w:ascii="Arial" w:hAnsi="Arial"/>
          <w:b w:val="false"/>
          <w:i/>
          <w:color w:val="000000"/>
          <w:sz w:val="20"/>
        </w:rPr>
        <w:t>Leases</w:t>
      </w:r>
      <w:r>
        <w:rPr>
          <w:rFonts w:ascii="Arial" w:hAnsi="Arial"/>
          <w:b w:val="false"/>
          <w:color w:val="000000"/>
          <w:sz w:val="20"/>
        </w:rPr>
        <w:t>.</w:t>
      </w:r>
    </w:p>
    <w:p>
      <w:pPr>
        <w:pStyle w:val="TextBody"/>
        <w:bidi w:val="0"/>
        <w:jc w:val="both"/>
        <w:rPr/>
      </w:pPr>
      <w:r>
        <w:rPr/>
        <w:t> </w:t>
      </w:r>
    </w:p>
    <w:p>
      <w:pPr>
        <w:pStyle w:val="TextBody"/>
        <w:bidi w:val="0"/>
        <w:jc w:val="both"/>
        <w:rPr>
          <w:rFonts w:ascii="Arial" w:hAnsi="Arial"/>
          <w:b/>
          <w:i/>
          <w:color w:val="000000"/>
          <w:sz w:val="20"/>
        </w:rPr>
      </w:pPr>
      <w:r>
        <w:rPr>
          <w:rFonts w:ascii="Arial" w:hAnsi="Arial"/>
          <w:b/>
          <w:i/>
          <w:color w:val="000000"/>
          <w:sz w:val="20"/>
        </w:rPr>
        <w:t>Tools</w:t>
      </w:r>
    </w:p>
    <w:p>
      <w:pPr>
        <w:pStyle w:val="TextBody"/>
        <w:bidi w:val="0"/>
        <w:jc w:val="both"/>
        <w:rPr>
          <w:rFonts w:ascii="Times New Roman" w:hAnsi="Times New Roman"/>
          <w:sz w:val="20"/>
        </w:rPr>
      </w:pPr>
      <w:r>
        <w:rPr>
          <w:rFonts w:ascii="Arial" w:hAnsi="Arial"/>
          <w:b w:val="false"/>
          <w:color w:val="000000"/>
          <w:sz w:val="20"/>
        </w:rPr>
        <w:t>For the three and nine months ended September 30, 2022, the Company paid $4.0</w:t>
      </w:r>
      <w:r>
        <w:rPr>
          <w:rFonts w:ascii="Times New Roman" w:hAnsi="Times New Roman"/>
          <w:color w:val="000000"/>
          <w:sz w:val="20"/>
        </w:rPr>
        <w:t xml:space="preserve"> </w:t>
      </w:r>
      <w:r>
        <w:rPr>
          <w:rFonts w:ascii="Arial" w:hAnsi="Arial"/>
          <w:b w:val="false"/>
          <w:color w:val="000000"/>
          <w:sz w:val="20"/>
        </w:rPr>
        <w:t>thousand</w:t>
      </w:r>
      <w:r>
        <w:rPr>
          <w:rFonts w:ascii="Times New Roman" w:hAnsi="Times New Roman"/>
          <w:color w:val="000000"/>
          <w:sz w:val="20"/>
        </w:rPr>
        <w:t xml:space="preserve"> </w:t>
      </w:r>
      <w:r>
        <w:rPr>
          <w:rFonts w:ascii="Arial" w:hAnsi="Arial"/>
          <w:b w:val="false"/>
          <w:color w:val="000000"/>
          <w:sz w:val="20"/>
        </w:rPr>
        <w:t>to Heath Woodrum, a shareholder of the Company, for tools.</w:t>
      </w:r>
    </w:p>
    <w:p>
      <w:pPr>
        <w:pStyle w:val="TextBody"/>
        <w:bidi w:val="0"/>
        <w:jc w:val="both"/>
        <w:rPr/>
      </w:pPr>
      <w:r>
        <w:rPr/>
        <w:t> </w:t>
      </w:r>
    </w:p>
    <w:p>
      <w:pPr>
        <w:pStyle w:val="TextBody"/>
        <w:bidi w:val="0"/>
        <w:jc w:val="both"/>
        <w:rPr>
          <w:rFonts w:ascii="Arial" w:hAnsi="Arial"/>
          <w:b/>
          <w:i/>
          <w:color w:val="000000"/>
          <w:sz w:val="20"/>
        </w:rPr>
      </w:pPr>
      <w:r>
        <w:rPr>
          <w:rFonts w:ascii="Arial" w:hAnsi="Arial"/>
          <w:b/>
          <w:i/>
          <w:color w:val="000000"/>
          <w:sz w:val="20"/>
        </w:rPr>
        <w:t>Promissory Notes</w:t>
      </w:r>
    </w:p>
    <w:p>
      <w:pPr>
        <w:pStyle w:val="TextBody"/>
        <w:bidi w:val="0"/>
        <w:jc w:val="both"/>
        <w:rPr>
          <w:rFonts w:ascii="Times New Roman" w:hAnsi="Times New Roman"/>
          <w:sz w:val="20"/>
        </w:rPr>
      </w:pPr>
      <w:r>
        <w:rPr>
          <w:rFonts w:ascii="Arial" w:hAnsi="Arial"/>
          <w:b w:val="false"/>
          <w:color w:val="000000"/>
          <w:sz w:val="20"/>
        </w:rPr>
        <w:t>Upon consummation of the Merger on June 20, 2023, the Company issued shares of DTIC Common Stock in connection with the PIPE Financing to payoff convertible promissory notes which were issued to an affiliate of the ROC Sponsor on December 6, 2022 and March 2, 2023, respectively. The notes did not bear interest and were in the amounts of $2.1</w:t>
      </w:r>
      <w:r>
        <w:rPr>
          <w:rFonts w:ascii="Times New Roman" w:hAnsi="Times New Roman"/>
          <w:color w:val="000000"/>
          <w:sz w:val="20"/>
        </w:rPr>
        <w:t xml:space="preserve"> </w:t>
      </w:r>
      <w:r>
        <w:rPr>
          <w:rFonts w:ascii="Arial" w:hAnsi="Arial"/>
          <w:b w:val="false"/>
          <w:color w:val="000000"/>
          <w:sz w:val="20"/>
        </w:rPr>
        <w:t>million</w:t>
      </w:r>
      <w:r>
        <w:rPr>
          <w:rFonts w:ascii="Times New Roman" w:hAnsi="Times New Roman"/>
          <w:color w:val="000000"/>
          <w:sz w:val="20"/>
        </w:rPr>
        <w:t xml:space="preserve"> </w:t>
      </w:r>
      <w:r>
        <w:rPr>
          <w:rFonts w:ascii="Arial" w:hAnsi="Arial"/>
          <w:b w:val="false"/>
          <w:color w:val="000000"/>
          <w:sz w:val="20"/>
        </w:rPr>
        <w:t>and $2.1</w:t>
      </w:r>
      <w:r>
        <w:rPr>
          <w:rFonts w:ascii="Times New Roman" w:hAnsi="Times New Roman"/>
          <w:color w:val="000000"/>
          <w:sz w:val="20"/>
        </w:rPr>
        <w:t xml:space="preserve"> </w:t>
      </w:r>
      <w:r>
        <w:rPr>
          <w:rFonts w:ascii="Arial" w:hAnsi="Arial"/>
          <w:b w:val="false"/>
          <w:color w:val="000000"/>
          <w:sz w:val="20"/>
        </w:rPr>
        <w:t>million, respectively.</w:t>
      </w:r>
    </w:p>
    <w:p>
      <w:pPr>
        <w:pStyle w:val="TextBody"/>
        <w:bidi w:val="0"/>
        <w:jc w:val="both"/>
        <w:rPr>
          <w:rFonts w:ascii="Arial" w:hAnsi="Arial"/>
          <w:b/>
          <w:i/>
          <w:color w:val="000000"/>
          <w:sz w:val="20"/>
        </w:rPr>
      </w:pPr>
      <w:r>
        <w:rPr>
          <w:rFonts w:ascii="Arial" w:hAnsi="Arial"/>
          <w:b/>
          <w:i/>
          <w:color w:val="000000"/>
          <w:sz w:val="20"/>
        </w:rPr>
        <w:t>Working Capital Loan</w:t>
      </w:r>
    </w:p>
    <w:p>
      <w:pPr>
        <w:pStyle w:val="TextBody"/>
        <w:bidi w:val="0"/>
        <w:jc w:val="both"/>
        <w:rPr>
          <w:rFonts w:ascii="Times New Roman" w:hAnsi="Times New Roman"/>
          <w:sz w:val="20"/>
        </w:rPr>
      </w:pPr>
      <w:r>
        <w:rPr>
          <w:rFonts w:ascii="Arial" w:hAnsi="Arial"/>
          <w:b w:val="false"/>
          <w:color w:val="000000"/>
          <w:sz w:val="20"/>
        </w:rPr>
        <w:t>Prior to the Merger on June 20, 2023, ROC paid the remaining outstanding principal amount owed to an affiliate of the ROC Sponsor in the amount of $0.4</w:t>
      </w:r>
      <w:r>
        <w:rPr>
          <w:rFonts w:ascii="Times New Roman" w:hAnsi="Times New Roman"/>
          <w:color w:val="000000"/>
          <w:sz w:val="20"/>
        </w:rPr>
        <w:t xml:space="preserve"> </w:t>
      </w:r>
      <w:r>
        <w:rPr>
          <w:rFonts w:ascii="Arial" w:hAnsi="Arial"/>
          <w:b w:val="false"/>
          <w:color w:val="000000"/>
          <w:sz w:val="20"/>
        </w:rPr>
        <w:t>million</w:t>
      </w:r>
      <w:r>
        <w:rPr>
          <w:rFonts w:ascii="Times New Roman" w:hAnsi="Times New Roman"/>
          <w:color w:val="000000"/>
          <w:sz w:val="20"/>
        </w:rPr>
        <w:t xml:space="preserve"> </w:t>
      </w:r>
      <w:r>
        <w:rPr>
          <w:rFonts w:ascii="Arial" w:hAnsi="Arial"/>
          <w:b w:val="false"/>
          <w:color w:val="000000"/>
          <w:sz w:val="20"/>
        </w:rPr>
        <w:t>for a loan to fund working capital deficiencies or finance transaction costs in connection with the Merger. The loan did not bear interest.</w:t>
      </w:r>
    </w:p>
    <w:p>
      <w:pPr>
        <w:pStyle w:val="TextBody"/>
        <w:bidi w:val="0"/>
        <w:spacing w:before="240" w:after="283"/>
        <w:jc w:val="both"/>
        <w:rPr>
          <w:rFonts w:ascii="Arial" w:hAnsi="Arial"/>
          <w:b/>
          <w:color w:val="000000"/>
          <w:sz w:val="20"/>
        </w:rPr>
      </w:pPr>
      <w:r>
        <w:rPr>
          <w:rFonts w:ascii="Arial" w:hAnsi="Arial"/>
          <w:b/>
          <w:color w:val="000000"/>
          <w:sz w:val="20"/>
        </w:rPr>
        <w:t>NOTE 12 – LEASES</w:t>
      </w:r>
    </w:p>
    <w:p>
      <w:pPr>
        <w:pStyle w:val="TextBody"/>
        <w:bidi w:val="0"/>
        <w:spacing w:before="240" w:after="283"/>
        <w:jc w:val="both"/>
        <w:rPr>
          <w:rFonts w:ascii="Times New Roman" w:hAnsi="Times New Roman"/>
          <w:sz w:val="20"/>
        </w:rPr>
      </w:pPr>
      <w:r>
        <w:rPr>
          <w:rFonts w:ascii="Arial" w:hAnsi="Arial"/>
          <w:b w:val="false"/>
          <w:color w:val="000000"/>
          <w:sz w:val="20"/>
        </w:rPr>
        <w:t>The Company leases various facilities and vehicles under noncancelable operating lease agreements. The remaining lease terms for our leases range from 1</w:t>
      </w:r>
      <w:r>
        <w:rPr>
          <w:rFonts w:ascii="Arial" w:hAnsi="Arial"/>
          <w:color w:val="000000"/>
          <w:sz w:val="20"/>
        </w:rPr>
        <w:t xml:space="preserve"> </w:t>
      </w:r>
      <w:r>
        <w:rPr>
          <w:rFonts w:ascii="Arial" w:hAnsi="Arial"/>
          <w:b w:val="false"/>
          <w:color w:val="000000"/>
          <w:sz w:val="20"/>
        </w:rPr>
        <w:t>month to 14</w:t>
      </w:r>
      <w:r>
        <w:rPr>
          <w:rFonts w:ascii="Arial" w:hAnsi="Arial"/>
          <w:color w:val="000000"/>
          <w:sz w:val="20"/>
        </w:rPr>
        <w:t xml:space="preserve"> </w:t>
      </w:r>
      <w:r>
        <w:rPr>
          <w:rFonts w:ascii="Arial" w:hAnsi="Arial"/>
          <w:b w:val="false"/>
          <w:color w:val="000000"/>
          <w:sz w:val="20"/>
        </w:rPr>
        <w:t>years.</w:t>
      </w:r>
      <w:r>
        <w:rPr>
          <w:rFonts w:ascii="Times New Roman" w:hAnsi="Times New Roman"/>
          <w:color w:val="000000"/>
          <w:sz w:val="20"/>
        </w:rPr>
        <w:t xml:space="preserve"> </w:t>
      </w:r>
      <w:r>
        <w:rPr>
          <w:rFonts w:ascii="Arial" w:hAnsi="Arial"/>
          <w:b w:val="false"/>
          <w:color w:val="000000"/>
          <w:sz w:val="20"/>
        </w:rPr>
        <w:t>These leases often include options</w:t>
      </w:r>
      <w:r>
        <w:rPr>
          <w:rFonts w:ascii="Arial" w:hAnsi="Arial"/>
          <w:color w:val="000000"/>
          <w:sz w:val="20"/>
        </w:rPr>
        <w:t xml:space="preserve"> </w:t>
      </w:r>
      <w:r>
        <w:rPr>
          <w:rFonts w:ascii="Arial" w:hAnsi="Arial"/>
          <w:b w:val="false"/>
          <w:color w:val="000000"/>
          <w:sz w:val="20"/>
        </w:rPr>
        <w:t>to extend the term of the lease which may be for periods of up to</w:t>
      </w:r>
      <w:r>
        <w:rPr>
          <w:rFonts w:ascii="Arial" w:hAnsi="Arial"/>
          <w:color w:val="000000"/>
          <w:sz w:val="20"/>
        </w:rPr>
        <w:t xml:space="preserve"> </w:t>
      </w:r>
      <w:r>
        <w:rPr>
          <w:rFonts w:ascii="Arial" w:hAnsi="Arial"/>
          <w:b w:val="false"/>
          <w:color w:val="000000"/>
          <w:sz w:val="20"/>
        </w:rPr>
        <w:t>5</w:t>
      </w:r>
      <w:r>
        <w:rPr>
          <w:rFonts w:ascii="Arial" w:hAnsi="Arial"/>
          <w:color w:val="000000"/>
          <w:sz w:val="20"/>
        </w:rPr>
        <w:t xml:space="preserve"> </w:t>
      </w:r>
      <w:r>
        <w:rPr>
          <w:rFonts w:ascii="Arial" w:hAnsi="Arial"/>
          <w:b w:val="false"/>
          <w:color w:val="000000"/>
          <w:sz w:val="20"/>
        </w:rPr>
        <w:t>years.</w:t>
      </w:r>
      <w:r>
        <w:rPr>
          <w:rFonts w:ascii="Times New Roman" w:hAnsi="Times New Roman"/>
          <w:color w:val="000000"/>
          <w:sz w:val="20"/>
        </w:rPr>
        <w:t xml:space="preserve"> </w:t>
      </w:r>
      <w:r>
        <w:rPr>
          <w:rFonts w:ascii="Arial" w:hAnsi="Arial"/>
          <w:b w:val="false"/>
          <w:color w:val="000000"/>
          <w:sz w:val="20"/>
        </w:rPr>
        <w:t>When it is reasonably certain that the option will be exercised, the impact of the renewal term is included in the lease term for purposes of determining total future lease payments and measuring the ROU asset and lease liability. We apply the short-term lease policy election, which allows us to exclude from recognition leases with an original term of 12 months or less. We have not entered into any finance leases as of September 30, 2023.</w:t>
      </w:r>
    </w:p>
    <w:p>
      <w:pPr>
        <w:pStyle w:val="TextBody"/>
        <w:bidi w:val="0"/>
        <w:jc w:val="center"/>
        <w:rPr/>
      </w:pPr>
      <w:r>
        <w:rPr/>
        <w:t> </w:t>
      </w:r>
    </w:p>
    <w:p>
      <w:pPr>
        <w:pStyle w:val="TextBody"/>
        <w:bidi w:val="0"/>
        <w:jc w:val="center"/>
        <w:rPr>
          <w:rFonts w:ascii="Arial" w:hAnsi="Arial"/>
          <w:b w:val="false"/>
          <w:color w:val="000000"/>
          <w:sz w:val="20"/>
        </w:rPr>
      </w:pPr>
      <w:r>
        <w:rPr>
          <w:rFonts w:ascii="Arial" w:hAnsi="Arial"/>
          <w:b w:val="false"/>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b w:val="false"/>
          <w:color w:val="000000"/>
          <w:sz w:val="20"/>
        </w:rPr>
      </w:pPr>
      <w:r>
        <w:rPr>
          <w:rFonts w:ascii="Arial" w:hAnsi="Arial"/>
          <w:b w:val="false"/>
          <w:color w:val="000000"/>
          <w:sz w:val="20"/>
        </w:rPr>
        <w:t>For the three and nine months ended September 30, 2023, the components of the Company’s lease expense were as follows (in thousands):</w:t>
      </w:r>
    </w:p>
    <w:p>
      <w:pPr>
        <w:pStyle w:val="TextBody"/>
        <w:bidi w:val="0"/>
        <w:jc w:val="both"/>
        <w:rPr/>
      </w:pPr>
      <w:r>
        <w:rPr/>
        <w:t> </w:t>
      </w:r>
    </w:p>
    <w:tbl>
      <w:tblPr>
        <w:tblW w:w="9415" w:type="dxa"/>
        <w:jc w:val="left"/>
        <w:tblInd w:w="0" w:type="dxa"/>
        <w:tblLayout w:type="fixed"/>
        <w:tblCellMar>
          <w:top w:w="28" w:type="dxa"/>
          <w:left w:w="28" w:type="dxa"/>
          <w:bottom w:w="28" w:type="dxa"/>
          <w:right w:w="28" w:type="dxa"/>
        </w:tblCellMar>
      </w:tblPr>
      <w:tblGrid>
        <w:gridCol w:w="2086"/>
        <w:gridCol w:w="146"/>
        <w:gridCol w:w="880"/>
        <w:gridCol w:w="2450"/>
        <w:gridCol w:w="166"/>
        <w:gridCol w:w="146"/>
        <w:gridCol w:w="880"/>
        <w:gridCol w:w="2450"/>
        <w:gridCol w:w="211"/>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3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September 30,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3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September 30, 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Operating Lease Cost</w:t>
            </w:r>
          </w:p>
        </w:tc>
        <w:tc>
          <w:tcPr>
            <w:tcW w:w="146" w:type="dxa"/>
            <w:tcBorders/>
            <w:shd w:fill="CFF0FC" w:val="clear"/>
            <w:vAlign w:val="center"/>
          </w:tcPr>
          <w:p>
            <w:pPr>
              <w:pStyle w:val="TableContents"/>
              <w:bidi w:val="0"/>
              <w:spacing w:before="0" w:after="283"/>
              <w:jc w:val="left"/>
              <w:rPr/>
            </w:pPr>
            <w:r>
              <w:rPr/>
              <w:t> </w:t>
            </w:r>
          </w:p>
        </w:tc>
        <w:tc>
          <w:tcPr>
            <w:tcW w:w="880"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2450"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1,543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0"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2450"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1,449</w:t>
            </w:r>
          </w:p>
        </w:tc>
        <w:tc>
          <w:tcPr>
            <w:tcW w:w="211" w:type="dxa"/>
            <w:tcBorders/>
            <w:shd w:fill="CFF0FC" w:val="clear"/>
            <w:vAlign w:val="center"/>
          </w:tcPr>
          <w:p>
            <w:pPr>
              <w:pStyle w:val="TableContents"/>
              <w:bidi w:val="0"/>
              <w:spacing w:before="0" w:after="283"/>
              <w:jc w:val="left"/>
              <w:rPr/>
            </w:pPr>
            <w:r>
              <w:rPr/>
              <w:t> </w:t>
            </w:r>
          </w:p>
        </w:tc>
      </w:tr>
      <w:tr>
        <w:trPr/>
        <w:tc>
          <w:tcPr>
            <w:tcW w:w="208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Short-term Lease Cost</w:t>
            </w:r>
          </w:p>
        </w:tc>
        <w:tc>
          <w:tcPr>
            <w:tcW w:w="146"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left"/>
              <w:rPr/>
            </w:pPr>
            <w:r>
              <w:rPr/>
              <w:t> </w:t>
            </w:r>
          </w:p>
        </w:tc>
        <w:tc>
          <w:tcPr>
            <w:tcW w:w="2450"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left"/>
              <w:rPr/>
            </w:pPr>
            <w:r>
              <w:rPr/>
              <w:t> </w:t>
            </w:r>
          </w:p>
        </w:tc>
        <w:tc>
          <w:tcPr>
            <w:tcW w:w="2450"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41</w:t>
            </w:r>
          </w:p>
        </w:tc>
        <w:tc>
          <w:tcPr>
            <w:tcW w:w="211" w:type="dxa"/>
            <w:tcBorders/>
            <w:shd w:fill="FFFFFF" w:val="clear"/>
            <w:vAlign w:val="center"/>
          </w:tcPr>
          <w:p>
            <w:pPr>
              <w:pStyle w:val="TableContents"/>
              <w:bidi w:val="0"/>
              <w:spacing w:before="0" w:after="283"/>
              <w:jc w:val="left"/>
              <w:rPr/>
            </w:pPr>
            <w:r>
              <w:rPr/>
              <w:t> </w:t>
            </w:r>
          </w:p>
        </w:tc>
      </w:tr>
      <w:tr>
        <w:trPr/>
        <w:tc>
          <w:tcPr>
            <w:tcW w:w="208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Variable Lease Cost</w:t>
            </w:r>
          </w:p>
        </w:tc>
        <w:tc>
          <w:tcPr>
            <w:tcW w:w="146" w:type="dxa"/>
            <w:tcBorders/>
            <w:shd w:fill="CFF0FC" w:val="clear"/>
            <w:vAlign w:val="center"/>
          </w:tcPr>
          <w:p>
            <w:pPr>
              <w:pStyle w:val="TableContents"/>
              <w:bidi w:val="0"/>
              <w:spacing w:before="0" w:after="283"/>
              <w:jc w:val="left"/>
              <w:rPr/>
            </w:pPr>
            <w:r>
              <w:rPr/>
              <w:t> </w:t>
            </w:r>
          </w:p>
        </w:tc>
        <w:tc>
          <w:tcPr>
            <w:tcW w:w="880" w:type="dxa"/>
            <w:tcBorders/>
            <w:shd w:fill="CFF0FC" w:val="clear"/>
            <w:vAlign w:val="center"/>
          </w:tcPr>
          <w:p>
            <w:pPr>
              <w:pStyle w:val="TableContents"/>
              <w:bidi w:val="0"/>
              <w:spacing w:before="0" w:after="283"/>
              <w:jc w:val="left"/>
              <w:rPr/>
            </w:pPr>
            <w:r>
              <w:rPr/>
              <w:t> </w:t>
            </w:r>
          </w:p>
        </w:tc>
        <w:tc>
          <w:tcPr>
            <w:tcW w:w="2450"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0" w:type="dxa"/>
            <w:tcBorders/>
            <w:shd w:fill="CFF0FC" w:val="clear"/>
            <w:vAlign w:val="center"/>
          </w:tcPr>
          <w:p>
            <w:pPr>
              <w:pStyle w:val="TableContents"/>
              <w:bidi w:val="0"/>
              <w:spacing w:before="0" w:after="283"/>
              <w:jc w:val="left"/>
              <w:rPr/>
            </w:pPr>
            <w:r>
              <w:rPr/>
              <w:t> </w:t>
            </w:r>
          </w:p>
        </w:tc>
        <w:tc>
          <w:tcPr>
            <w:tcW w:w="2450"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80</w:t>
            </w:r>
          </w:p>
        </w:tc>
        <w:tc>
          <w:tcPr>
            <w:tcW w:w="211" w:type="dxa"/>
            <w:tcBorders/>
            <w:shd w:fill="CFF0FC" w:val="clear"/>
            <w:vAlign w:val="center"/>
          </w:tcPr>
          <w:p>
            <w:pPr>
              <w:pStyle w:val="TableContents"/>
              <w:bidi w:val="0"/>
              <w:spacing w:before="0" w:after="283"/>
              <w:jc w:val="left"/>
              <w:rPr/>
            </w:pPr>
            <w:r>
              <w:rPr/>
              <w:t> </w:t>
            </w:r>
          </w:p>
        </w:tc>
      </w:tr>
      <w:tr>
        <w:trPr/>
        <w:tc>
          <w:tcPr>
            <w:tcW w:w="208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Sublease Income</w:t>
            </w:r>
          </w:p>
        </w:tc>
        <w:tc>
          <w:tcPr>
            <w:tcW w:w="146" w:type="dxa"/>
            <w:tcBorders/>
            <w:shd w:fill="FFFFFF" w:val="clear"/>
            <w:vAlign w:val="center"/>
          </w:tcPr>
          <w:p>
            <w:pPr>
              <w:pStyle w:val="TableContents"/>
              <w:bidi w:val="0"/>
              <w:spacing w:before="0" w:after="283"/>
              <w:jc w:val="left"/>
              <w:rPr/>
            </w:pPr>
            <w:r>
              <w:rPr/>
              <w:t> </w:t>
            </w:r>
          </w:p>
        </w:tc>
        <w:tc>
          <w:tcPr>
            <w:tcW w:w="8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2086"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Total Lease Cost</w:t>
            </w:r>
          </w:p>
        </w:tc>
        <w:tc>
          <w:tcPr>
            <w:tcW w:w="146" w:type="dxa"/>
            <w:tcBorders/>
            <w:shd w:fill="CFF0FC" w:val="clear"/>
            <w:vAlign w:val="center"/>
          </w:tcPr>
          <w:p>
            <w:pPr>
              <w:pStyle w:val="TableContents"/>
              <w:bidi w:val="0"/>
              <w:spacing w:before="0" w:after="283"/>
              <w:jc w:val="left"/>
              <w:rPr/>
            </w:pPr>
            <w:r>
              <w:rPr/>
              <w:t> </w:t>
            </w:r>
          </w:p>
        </w:tc>
        <w:tc>
          <w:tcPr>
            <w:tcW w:w="8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24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1,654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24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1,524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30"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30"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r>
      <w:tr>
        <w:trPr/>
        <w:tc>
          <w:tcPr>
            <w:tcW w:w="208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33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 September 30,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3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 September 30, 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Operating Lease Cost</w:t>
            </w:r>
          </w:p>
        </w:tc>
        <w:tc>
          <w:tcPr>
            <w:tcW w:w="146" w:type="dxa"/>
            <w:tcBorders/>
            <w:shd w:fill="CFF0FC" w:val="clear"/>
            <w:vAlign w:val="center"/>
          </w:tcPr>
          <w:p>
            <w:pPr>
              <w:pStyle w:val="TableContents"/>
              <w:bidi w:val="0"/>
              <w:spacing w:before="0" w:after="283"/>
              <w:jc w:val="left"/>
              <w:rPr/>
            </w:pPr>
            <w:r>
              <w:rPr/>
              <w:t> </w:t>
            </w:r>
          </w:p>
        </w:tc>
        <w:tc>
          <w:tcPr>
            <w:tcW w:w="880"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2450"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4,593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0"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2450"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4,322</w:t>
            </w:r>
          </w:p>
        </w:tc>
        <w:tc>
          <w:tcPr>
            <w:tcW w:w="211" w:type="dxa"/>
            <w:tcBorders/>
            <w:shd w:fill="CFF0FC" w:val="clear"/>
            <w:vAlign w:val="center"/>
          </w:tcPr>
          <w:p>
            <w:pPr>
              <w:pStyle w:val="TableContents"/>
              <w:bidi w:val="0"/>
              <w:spacing w:before="0" w:after="283"/>
              <w:jc w:val="left"/>
              <w:rPr/>
            </w:pPr>
            <w:r>
              <w:rPr/>
              <w:t> </w:t>
            </w:r>
          </w:p>
        </w:tc>
      </w:tr>
      <w:tr>
        <w:trPr/>
        <w:tc>
          <w:tcPr>
            <w:tcW w:w="208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Short-term Lease Cost</w:t>
            </w:r>
          </w:p>
        </w:tc>
        <w:tc>
          <w:tcPr>
            <w:tcW w:w="146"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left"/>
              <w:rPr/>
            </w:pPr>
            <w:r>
              <w:rPr/>
              <w:t> </w:t>
            </w:r>
          </w:p>
        </w:tc>
        <w:tc>
          <w:tcPr>
            <w:tcW w:w="2450"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96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left"/>
              <w:rPr/>
            </w:pPr>
            <w:r>
              <w:rPr/>
              <w:t> </w:t>
            </w:r>
          </w:p>
        </w:tc>
        <w:tc>
          <w:tcPr>
            <w:tcW w:w="2450"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108</w:t>
            </w:r>
          </w:p>
        </w:tc>
        <w:tc>
          <w:tcPr>
            <w:tcW w:w="211" w:type="dxa"/>
            <w:tcBorders/>
            <w:shd w:fill="FFFFFF" w:val="clear"/>
            <w:vAlign w:val="center"/>
          </w:tcPr>
          <w:p>
            <w:pPr>
              <w:pStyle w:val="TableContents"/>
              <w:bidi w:val="0"/>
              <w:spacing w:before="0" w:after="283"/>
              <w:jc w:val="left"/>
              <w:rPr/>
            </w:pPr>
            <w:r>
              <w:rPr/>
              <w:t> </w:t>
            </w:r>
          </w:p>
        </w:tc>
      </w:tr>
      <w:tr>
        <w:trPr/>
        <w:tc>
          <w:tcPr>
            <w:tcW w:w="208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Variable Lease Cost</w:t>
            </w:r>
          </w:p>
        </w:tc>
        <w:tc>
          <w:tcPr>
            <w:tcW w:w="146" w:type="dxa"/>
            <w:tcBorders/>
            <w:shd w:fill="CFF0FC" w:val="clear"/>
            <w:vAlign w:val="center"/>
          </w:tcPr>
          <w:p>
            <w:pPr>
              <w:pStyle w:val="TableContents"/>
              <w:bidi w:val="0"/>
              <w:spacing w:before="0" w:after="283"/>
              <w:jc w:val="left"/>
              <w:rPr/>
            </w:pPr>
            <w:r>
              <w:rPr/>
              <w:t> </w:t>
            </w:r>
          </w:p>
        </w:tc>
        <w:tc>
          <w:tcPr>
            <w:tcW w:w="880" w:type="dxa"/>
            <w:tcBorders/>
            <w:shd w:fill="CFF0FC" w:val="clear"/>
            <w:vAlign w:val="center"/>
          </w:tcPr>
          <w:p>
            <w:pPr>
              <w:pStyle w:val="TableContents"/>
              <w:bidi w:val="0"/>
              <w:spacing w:before="0" w:after="283"/>
              <w:jc w:val="left"/>
              <w:rPr/>
            </w:pPr>
            <w:r>
              <w:rPr/>
              <w:t> </w:t>
            </w:r>
          </w:p>
        </w:tc>
        <w:tc>
          <w:tcPr>
            <w:tcW w:w="2450"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242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0" w:type="dxa"/>
            <w:tcBorders/>
            <w:shd w:fill="CFF0FC" w:val="clear"/>
            <w:vAlign w:val="center"/>
          </w:tcPr>
          <w:p>
            <w:pPr>
              <w:pStyle w:val="TableContents"/>
              <w:bidi w:val="0"/>
              <w:spacing w:before="0" w:after="283"/>
              <w:jc w:val="left"/>
              <w:rPr/>
            </w:pPr>
            <w:r>
              <w:rPr/>
              <w:t> </w:t>
            </w:r>
          </w:p>
        </w:tc>
        <w:tc>
          <w:tcPr>
            <w:tcW w:w="2450"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225</w:t>
            </w:r>
          </w:p>
        </w:tc>
        <w:tc>
          <w:tcPr>
            <w:tcW w:w="211" w:type="dxa"/>
            <w:tcBorders/>
            <w:shd w:fill="CFF0FC" w:val="clear"/>
            <w:vAlign w:val="center"/>
          </w:tcPr>
          <w:p>
            <w:pPr>
              <w:pStyle w:val="TableContents"/>
              <w:bidi w:val="0"/>
              <w:spacing w:before="0" w:after="283"/>
              <w:jc w:val="left"/>
              <w:rPr/>
            </w:pPr>
            <w:r>
              <w:rPr/>
              <w:t> </w:t>
            </w:r>
          </w:p>
        </w:tc>
      </w:tr>
      <w:tr>
        <w:trPr/>
        <w:tc>
          <w:tcPr>
            <w:tcW w:w="208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Sublease Income</w:t>
            </w:r>
          </w:p>
        </w:tc>
        <w:tc>
          <w:tcPr>
            <w:tcW w:w="146" w:type="dxa"/>
            <w:tcBorders/>
            <w:shd w:fill="FFFFFF" w:val="clear"/>
            <w:vAlign w:val="center"/>
          </w:tcPr>
          <w:p>
            <w:pPr>
              <w:pStyle w:val="TableContents"/>
              <w:bidi w:val="0"/>
              <w:spacing w:before="0" w:after="283"/>
              <w:jc w:val="left"/>
              <w:rPr/>
            </w:pPr>
            <w:r>
              <w:rPr/>
              <w:t> </w:t>
            </w:r>
          </w:p>
        </w:tc>
        <w:tc>
          <w:tcPr>
            <w:tcW w:w="8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8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(137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2086"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Total Lease Cost</w:t>
            </w:r>
          </w:p>
        </w:tc>
        <w:tc>
          <w:tcPr>
            <w:tcW w:w="146" w:type="dxa"/>
            <w:tcBorders/>
            <w:shd w:fill="CFF0FC" w:val="clear"/>
            <w:vAlign w:val="center"/>
          </w:tcPr>
          <w:p>
            <w:pPr>
              <w:pStyle w:val="TableContents"/>
              <w:bidi w:val="0"/>
              <w:spacing w:before="0" w:after="283"/>
              <w:jc w:val="left"/>
              <w:rPr/>
            </w:pPr>
            <w:r>
              <w:rPr/>
              <w:t> </w:t>
            </w:r>
          </w:p>
        </w:tc>
        <w:tc>
          <w:tcPr>
            <w:tcW w:w="8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24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4,855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24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4,518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Arial" w:hAnsi="Arial"/>
          <w:b w:val="false"/>
          <w:color w:val="000000"/>
          <w:sz w:val="20"/>
        </w:rPr>
      </w:pPr>
      <w:r>
        <w:rPr>
          <w:rFonts w:ascii="Arial" w:hAnsi="Arial"/>
          <w:b w:val="false"/>
          <w:color w:val="000000"/>
          <w:sz w:val="20"/>
        </w:rPr>
        <w:t>Supplemental balance sheet information related to leases was as follows (in thousands):</w:t>
      </w:r>
    </w:p>
    <w:p>
      <w:pPr>
        <w:pStyle w:val="TextBody"/>
        <w:bidi w:val="0"/>
        <w:jc w:val="both"/>
        <w:rPr/>
      </w:pPr>
      <w:r>
        <w:rPr/>
        <w:t> </w:t>
      </w:r>
    </w:p>
    <w:tbl>
      <w:tblPr>
        <w:tblW w:w="6568" w:type="dxa"/>
        <w:jc w:val="left"/>
        <w:tblInd w:w="0" w:type="dxa"/>
        <w:tblLayout w:type="fixed"/>
        <w:tblCellMar>
          <w:top w:w="28" w:type="dxa"/>
          <w:left w:w="28" w:type="dxa"/>
          <w:bottom w:w="28" w:type="dxa"/>
          <w:right w:w="28" w:type="dxa"/>
        </w:tblCellMar>
      </w:tblPr>
      <w:tblGrid>
        <w:gridCol w:w="4426"/>
        <w:gridCol w:w="146"/>
        <w:gridCol w:w="385"/>
        <w:gridCol w:w="1280"/>
        <w:gridCol w:w="331"/>
      </w:tblGrid>
      <w:tr>
        <w:trPr/>
        <w:tc>
          <w:tcPr>
            <w:tcW w:w="4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42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1665"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w:t>
            </w:r>
          </w:p>
        </w:tc>
        <w:tc>
          <w:tcPr>
            <w:tcW w:w="331" w:type="dxa"/>
            <w:tcBorders/>
            <w:shd w:fill="FFFFFF" w:val="clear"/>
            <w:vAlign w:val="center"/>
          </w:tcPr>
          <w:p>
            <w:pPr>
              <w:pStyle w:val="TableContents"/>
              <w:bidi w:val="0"/>
              <w:spacing w:before="0" w:after="283"/>
              <w:jc w:val="center"/>
              <w:rPr/>
            </w:pPr>
            <w:r>
              <w:rPr/>
              <w:t> </w:t>
            </w:r>
          </w:p>
        </w:tc>
      </w:tr>
      <w:tr>
        <w:trPr/>
        <w:tc>
          <w:tcPr>
            <w:tcW w:w="442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16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 2023</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Weighted-average remaining lease term (in years)</w:t>
            </w:r>
          </w:p>
        </w:tc>
        <w:tc>
          <w:tcPr>
            <w:tcW w:w="146" w:type="dxa"/>
            <w:tcBorders/>
            <w:shd w:fill="CFF0FC" w:val="clear"/>
            <w:vAlign w:val="center"/>
          </w:tcPr>
          <w:p>
            <w:pPr>
              <w:pStyle w:val="TableContents"/>
              <w:bidi w:val="0"/>
              <w:spacing w:before="0" w:after="283"/>
              <w:jc w:val="left"/>
              <w:rPr/>
            </w:pPr>
            <w:r>
              <w:rPr/>
              <w:t> </w:t>
            </w:r>
          </w:p>
        </w:tc>
        <w:tc>
          <w:tcPr>
            <w:tcW w:w="385" w:type="dxa"/>
            <w:tcBorders/>
            <w:shd w:fill="CFF0FC" w:val="clear"/>
            <w:vAlign w:val="center"/>
          </w:tcPr>
          <w:p>
            <w:pPr>
              <w:pStyle w:val="TableContents"/>
              <w:bidi w:val="0"/>
              <w:spacing w:before="0" w:after="283"/>
              <w:jc w:val="left"/>
              <w:rPr/>
            </w:pPr>
            <w:r>
              <w:rPr/>
              <w:t> </w:t>
            </w:r>
          </w:p>
        </w:tc>
        <w:tc>
          <w:tcPr>
            <w:tcW w:w="1280"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6.65</w:t>
            </w:r>
          </w:p>
        </w:tc>
        <w:tc>
          <w:tcPr>
            <w:tcW w:w="331" w:type="dxa"/>
            <w:tcBorders/>
            <w:shd w:fill="CFF0FC" w:val="clear"/>
            <w:vAlign w:val="center"/>
          </w:tcPr>
          <w:p>
            <w:pPr>
              <w:pStyle w:val="TableContents"/>
              <w:bidi w:val="0"/>
              <w:spacing w:before="0" w:after="283"/>
              <w:jc w:val="left"/>
              <w:rPr/>
            </w:pPr>
            <w:r>
              <w:rPr/>
              <w:t> </w:t>
            </w:r>
          </w:p>
        </w:tc>
      </w:tr>
      <w:tr>
        <w:trPr/>
        <w:tc>
          <w:tcPr>
            <w:tcW w:w="442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Weighted average discount rate</w:t>
            </w:r>
          </w:p>
        </w:tc>
        <w:tc>
          <w:tcPr>
            <w:tcW w:w="146" w:type="dxa"/>
            <w:tcBorders/>
            <w:shd w:fill="FFFFFF" w:val="clear"/>
            <w:vAlign w:val="center"/>
          </w:tcPr>
          <w:p>
            <w:pPr>
              <w:pStyle w:val="TableContents"/>
              <w:bidi w:val="0"/>
              <w:spacing w:before="0" w:after="283"/>
              <w:jc w:val="left"/>
              <w:rPr/>
            </w:pPr>
            <w:r>
              <w:rPr/>
              <w:t> </w:t>
            </w:r>
          </w:p>
        </w:tc>
        <w:tc>
          <w:tcPr>
            <w:tcW w:w="385"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5.79</w:t>
            </w:r>
          </w:p>
        </w:tc>
        <w:tc>
          <w:tcPr>
            <w:tcW w:w="33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bl>
    <w:p>
      <w:pPr>
        <w:pStyle w:val="TextBody"/>
        <w:bidi w:val="0"/>
        <w:jc w:val="both"/>
        <w:rPr/>
      </w:pPr>
      <w:r>
        <w:rPr/>
        <w:t> </w:t>
      </w:r>
    </w:p>
    <w:tbl>
      <w:tblPr>
        <w:tblW w:w="8603" w:type="dxa"/>
        <w:jc w:val="left"/>
        <w:tblInd w:w="0" w:type="dxa"/>
        <w:tblLayout w:type="fixed"/>
        <w:tblCellMar>
          <w:top w:w="28" w:type="dxa"/>
          <w:left w:w="28" w:type="dxa"/>
          <w:bottom w:w="28" w:type="dxa"/>
          <w:right w:w="28" w:type="dxa"/>
        </w:tblCellMar>
      </w:tblPr>
      <w:tblGrid>
        <w:gridCol w:w="6601"/>
        <w:gridCol w:w="146"/>
        <w:gridCol w:w="441"/>
        <w:gridCol w:w="1224"/>
        <w:gridCol w:w="191"/>
      </w:tblGrid>
      <w:tr>
        <w:trPr/>
        <w:tc>
          <w:tcPr>
            <w:tcW w:w="6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60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1665"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w:t>
            </w:r>
          </w:p>
        </w:tc>
        <w:tc>
          <w:tcPr>
            <w:tcW w:w="191" w:type="dxa"/>
            <w:tcBorders/>
            <w:shd w:fill="FFFFFF" w:val="clear"/>
            <w:vAlign w:val="center"/>
          </w:tcPr>
          <w:p>
            <w:pPr>
              <w:pStyle w:val="TableContents"/>
              <w:bidi w:val="0"/>
              <w:spacing w:before="0" w:after="283"/>
              <w:jc w:val="center"/>
              <w:rPr/>
            </w:pPr>
            <w:r>
              <w:rPr/>
              <w:t> </w:t>
            </w:r>
          </w:p>
        </w:tc>
      </w:tr>
      <w:tr>
        <w:trPr/>
        <w:tc>
          <w:tcPr>
            <w:tcW w:w="660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16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0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Right-of-use assets obtained in exchange for new operating lease liabilities</w:t>
            </w:r>
          </w:p>
        </w:tc>
        <w:tc>
          <w:tcPr>
            <w:tcW w:w="146" w:type="dxa"/>
            <w:tcBorders/>
            <w:shd w:fill="CFF0FC" w:val="clear"/>
            <w:vAlign w:val="center"/>
          </w:tcPr>
          <w:p>
            <w:pPr>
              <w:pStyle w:val="TableContents"/>
              <w:bidi w:val="0"/>
              <w:spacing w:before="0" w:after="283"/>
              <w:jc w:val="left"/>
              <w:rPr/>
            </w:pPr>
            <w:r>
              <w:rPr/>
              <w:t> </w:t>
            </w:r>
          </w:p>
        </w:tc>
        <w:tc>
          <w:tcPr>
            <w:tcW w:w="44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224"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3,002</w:t>
            </w:r>
          </w:p>
        </w:tc>
        <w:tc>
          <w:tcPr>
            <w:tcW w:w="191" w:type="dxa"/>
            <w:tcBorders/>
            <w:shd w:fill="CFF0FC" w:val="clear"/>
            <w:vAlign w:val="center"/>
          </w:tcPr>
          <w:p>
            <w:pPr>
              <w:pStyle w:val="TableContents"/>
              <w:bidi w:val="0"/>
              <w:spacing w:before="0" w:after="283"/>
              <w:jc w:val="left"/>
              <w:rPr/>
            </w:pPr>
            <w:r>
              <w:rPr/>
              <w:t> </w:t>
            </w:r>
          </w:p>
        </w:tc>
      </w:tr>
      <w:tr>
        <w:trPr/>
        <w:tc>
          <w:tcPr>
            <w:tcW w:w="660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Cash paid for amounts included in the measurement of lease liabilities</w:t>
            </w:r>
          </w:p>
        </w:tc>
        <w:tc>
          <w:tcPr>
            <w:tcW w:w="146" w:type="dxa"/>
            <w:tcBorders/>
            <w:shd w:fill="FFFFFF" w:val="clear"/>
            <w:vAlign w:val="center"/>
          </w:tcPr>
          <w:p>
            <w:pPr>
              <w:pStyle w:val="TableContents"/>
              <w:bidi w:val="0"/>
              <w:spacing w:before="0" w:after="283"/>
              <w:jc w:val="left"/>
              <w:rPr/>
            </w:pPr>
            <w:r>
              <w:rPr/>
              <w:t> </w:t>
            </w:r>
          </w:p>
        </w:tc>
        <w:tc>
          <w:tcPr>
            <w:tcW w:w="441" w:type="dxa"/>
            <w:tcBorders/>
            <w:shd w:fill="FFFFFF" w:val="clear"/>
            <w:vAlign w:val="center"/>
          </w:tcPr>
          <w:p>
            <w:pPr>
              <w:pStyle w:val="TableContents"/>
              <w:bidi w:val="0"/>
              <w:spacing w:before="0" w:after="283"/>
              <w:jc w:val="left"/>
              <w:rPr/>
            </w:pPr>
            <w:r>
              <w:rPr/>
              <w:t> </w:t>
            </w:r>
          </w:p>
        </w:tc>
        <w:tc>
          <w:tcPr>
            <w:tcW w:w="1224"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4,153</w:t>
            </w:r>
          </w:p>
        </w:tc>
        <w:tc>
          <w:tcPr>
            <w:tcW w:w="191" w:type="dxa"/>
            <w:tcBorders/>
            <w:shd w:fill="FFFFFF" w:val="cle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Arial" w:hAnsi="Arial"/>
          <w:b w:val="false"/>
          <w:color w:val="000000"/>
          <w:sz w:val="20"/>
        </w:rPr>
      </w:pPr>
      <w:r>
        <w:rPr>
          <w:rFonts w:ascii="Arial" w:hAnsi="Arial"/>
          <w:b w:val="false"/>
          <w:color w:val="000000"/>
          <w:sz w:val="20"/>
        </w:rPr>
        <w:t>Future undiscounted cash flows for each of the next five years and thereafter and reconciliation to the lease liabilities recognized on the unaudited condensed consolidated balance sheet as of September 30, 2023 were as follows (in thousands):</w:t>
      </w:r>
    </w:p>
    <w:p>
      <w:pPr>
        <w:pStyle w:val="TextBody"/>
        <w:bidi w:val="0"/>
        <w:jc w:val="both"/>
        <w:rPr/>
      </w:pPr>
      <w:r>
        <w:rPr/>
        <w:t> </w:t>
      </w:r>
    </w:p>
    <w:tbl>
      <w:tblPr>
        <w:tblW w:w="4335" w:type="dxa"/>
        <w:jc w:val="left"/>
        <w:tblInd w:w="0" w:type="dxa"/>
        <w:tblLayout w:type="fixed"/>
        <w:tblCellMar>
          <w:top w:w="28" w:type="dxa"/>
          <w:left w:w="28" w:type="dxa"/>
          <w:bottom w:w="28" w:type="dxa"/>
          <w:right w:w="28" w:type="dxa"/>
        </w:tblCellMar>
      </w:tblPr>
      <w:tblGrid>
        <w:gridCol w:w="3076"/>
        <w:gridCol w:w="146"/>
        <w:gridCol w:w="211"/>
        <w:gridCol w:w="691"/>
        <w:gridCol w:w="211"/>
      </w:tblGrid>
      <w:tr>
        <w:trPr/>
        <w:tc>
          <w:tcPr>
            <w:tcW w:w="3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r>
      <w:tr>
        <w:trPr/>
        <w:tc>
          <w:tcPr>
            <w:tcW w:w="307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2023</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69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1,283</w:t>
            </w:r>
          </w:p>
        </w:tc>
        <w:tc>
          <w:tcPr>
            <w:tcW w:w="211" w:type="dxa"/>
            <w:tcBorders/>
            <w:shd w:fill="CFF0FC" w:val="clear"/>
            <w:vAlign w:val="center"/>
          </w:tcPr>
          <w:p>
            <w:pPr>
              <w:pStyle w:val="TableContents"/>
              <w:bidi w:val="0"/>
              <w:spacing w:before="0" w:after="283"/>
              <w:jc w:val="left"/>
              <w:rPr/>
            </w:pPr>
            <w:r>
              <w:rPr/>
              <w:t> </w:t>
            </w:r>
          </w:p>
        </w:tc>
      </w:tr>
      <w:tr>
        <w:trPr/>
        <w:tc>
          <w:tcPr>
            <w:tcW w:w="307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2024</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4,835</w:t>
            </w:r>
          </w:p>
        </w:tc>
        <w:tc>
          <w:tcPr>
            <w:tcW w:w="211" w:type="dxa"/>
            <w:tcBorders/>
            <w:shd w:fill="FFFFFF" w:val="clear"/>
            <w:vAlign w:val="center"/>
          </w:tcPr>
          <w:p>
            <w:pPr>
              <w:pStyle w:val="TableContents"/>
              <w:bidi w:val="0"/>
              <w:spacing w:before="0" w:after="283"/>
              <w:jc w:val="left"/>
              <w:rPr/>
            </w:pPr>
            <w:r>
              <w:rPr/>
              <w:t> </w:t>
            </w:r>
          </w:p>
        </w:tc>
      </w:tr>
      <w:tr>
        <w:trPr/>
        <w:tc>
          <w:tcPr>
            <w:tcW w:w="307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2025</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4,036</w:t>
            </w:r>
          </w:p>
        </w:tc>
        <w:tc>
          <w:tcPr>
            <w:tcW w:w="211" w:type="dxa"/>
            <w:tcBorders/>
            <w:shd w:fill="CFF0FC" w:val="clear"/>
            <w:vAlign w:val="center"/>
          </w:tcPr>
          <w:p>
            <w:pPr>
              <w:pStyle w:val="TableContents"/>
              <w:bidi w:val="0"/>
              <w:spacing w:before="0" w:after="283"/>
              <w:jc w:val="left"/>
              <w:rPr/>
            </w:pPr>
            <w:r>
              <w:rPr/>
              <w:t> </w:t>
            </w:r>
          </w:p>
        </w:tc>
      </w:tr>
      <w:tr>
        <w:trPr/>
        <w:tc>
          <w:tcPr>
            <w:tcW w:w="307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2026</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3,476</w:t>
            </w:r>
          </w:p>
        </w:tc>
        <w:tc>
          <w:tcPr>
            <w:tcW w:w="211" w:type="dxa"/>
            <w:tcBorders/>
            <w:shd w:fill="FFFFFF" w:val="clear"/>
            <w:vAlign w:val="center"/>
          </w:tcPr>
          <w:p>
            <w:pPr>
              <w:pStyle w:val="TableContents"/>
              <w:bidi w:val="0"/>
              <w:spacing w:before="0" w:after="283"/>
              <w:jc w:val="left"/>
              <w:rPr/>
            </w:pPr>
            <w:r>
              <w:rPr/>
              <w:t> </w:t>
            </w:r>
          </w:p>
        </w:tc>
      </w:tr>
      <w:tr>
        <w:trPr/>
        <w:tc>
          <w:tcPr>
            <w:tcW w:w="307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2027</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2,439</w:t>
            </w:r>
          </w:p>
        </w:tc>
        <w:tc>
          <w:tcPr>
            <w:tcW w:w="211" w:type="dxa"/>
            <w:tcBorders/>
            <w:shd w:fill="CFF0FC" w:val="clear"/>
            <w:vAlign w:val="center"/>
          </w:tcPr>
          <w:p>
            <w:pPr>
              <w:pStyle w:val="TableContents"/>
              <w:bidi w:val="0"/>
              <w:spacing w:before="0" w:after="283"/>
              <w:jc w:val="left"/>
              <w:rPr/>
            </w:pPr>
            <w:r>
              <w:rPr/>
              <w:t> </w:t>
            </w:r>
          </w:p>
        </w:tc>
      </w:tr>
      <w:tr>
        <w:trPr/>
        <w:tc>
          <w:tcPr>
            <w:tcW w:w="307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Thereafter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7,545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76"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Total lease payments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CFF0FC"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23,614</w:t>
            </w:r>
          </w:p>
        </w:tc>
        <w:tc>
          <w:tcPr>
            <w:tcW w:w="211" w:type="dxa"/>
            <w:tcBorders/>
            <w:shd w:fill="CFF0FC" w:val="clear"/>
            <w:vAlign w:val="center"/>
          </w:tcPr>
          <w:p>
            <w:pPr>
              <w:pStyle w:val="TableContents"/>
              <w:bidi w:val="0"/>
              <w:spacing w:before="0" w:after="283"/>
              <w:jc w:val="left"/>
              <w:rPr/>
            </w:pPr>
            <w:r>
              <w:rPr/>
              <w:t> </w:t>
            </w:r>
          </w:p>
        </w:tc>
      </w:tr>
      <w:tr>
        <w:trPr/>
        <w:tc>
          <w:tcPr>
            <w:tcW w:w="307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Less: imputed interest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(3,921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3076"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Present value of lease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19,693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sz w:val="20"/>
        </w:rPr>
      </w:pPr>
      <w:r>
        <w:rPr>
          <w:rFonts w:ascii="Arial" w:hAnsi="Arial"/>
          <w:b w:val="false"/>
          <w:color w:val="000000"/>
          <w:sz w:val="20"/>
        </w:rPr>
        <w:t>The Company leases downhole drilling tools to companies in the oil and natural gas industry. Such leases are accounted for in accordance with ASC 842. For the three and nine months ended September 30, 2023, tool rental revenue was approximately $29.4</w:t>
      </w:r>
      <w:r>
        <w:rPr>
          <w:rFonts w:ascii="Times New Roman" w:hAnsi="Times New Roman"/>
          <w:color w:val="000000"/>
          <w:sz w:val="20"/>
        </w:rPr>
        <w:t xml:space="preserve"> </w:t>
      </w:r>
      <w:r>
        <w:rPr>
          <w:rFonts w:ascii="Arial" w:hAnsi="Arial"/>
          <w:b w:val="false"/>
          <w:color w:val="000000"/>
          <w:sz w:val="20"/>
        </w:rPr>
        <w:t>million</w:t>
      </w:r>
      <w:r>
        <w:rPr>
          <w:rFonts w:ascii="Times New Roman" w:hAnsi="Times New Roman"/>
          <w:color w:val="000000"/>
          <w:sz w:val="20"/>
        </w:rPr>
        <w:t xml:space="preserve"> </w:t>
      </w:r>
      <w:r>
        <w:rPr>
          <w:rFonts w:ascii="Arial" w:hAnsi="Arial"/>
          <w:b w:val="false"/>
          <w:color w:val="000000"/>
          <w:sz w:val="20"/>
        </w:rPr>
        <w:t>and $90.6</w:t>
      </w:r>
      <w:r>
        <w:rPr>
          <w:rFonts w:ascii="Times New Roman" w:hAnsi="Times New Roman"/>
          <w:color w:val="000000"/>
          <w:sz w:val="20"/>
        </w:rPr>
        <w:t xml:space="preserve"> </w:t>
      </w:r>
      <w:r>
        <w:rPr>
          <w:rFonts w:ascii="Arial" w:hAnsi="Arial"/>
          <w:b w:val="false"/>
          <w:color w:val="000000"/>
          <w:sz w:val="20"/>
        </w:rPr>
        <w:t>million, respectively. Our lease contract periods are short-term in nature and are typically daily, monthly, per well, or footage based. Due to the short term nature of the contracts, no maturity table is presented.</w:t>
      </w:r>
    </w:p>
    <w:p>
      <w:pPr>
        <w:pStyle w:val="TextBody"/>
        <w:bidi w:val="0"/>
        <w:jc w:val="center"/>
        <w:rPr/>
      </w:pPr>
      <w:r>
        <w:rPr/>
        <w:t> </w:t>
      </w:r>
    </w:p>
    <w:p>
      <w:pPr>
        <w:pStyle w:val="TextBody"/>
        <w:bidi w:val="0"/>
        <w:jc w:val="center"/>
        <w:rPr>
          <w:rFonts w:ascii="Arial" w:hAnsi="Arial"/>
          <w:b w:val="false"/>
          <w:color w:val="000000"/>
          <w:sz w:val="20"/>
        </w:rPr>
      </w:pPr>
      <w:r>
        <w:rPr>
          <w:rFonts w:ascii="Arial" w:hAnsi="Arial"/>
          <w:b w:val="false"/>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b/>
          <w:color w:val="000000"/>
          <w:sz w:val="20"/>
        </w:rPr>
      </w:pPr>
      <w:r>
        <w:rPr>
          <w:rFonts w:ascii="Arial" w:hAnsi="Arial"/>
          <w:b/>
          <w:color w:val="000000"/>
          <w:sz w:val="20"/>
        </w:rPr>
        <w:t>NOTE 13 – EMPLOYEE BENEFITS</w:t>
      </w:r>
    </w:p>
    <w:p>
      <w:pPr>
        <w:pStyle w:val="TextBody"/>
        <w:bidi w:val="0"/>
        <w:spacing w:before="240" w:after="283"/>
        <w:jc w:val="both"/>
        <w:rPr>
          <w:rFonts w:ascii="Times New Roman" w:hAnsi="Times New Roman"/>
          <w:sz w:val="20"/>
        </w:rPr>
      </w:pPr>
      <w:r>
        <w:rPr>
          <w:rFonts w:ascii="Arial" w:hAnsi="Arial"/>
          <w:b w:val="false"/>
          <w:color w:val="000000"/>
          <w:sz w:val="20"/>
        </w:rPr>
        <w:t>The Company has a defined contribution plan that complies with Section 401(k) of the Internal Revenue Code. All employees are auto enrolled at a 3% contribution, unless they opt out, beginning on the first plan entry date following six months of service. Plan entry dates are the first day of January and July. In March of 2020, the Company suspended any employee contribution match effective immediately and through the end of 2021. The match was reinstated on January 1, 2022. For 2022, the Company matched employee contributions 150% of the first 3% of employee contributions, not to exceed $2</w:t>
      </w:r>
      <w:r>
        <w:rPr>
          <w:rFonts w:ascii="Arial" w:hAnsi="Arial"/>
          <w:color w:val="000000"/>
          <w:sz w:val="20"/>
        </w:rPr>
        <w:t xml:space="preserve"> </w:t>
      </w:r>
      <w:r>
        <w:rPr>
          <w:rFonts w:ascii="Arial" w:hAnsi="Arial"/>
          <w:b w:val="false"/>
          <w:color w:val="000000"/>
          <w:sz w:val="20"/>
        </w:rPr>
        <w:t>thousand per participant per calendar year. Employees vest in employer contributions over six years. The contribution is limited to the maximum contribution allowed under the Internal Revenue Service Regulations.</w:t>
      </w:r>
      <w:r>
        <w:rPr>
          <w:rFonts w:ascii="Times New Roman" w:hAnsi="Times New Roman"/>
          <w:color w:val="000000"/>
          <w:sz w:val="20"/>
        </w:rPr>
        <w:t xml:space="preserve"> </w:t>
      </w:r>
      <w:r>
        <w:rPr>
          <w:rFonts w:ascii="Arial" w:hAnsi="Arial"/>
          <w:b w:val="false"/>
          <w:color w:val="000000"/>
          <w:sz w:val="20"/>
        </w:rPr>
        <w:t>The total expense for the three months ended September 30, 2023 and 2022 was approximately $0.1</w:t>
      </w:r>
      <w:r>
        <w:rPr>
          <w:rFonts w:ascii="Times New Roman" w:hAnsi="Times New Roman"/>
          <w:color w:val="000000"/>
          <w:sz w:val="20"/>
        </w:rPr>
        <w:t xml:space="preserve"> </w:t>
      </w:r>
      <w:r>
        <w:rPr>
          <w:rFonts w:ascii="Arial" w:hAnsi="Arial"/>
          <w:b w:val="false"/>
          <w:color w:val="000000"/>
          <w:sz w:val="20"/>
        </w:rPr>
        <w:t>million</w:t>
      </w:r>
      <w:r>
        <w:rPr>
          <w:rFonts w:ascii="Times New Roman" w:hAnsi="Times New Roman"/>
          <w:color w:val="000000"/>
          <w:sz w:val="20"/>
        </w:rPr>
        <w:t xml:space="preserve"> </w:t>
      </w:r>
      <w:r>
        <w:rPr>
          <w:rFonts w:ascii="Arial" w:hAnsi="Arial"/>
          <w:b w:val="false"/>
          <w:color w:val="000000"/>
          <w:sz w:val="20"/>
        </w:rPr>
        <w:t>and $0.1</w:t>
      </w:r>
      <w:r>
        <w:rPr>
          <w:rFonts w:ascii="Times New Roman" w:hAnsi="Times New Roman"/>
          <w:color w:val="000000"/>
          <w:sz w:val="20"/>
        </w:rPr>
        <w:t xml:space="preserve"> </w:t>
      </w:r>
      <w:r>
        <w:rPr>
          <w:rFonts w:ascii="Arial" w:hAnsi="Arial"/>
          <w:b w:val="false"/>
          <w:color w:val="000000"/>
          <w:sz w:val="20"/>
        </w:rPr>
        <w:t>million, respectively. The total expense for the nine months ended September 30, 2023 and 2022 was approximately $0.4</w:t>
      </w:r>
      <w:r>
        <w:rPr>
          <w:rFonts w:ascii="Times New Roman" w:hAnsi="Times New Roman"/>
          <w:color w:val="000000"/>
          <w:sz w:val="20"/>
        </w:rPr>
        <w:t xml:space="preserve"> </w:t>
      </w:r>
      <w:r>
        <w:rPr>
          <w:rFonts w:ascii="Arial" w:hAnsi="Arial"/>
          <w:b w:val="false"/>
          <w:color w:val="000000"/>
          <w:sz w:val="20"/>
        </w:rPr>
        <w:t>million</w:t>
      </w:r>
      <w:r>
        <w:rPr>
          <w:rFonts w:ascii="Times New Roman" w:hAnsi="Times New Roman"/>
          <w:color w:val="000000"/>
          <w:sz w:val="20"/>
        </w:rPr>
        <w:t xml:space="preserve"> </w:t>
      </w:r>
      <w:r>
        <w:rPr>
          <w:rFonts w:ascii="Arial" w:hAnsi="Arial"/>
          <w:b w:val="false"/>
          <w:color w:val="000000"/>
          <w:sz w:val="20"/>
        </w:rPr>
        <w:t>and $0.4</w:t>
      </w:r>
      <w:r>
        <w:rPr>
          <w:rFonts w:ascii="Times New Roman" w:hAnsi="Times New Roman"/>
          <w:color w:val="000000"/>
          <w:sz w:val="20"/>
        </w:rPr>
        <w:t xml:space="preserve"> </w:t>
      </w:r>
      <w:r>
        <w:rPr>
          <w:rFonts w:ascii="Arial" w:hAnsi="Arial"/>
          <w:b w:val="false"/>
          <w:color w:val="000000"/>
          <w:sz w:val="20"/>
        </w:rPr>
        <w:t>million, respectively.</w:t>
      </w:r>
    </w:p>
    <w:p>
      <w:pPr>
        <w:pStyle w:val="TextBody"/>
        <w:bidi w:val="0"/>
        <w:spacing w:before="240" w:after="283"/>
        <w:jc w:val="both"/>
        <w:rPr>
          <w:rFonts w:ascii="Arial" w:hAnsi="Arial"/>
          <w:b/>
          <w:color w:val="000000"/>
          <w:sz w:val="20"/>
        </w:rPr>
      </w:pPr>
      <w:r>
        <w:rPr>
          <w:rFonts w:ascii="Arial" w:hAnsi="Arial"/>
          <w:b/>
          <w:color w:val="000000"/>
          <w:sz w:val="20"/>
        </w:rPr>
        <w:t>NOTE 14 – COMMITMENTS AND CONTINGENCIES</w:t>
      </w:r>
    </w:p>
    <w:p>
      <w:pPr>
        <w:pStyle w:val="TextBody"/>
        <w:bidi w:val="0"/>
        <w:jc w:val="left"/>
        <w:rPr/>
      </w:pPr>
      <w:r>
        <w:rPr/>
        <w:t> </w:t>
      </w:r>
    </w:p>
    <w:p>
      <w:pPr>
        <w:pStyle w:val="TextBody"/>
        <w:bidi w:val="0"/>
        <w:jc w:val="both"/>
        <w:rPr>
          <w:rFonts w:ascii="Times New Roman" w:hAnsi="Times New Roman"/>
          <w:sz w:val="20"/>
        </w:rPr>
      </w:pPr>
      <w:r>
        <w:rPr>
          <w:rFonts w:ascii="Arial" w:hAnsi="Arial"/>
          <w:b w:val="false"/>
          <w:color w:val="000000"/>
          <w:sz w:val="20"/>
        </w:rPr>
        <w:t xml:space="preserve">The Company maintains operating leases for various facilities and vehicles. See Note 12 - </w:t>
      </w:r>
      <w:r>
        <w:rPr>
          <w:rFonts w:ascii="Arial" w:hAnsi="Arial"/>
          <w:b w:val="false"/>
          <w:i/>
          <w:color w:val="000000"/>
          <w:sz w:val="20"/>
        </w:rPr>
        <w:t>Leases</w:t>
      </w:r>
      <w:r>
        <w:rPr>
          <w:rFonts w:ascii="Arial" w:hAnsi="Arial"/>
          <w:b w:val="false"/>
          <w:color w:val="000000"/>
          <w:sz w:val="20"/>
        </w:rPr>
        <w:t>, for further information.</w:t>
      </w:r>
      <w:r>
        <w:rPr>
          <w:rFonts w:ascii="Times New Roman" w:hAnsi="Times New Roman"/>
          <w:color w:val="000000"/>
          <w:sz w:val="20"/>
        </w:rPr>
        <w:t xml:space="preserve"> </w:t>
      </w:r>
    </w:p>
    <w:p>
      <w:pPr>
        <w:pStyle w:val="TextBody"/>
        <w:bidi w:val="0"/>
        <w:spacing w:before="8" w:after="283"/>
        <w:jc w:val="left"/>
        <w:rPr/>
      </w:pPr>
      <w:r>
        <w:rPr/>
        <w:t> </w:t>
      </w:r>
    </w:p>
    <w:p>
      <w:pPr>
        <w:pStyle w:val="TextBody"/>
        <w:bidi w:val="0"/>
        <w:jc w:val="both"/>
        <w:rPr>
          <w:rFonts w:ascii="Arial" w:hAnsi="Arial"/>
          <w:b/>
          <w:color w:val="000000"/>
          <w:sz w:val="20"/>
        </w:rPr>
      </w:pPr>
      <w:r>
        <w:rPr>
          <w:rFonts w:ascii="Arial" w:hAnsi="Arial"/>
          <w:b/>
          <w:color w:val="000000"/>
          <w:sz w:val="20"/>
        </w:rPr>
        <w:t>Litigation</w:t>
      </w:r>
    </w:p>
    <w:p>
      <w:pPr>
        <w:pStyle w:val="TextBody"/>
        <w:bidi w:val="0"/>
        <w:jc w:val="both"/>
        <w:rPr>
          <w:rFonts w:ascii="Arial" w:hAnsi="Arial"/>
          <w:b w:val="false"/>
          <w:color w:val="000000"/>
          <w:sz w:val="20"/>
        </w:rPr>
      </w:pPr>
      <w:r>
        <w:rPr>
          <w:rFonts w:ascii="Arial" w:hAnsi="Arial"/>
          <w:b w:val="false"/>
          <w:color w:val="000000"/>
          <w:sz w:val="20"/>
        </w:rPr>
        <w:t>From time to time, the Company may become involved in various legal proceedings in the ordinary course of its business and may be subject to third-party infringement claims.</w:t>
      </w:r>
    </w:p>
    <w:p>
      <w:pPr>
        <w:pStyle w:val="TextBody"/>
        <w:bidi w:val="0"/>
        <w:jc w:val="both"/>
        <w:rPr/>
      </w:pPr>
      <w:r>
        <w:rPr/>
        <w:t> </w:t>
      </w:r>
    </w:p>
    <w:p>
      <w:pPr>
        <w:pStyle w:val="TextBody"/>
        <w:bidi w:val="0"/>
        <w:jc w:val="both"/>
        <w:rPr>
          <w:rFonts w:ascii="Arial" w:hAnsi="Arial"/>
          <w:b w:val="false"/>
          <w:color w:val="000000"/>
          <w:sz w:val="20"/>
        </w:rPr>
      </w:pPr>
      <w:r>
        <w:rPr>
          <w:rFonts w:ascii="Arial" w:hAnsi="Arial"/>
          <w:b w:val="false"/>
          <w:color w:val="000000"/>
          <w:sz w:val="20"/>
        </w:rPr>
        <w:t>In the normal course of business, the Company may agree to indemnify third parties with whom it enters into contractual relationships, including customers, lessors, and parties to other transactions with the Company, with respect to certain matters. The Company has agreed, under certain conditions, to hold these third parties harmless against specified losses, such as those arising from a breach of representations or covenants, other third-party claims that the Company’s products when used for their intended purposes infringe the intellectual property rights of such other third parties, or other claims made against certain parties. It is not possible to determine the maximum potential amount of liability under these indemnification obligations due to the Company’s limited history of prior indemnification claims and the unique facts and circumstances that are likely to be involved in each particular claim.</w:t>
      </w:r>
    </w:p>
    <w:p>
      <w:pPr>
        <w:pStyle w:val="TextBody"/>
        <w:bidi w:val="0"/>
        <w:jc w:val="both"/>
        <w:rPr/>
      </w:pPr>
      <w:r>
        <w:rPr/>
        <w:t> </w:t>
      </w:r>
    </w:p>
    <w:p>
      <w:pPr>
        <w:pStyle w:val="TextBody"/>
        <w:bidi w:val="0"/>
        <w:jc w:val="both"/>
        <w:rPr>
          <w:rFonts w:ascii="Arial" w:hAnsi="Arial"/>
          <w:b w:val="false"/>
          <w:color w:val="000000"/>
          <w:sz w:val="20"/>
        </w:rPr>
      </w:pPr>
      <w:r>
        <w:rPr>
          <w:rFonts w:ascii="Arial" w:hAnsi="Arial"/>
          <w:b w:val="false"/>
          <w:color w:val="000000"/>
          <w:sz w:val="20"/>
        </w:rPr>
        <w:t>As of September 30, 2023 a petition was filed against Premium Tools LLC, a wholly owned subsidiary of DTIC, by Exco Resources Inc. The Company believes the ultimate resolution of this petition will not have a material adverse effect on its unaudited condensed consolidated balance sheets, statements of operations and comprehensive income or cash flows. In addition, a former employee has filed a claim under the Fair Labor Standards Act of 1938, as amended (the “FLSA”) seeking overtime payment. The Company believes this claim will be disallowed and will not have a material adverse effect on its unaudited condensed consolidated balance sheets, statements of operations and comprehensive income or cash flows. As of December 31, 2022, the Company had not been subject to any pending litigation claims.</w:t>
      </w:r>
    </w:p>
    <w:p>
      <w:pPr>
        <w:pStyle w:val="TextBody"/>
        <w:bidi w:val="0"/>
        <w:spacing w:before="9" w:after="283"/>
        <w:jc w:val="left"/>
        <w:rPr/>
      </w:pPr>
      <w:r>
        <w:rPr/>
        <w:t> </w:t>
      </w:r>
    </w:p>
    <w:p>
      <w:pPr>
        <w:pStyle w:val="TextBody"/>
        <w:bidi w:val="0"/>
        <w:jc w:val="both"/>
        <w:rPr>
          <w:rFonts w:ascii="Arial" w:hAnsi="Arial"/>
          <w:b/>
          <w:color w:val="000000"/>
          <w:sz w:val="20"/>
        </w:rPr>
      </w:pPr>
      <w:r>
        <w:rPr>
          <w:rFonts w:ascii="Arial" w:hAnsi="Arial"/>
          <w:b/>
          <w:color w:val="000000"/>
          <w:sz w:val="20"/>
        </w:rPr>
        <w:t>Management Fee</w:t>
      </w:r>
    </w:p>
    <w:p>
      <w:pPr>
        <w:pStyle w:val="TextBody"/>
        <w:bidi w:val="0"/>
        <w:jc w:val="both"/>
        <w:rPr>
          <w:rFonts w:ascii="Arial" w:hAnsi="Arial"/>
          <w:b w:val="false"/>
          <w:color w:val="000000"/>
          <w:sz w:val="20"/>
        </w:rPr>
      </w:pPr>
      <w:r>
        <w:rPr>
          <w:rFonts w:ascii="Arial" w:hAnsi="Arial"/>
          <w:b w:val="false"/>
          <w:color w:val="000000"/>
          <w:sz w:val="20"/>
        </w:rPr>
        <w:t>The Company is required to pay a monthly management fee to a shareholder. The fee is based upon a percentage of the Company’s trailing twelve months, earnings before interest, taxes and accumulated depreciation amount, as defined in the management agreement.</w:t>
      </w:r>
    </w:p>
    <w:p>
      <w:pPr>
        <w:pStyle w:val="TextBody"/>
        <w:bidi w:val="0"/>
        <w:spacing w:before="240" w:after="283"/>
        <w:jc w:val="left"/>
        <w:rPr>
          <w:rFonts w:ascii="Arial" w:hAnsi="Arial"/>
          <w:b/>
          <w:color w:val="000000"/>
          <w:sz w:val="20"/>
        </w:rPr>
      </w:pPr>
      <w:r>
        <w:rPr>
          <w:rFonts w:ascii="Arial" w:hAnsi="Arial"/>
          <w:b/>
          <w:color w:val="000000"/>
          <w:sz w:val="20"/>
        </w:rPr>
        <w:t>NOTE 15 – EARNINGS PER SHARE</w:t>
      </w:r>
    </w:p>
    <w:p>
      <w:pPr>
        <w:pStyle w:val="TextBody"/>
        <w:bidi w:val="0"/>
        <w:spacing w:before="240" w:after="283"/>
        <w:jc w:val="both"/>
        <w:rPr>
          <w:rFonts w:ascii="Arial" w:hAnsi="Arial"/>
          <w:b w:val="false"/>
          <w:color w:val="000000"/>
          <w:sz w:val="20"/>
        </w:rPr>
      </w:pPr>
      <w:r>
        <w:rPr>
          <w:rFonts w:ascii="Arial" w:hAnsi="Arial"/>
          <w:b w:val="false"/>
          <w:color w:val="000000"/>
          <w:sz w:val="20"/>
        </w:rPr>
        <w:t>Basic earnings per share is computed using the weighted-average number of common shares outstanding for the period. Diluted earnings per share is computed using the weighted-average number of common shares outstanding for the period plus dilutive potential common shares, including performance share awards, using the treasury stock method. Performance share awards are included based on the number of shares that would be issued as if the end of the reporting period was the end of the performance period and the result was dilutive.</w:t>
      </w:r>
    </w:p>
    <w:p>
      <w:pPr>
        <w:pStyle w:val="TextBody"/>
        <w:bidi w:val="0"/>
        <w:jc w:val="center"/>
        <w:rPr/>
      </w:pPr>
      <w:r>
        <w:rPr/>
        <w:t> </w:t>
      </w:r>
    </w:p>
    <w:p>
      <w:pPr>
        <w:pStyle w:val="TextBody"/>
        <w:bidi w:val="0"/>
        <w:jc w:val="center"/>
        <w:rPr>
          <w:rFonts w:ascii="Arial" w:hAnsi="Arial"/>
          <w:b w:val="false"/>
          <w:color w:val="000000"/>
          <w:sz w:val="20"/>
        </w:rPr>
      </w:pPr>
      <w:r>
        <w:rPr>
          <w:rFonts w:ascii="Arial" w:hAnsi="Arial"/>
          <w:b w:val="false"/>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val="false"/>
          <w:color w:val="000000"/>
          <w:sz w:val="20"/>
        </w:rPr>
        <w:t>The following table sets forth the computation of the Company’s basic and diluted net earnings per share for the three and nine months ended September 30, 2023 and 2022 (in thousands except share and per share data):</w:t>
      </w:r>
      <w:r>
        <w:rPr>
          <w:rFonts w:ascii="Times New Roman" w:hAnsi="Times New Roman"/>
          <w:color w:val="000000"/>
          <w:sz w:val="20"/>
        </w:rPr>
        <w:t xml:space="preserve">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785"/>
        <w:gridCol w:w="146"/>
        <w:gridCol w:w="213"/>
        <w:gridCol w:w="1080"/>
        <w:gridCol w:w="148"/>
        <w:gridCol w:w="148"/>
        <w:gridCol w:w="213"/>
        <w:gridCol w:w="1080"/>
        <w:gridCol w:w="166"/>
        <w:gridCol w:w="146"/>
        <w:gridCol w:w="211"/>
        <w:gridCol w:w="1066"/>
        <w:gridCol w:w="166"/>
        <w:gridCol w:w="146"/>
        <w:gridCol w:w="211"/>
        <w:gridCol w:w="1066"/>
        <w:gridCol w:w="214"/>
      </w:tblGrid>
      <w:tr>
        <w:trPr/>
        <w:tc>
          <w:tcPr>
            <w:tcW w:w="37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378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8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8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 September 30,</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8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12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vAlign w:val="center"/>
          </w:tcPr>
          <w:p>
            <w:pPr>
              <w:pStyle w:val="TableContents"/>
              <w:bidi w:val="0"/>
              <w:spacing w:before="0" w:after="283"/>
              <w:jc w:val="left"/>
              <w:rPr/>
            </w:pPr>
            <w:r>
              <w:rPr/>
              <w:t> </w:t>
            </w:r>
          </w:p>
        </w:tc>
        <w:tc>
          <w:tcPr>
            <w:tcW w:w="12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2022</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85"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Numerator:</w:t>
            </w:r>
          </w:p>
        </w:tc>
        <w:tc>
          <w:tcPr>
            <w:tcW w:w="146" w:type="dxa"/>
            <w:tcBorders/>
            <w:shd w:fill="CFF0FC" w:val="clear"/>
            <w:vAlign w:val="center"/>
          </w:tcPr>
          <w:p>
            <w:pPr>
              <w:pStyle w:val="TableContents"/>
              <w:bidi w:val="0"/>
              <w:spacing w:before="0" w:after="283"/>
              <w:jc w:val="left"/>
              <w:rPr/>
            </w:pPr>
            <w:r>
              <w:rPr/>
              <w:t> </w:t>
            </w:r>
          </w:p>
        </w:tc>
        <w:tc>
          <w:tcPr>
            <w:tcW w:w="1293" w:type="dxa"/>
            <w:gridSpan w:val="2"/>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1293"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7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77" w:type="dxa"/>
            <w:gridSpan w:val="2"/>
            <w:tcBorders/>
            <w:shd w:fill="CFF0FC" w:val="clear"/>
            <w:vAlign w:val="center"/>
          </w:tcPr>
          <w:p>
            <w:pPr>
              <w:pStyle w:val="TableContents"/>
              <w:bidi w:val="0"/>
              <w:spacing w:before="0" w:after="283"/>
              <w:jc w:val="right"/>
              <w:rPr/>
            </w:pPr>
            <w:r>
              <w:rPr/>
              <w:t> </w:t>
            </w:r>
          </w:p>
        </w:tc>
        <w:tc>
          <w:tcPr>
            <w:tcW w:w="214" w:type="dxa"/>
            <w:tcBorders/>
            <w:shd w:fill="CFF0FC" w:val="clear"/>
            <w:vAlign w:val="center"/>
          </w:tcPr>
          <w:p>
            <w:pPr>
              <w:pStyle w:val="TableContents"/>
              <w:bidi w:val="0"/>
              <w:spacing w:before="0" w:after="283"/>
              <w:jc w:val="right"/>
              <w:rPr/>
            </w:pPr>
            <w:r>
              <w:rPr/>
              <w:t> </w:t>
            </w:r>
          </w:p>
        </w:tc>
      </w:tr>
      <w:tr>
        <w:trPr/>
        <w:tc>
          <w:tcPr>
            <w:tcW w:w="3785"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Net income (loss)</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080"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4,287</w:t>
            </w:r>
          </w:p>
        </w:tc>
        <w:tc>
          <w:tcPr>
            <w:tcW w:w="148"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080"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6,996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06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10,925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06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14,263</w:t>
            </w:r>
          </w:p>
        </w:tc>
        <w:tc>
          <w:tcPr>
            <w:tcW w:w="214" w:type="dxa"/>
            <w:tcBorders/>
            <w:shd w:fill="FFFFFF" w:val="clear"/>
            <w:vAlign w:val="center"/>
          </w:tcPr>
          <w:p>
            <w:pPr>
              <w:pStyle w:val="TableContents"/>
              <w:bidi w:val="0"/>
              <w:spacing w:before="0" w:after="283"/>
              <w:jc w:val="left"/>
              <w:rPr/>
            </w:pPr>
            <w:r>
              <w:rPr/>
              <w:t> </w:t>
            </w:r>
          </w:p>
        </w:tc>
      </w:tr>
      <w:tr>
        <w:trPr/>
        <w:tc>
          <w:tcPr>
            <w:tcW w:w="3785"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Less: Redeemable convertible preferred stock dividends</w:t>
            </w:r>
          </w:p>
        </w:tc>
        <w:tc>
          <w:tcPr>
            <w:tcW w:w="146" w:type="dxa"/>
            <w:tcBorders/>
            <w:shd w:fill="CFF0FC" w:val="cle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righ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(883</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3785"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Net income (loss) attributable to common shareholders — basic</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0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4,287</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0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6,702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10,611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13,380</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85"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Add: Redeemable convertible preferred stock dividends</w:t>
            </w:r>
          </w:p>
        </w:tc>
        <w:tc>
          <w:tcPr>
            <w:tcW w:w="146" w:type="dxa"/>
            <w:tcBorders/>
            <w:shd w:fill="CFF0FC" w:val="cle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883</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85"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Net income (loss) attributable to common shareholders — diluted</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0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4,287</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0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6,996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10,925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14,263</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85"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Denominator</w:t>
            </w:r>
          </w:p>
        </w:tc>
        <w:tc>
          <w:tcPr>
            <w:tcW w:w="146" w:type="dxa"/>
            <w:tcBorders/>
            <w:shd w:fill="CFF0FC" w:val="clear"/>
            <w:vAlign w:val="center"/>
          </w:tcPr>
          <w:p>
            <w:pPr>
              <w:pStyle w:val="TableContents"/>
              <w:bidi w:val="0"/>
              <w:spacing w:before="0" w:after="283"/>
              <w:jc w:val="left"/>
              <w:rPr/>
            </w:pPr>
            <w:r>
              <w:rPr/>
              <w:t> </w:t>
            </w:r>
          </w:p>
        </w:tc>
        <w:tc>
          <w:tcPr>
            <w:tcW w:w="1293" w:type="dxa"/>
            <w:gridSpan w:val="2"/>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1293"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7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77" w:type="dxa"/>
            <w:gridSpan w:val="2"/>
            <w:tcBorders/>
            <w:shd w:fill="CFF0FC" w:val="clear"/>
            <w:vAlign w:val="center"/>
          </w:tcPr>
          <w:p>
            <w:pPr>
              <w:pStyle w:val="TableContents"/>
              <w:bidi w:val="0"/>
              <w:spacing w:before="0" w:after="283"/>
              <w:jc w:val="right"/>
              <w:rPr/>
            </w:pPr>
            <w:r>
              <w:rPr/>
              <w:t> </w:t>
            </w:r>
          </w:p>
        </w:tc>
        <w:tc>
          <w:tcPr>
            <w:tcW w:w="214" w:type="dxa"/>
            <w:tcBorders/>
            <w:shd w:fill="CFF0FC" w:val="clear"/>
            <w:vAlign w:val="center"/>
          </w:tcPr>
          <w:p>
            <w:pPr>
              <w:pStyle w:val="TableContents"/>
              <w:bidi w:val="0"/>
              <w:spacing w:before="0" w:after="283"/>
              <w:jc w:val="right"/>
              <w:rPr/>
            </w:pPr>
            <w:r>
              <w:rPr/>
              <w:t> </w:t>
            </w:r>
          </w:p>
        </w:tc>
      </w:tr>
      <w:tr>
        <w:trPr/>
        <w:tc>
          <w:tcPr>
            <w:tcW w:w="3785"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Weighted-average common shares used in computing</w:t>
              <w:br/>
              <w:t>   earnings per share — basic</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080"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29,768,568</w:t>
            </w:r>
          </w:p>
        </w:tc>
        <w:tc>
          <w:tcPr>
            <w:tcW w:w="148"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080"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11,951,137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18,608,708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11,951,137</w:t>
            </w:r>
          </w:p>
        </w:tc>
        <w:tc>
          <w:tcPr>
            <w:tcW w:w="214" w:type="dxa"/>
            <w:tcBorders/>
            <w:shd w:fill="FFFFFF" w:val="clear"/>
            <w:vAlign w:val="center"/>
          </w:tcPr>
          <w:p>
            <w:pPr>
              <w:pStyle w:val="TableContents"/>
              <w:bidi w:val="0"/>
              <w:spacing w:before="0" w:after="283"/>
              <w:jc w:val="left"/>
              <w:rPr/>
            </w:pPr>
            <w:r>
              <w:rPr/>
              <w:t> </w:t>
            </w:r>
          </w:p>
        </w:tc>
      </w:tr>
      <w:tr>
        <w:trPr/>
        <w:tc>
          <w:tcPr>
            <w:tcW w:w="3785"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Weighted-average effect of potentially dilutive securities:</w:t>
            </w:r>
          </w:p>
        </w:tc>
        <w:tc>
          <w:tcPr>
            <w:tcW w:w="146" w:type="dxa"/>
            <w:tcBorders/>
            <w:shd w:fill="CFF0FC" w:val="clear"/>
            <w:vAlign w:val="center"/>
          </w:tcPr>
          <w:p>
            <w:pPr>
              <w:pStyle w:val="TableContents"/>
              <w:bidi w:val="0"/>
              <w:spacing w:before="0" w:after="283"/>
              <w:jc w:val="left"/>
              <w:rPr/>
            </w:pPr>
            <w:r>
              <w:rPr/>
              <w:t> </w:t>
            </w:r>
          </w:p>
        </w:tc>
        <w:tc>
          <w:tcPr>
            <w:tcW w:w="1293" w:type="dxa"/>
            <w:gridSpan w:val="2"/>
            <w:tcBorders/>
            <w:shd w:fill="CFF0FC" w:val="clear"/>
            <w:vAlign w:val="center"/>
          </w:tcPr>
          <w:p>
            <w:pPr>
              <w:pStyle w:val="TableContents"/>
              <w:bidi w:val="0"/>
              <w:spacing w:before="0" w:after="283"/>
              <w:jc w:val="right"/>
              <w:rPr/>
            </w:pPr>
            <w:r>
              <w:rPr/>
              <w:t> </w:t>
            </w:r>
          </w:p>
        </w:tc>
        <w:tc>
          <w:tcPr>
            <w:tcW w:w="148" w:type="dxa"/>
            <w:tcBorders/>
            <w:shd w:fill="CFF0FC" w:val="clear"/>
            <w:vAlign w:val="center"/>
          </w:tcPr>
          <w:p>
            <w:pPr>
              <w:pStyle w:val="TableContents"/>
              <w:bidi w:val="0"/>
              <w:spacing w:before="0" w:after="283"/>
              <w:jc w:val="right"/>
              <w:rPr/>
            </w:pPr>
            <w:r>
              <w:rPr/>
              <w:t> </w:t>
            </w:r>
          </w:p>
        </w:tc>
        <w:tc>
          <w:tcPr>
            <w:tcW w:w="148" w:type="dxa"/>
            <w:tcBorders/>
            <w:shd w:fill="CFF0FC" w:val="clear"/>
            <w:vAlign w:val="center"/>
          </w:tcPr>
          <w:p>
            <w:pPr>
              <w:pStyle w:val="TableContents"/>
              <w:bidi w:val="0"/>
              <w:spacing w:before="0" w:after="283"/>
              <w:jc w:val="left"/>
              <w:rPr/>
            </w:pPr>
            <w:r>
              <w:rPr/>
              <w:t> </w:t>
            </w:r>
          </w:p>
        </w:tc>
        <w:tc>
          <w:tcPr>
            <w:tcW w:w="1293"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7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77" w:type="dxa"/>
            <w:gridSpan w:val="2"/>
            <w:tcBorders/>
            <w:shd w:fill="CFF0FC" w:val="clear"/>
            <w:vAlign w:val="center"/>
          </w:tcPr>
          <w:p>
            <w:pPr>
              <w:pStyle w:val="TableContents"/>
              <w:bidi w:val="0"/>
              <w:spacing w:before="0" w:after="283"/>
              <w:jc w:val="right"/>
              <w:rPr/>
            </w:pPr>
            <w:r>
              <w:rPr/>
              <w:t> </w:t>
            </w:r>
          </w:p>
        </w:tc>
        <w:tc>
          <w:tcPr>
            <w:tcW w:w="214" w:type="dxa"/>
            <w:tcBorders/>
            <w:shd w:fill="CFF0FC" w:val="clear"/>
            <w:vAlign w:val="center"/>
          </w:tcPr>
          <w:p>
            <w:pPr>
              <w:pStyle w:val="TableContents"/>
              <w:bidi w:val="0"/>
              <w:spacing w:before="0" w:after="283"/>
              <w:jc w:val="right"/>
              <w:rPr/>
            </w:pPr>
            <w:r>
              <w:rPr/>
              <w:t> </w:t>
            </w:r>
          </w:p>
        </w:tc>
      </w:tr>
      <w:tr>
        <w:trPr/>
        <w:tc>
          <w:tcPr>
            <w:tcW w:w="3785"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Effect of potentially dilutive time-based stock options</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080"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204,686</w:t>
            </w:r>
          </w:p>
        </w:tc>
        <w:tc>
          <w:tcPr>
            <w:tcW w:w="148"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080"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1,006,729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651,996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1,006,729</w:t>
            </w:r>
          </w:p>
        </w:tc>
        <w:tc>
          <w:tcPr>
            <w:tcW w:w="214" w:type="dxa"/>
            <w:tcBorders/>
            <w:shd w:fill="FFFFFF" w:val="clear"/>
            <w:vAlign w:val="center"/>
          </w:tcPr>
          <w:p>
            <w:pPr>
              <w:pStyle w:val="TableContents"/>
              <w:bidi w:val="0"/>
              <w:spacing w:before="0" w:after="283"/>
              <w:jc w:val="left"/>
              <w:rPr/>
            </w:pPr>
            <w:r>
              <w:rPr/>
              <w:t> </w:t>
            </w:r>
          </w:p>
        </w:tc>
      </w:tr>
      <w:tr>
        <w:trPr/>
        <w:tc>
          <w:tcPr>
            <w:tcW w:w="3785"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Effect of potentially dilutive performance-based stock options</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1080"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70,292</w:t>
            </w:r>
          </w:p>
        </w:tc>
        <w:tc>
          <w:tcPr>
            <w:tcW w:w="148"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1080"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60,269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color w:val="000000"/>
              </w:rPr>
            </w:pPr>
            <w:r>
              <w:rPr>
                <w:color w:val="000000"/>
              </w:rPr>
              <w:t>—</w:t>
            </w:r>
          </w:p>
        </w:tc>
        <w:tc>
          <w:tcPr>
            <w:tcW w:w="214" w:type="dxa"/>
            <w:tcBorders/>
            <w:shd w:fill="CFF0FC" w:val="clear"/>
            <w:vAlign w:val="center"/>
          </w:tcPr>
          <w:p>
            <w:pPr>
              <w:pStyle w:val="TableContents"/>
              <w:bidi w:val="0"/>
              <w:spacing w:before="0" w:after="283"/>
              <w:jc w:val="left"/>
              <w:rPr/>
            </w:pPr>
            <w:r>
              <w:rPr/>
              <w:t> </w:t>
            </w:r>
          </w:p>
        </w:tc>
      </w:tr>
      <w:tr>
        <w:trPr/>
        <w:tc>
          <w:tcPr>
            <w:tcW w:w="3785"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Effect of potentially dilutive redeemable convertible</w:t>
              <w:br/>
              <w:t>   preferred stock</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6,719,641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4,233,620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6,719,641</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85"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Weighted-average common shares outstanding — diluted</w:t>
            </w:r>
          </w:p>
        </w:tc>
        <w:tc>
          <w:tcPr>
            <w:tcW w:w="146" w:type="dxa"/>
            <w:tcBorders/>
            <w:shd w:fill="CFF0FC" w:val="cle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30,043,546</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19,677,507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23,554,593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19,677,507</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85" w:type="dxa"/>
            <w:tcBorders/>
            <w:shd w:fill="FFFFFF"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Earnings (net loss) per share — basic</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0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0.14</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0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0.56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0.57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1.12</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85"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Earnings (net loss) per share — diluted</w:t>
            </w:r>
          </w:p>
        </w:tc>
        <w:tc>
          <w:tcPr>
            <w:tcW w:w="146" w:type="dxa"/>
            <w:tcBorders/>
            <w:shd w:fill="CFF0FC" w:val="cle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0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0.14</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0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0.36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0.46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0.72</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Arial" w:hAnsi="Arial"/>
          <w:b w:val="false"/>
          <w:color w:val="000000"/>
          <w:sz w:val="20"/>
        </w:rPr>
        <w:t>As of September 30, 2023, the Company’s potentially dilutive securities consisted of options to purchase common stock. As of September 30, 2022, the Company's potentially dilutive securities consisted of redeemable convertible preferred stock and options to purchase common stock. Based on the amounts outstanding as of the three and nine months ended September 30, 2023 and 2022, the Company excluded the following potential common shares from the computation of diluted net loss per share because including them would have had an anti-dilutive effect:</w:t>
      </w:r>
      <w:r>
        <w:rPr>
          <w:rFonts w:ascii="Times New Roman" w:hAnsi="Times New Roman"/>
          <w:color w:val="000000"/>
          <w:sz w:val="20"/>
        </w:rPr>
        <w:t xml:space="preserve"> </w:t>
      </w:r>
    </w:p>
    <w:p>
      <w:pPr>
        <w:pStyle w:val="TextBody"/>
        <w:bidi w:val="0"/>
        <w:jc w:val="both"/>
        <w:rPr/>
      </w:pPr>
      <w:r>
        <w:rPr/>
        <w:t> </w:t>
      </w:r>
    </w:p>
    <w:tbl>
      <w:tblPr>
        <w:tblW w:w="9283" w:type="dxa"/>
        <w:jc w:val="left"/>
        <w:tblInd w:w="0" w:type="dxa"/>
        <w:tblLayout w:type="fixed"/>
        <w:tblCellMar>
          <w:top w:w="28" w:type="dxa"/>
          <w:left w:w="28" w:type="dxa"/>
          <w:bottom w:w="28" w:type="dxa"/>
          <w:right w:w="28" w:type="dxa"/>
        </w:tblCellMar>
      </w:tblPr>
      <w:tblGrid>
        <w:gridCol w:w="2896"/>
        <w:gridCol w:w="146"/>
        <w:gridCol w:w="196"/>
        <w:gridCol w:w="1070"/>
        <w:gridCol w:w="196"/>
        <w:gridCol w:w="196"/>
        <w:gridCol w:w="196"/>
        <w:gridCol w:w="1070"/>
        <w:gridCol w:w="146"/>
        <w:gridCol w:w="146"/>
        <w:gridCol w:w="190"/>
        <w:gridCol w:w="1037"/>
        <w:gridCol w:w="190"/>
        <w:gridCol w:w="190"/>
        <w:gridCol w:w="190"/>
        <w:gridCol w:w="1037"/>
        <w:gridCol w:w="191"/>
      </w:tblGrid>
      <w:tr>
        <w:trPr/>
        <w:tc>
          <w:tcPr>
            <w:tcW w:w="2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9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9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8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9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12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12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0" w:type="dxa"/>
            <w:tcBorders/>
            <w:shd w:fill="FFFFFF" w:val="clear"/>
            <w:vAlign w:val="center"/>
          </w:tcPr>
          <w:p>
            <w:pPr>
              <w:pStyle w:val="TableContents"/>
              <w:bidi w:val="0"/>
              <w:spacing w:before="0" w:after="283"/>
              <w:jc w:val="left"/>
              <w:rPr/>
            </w:pPr>
            <w:r>
              <w:rPr/>
              <w:t> </w:t>
            </w:r>
          </w:p>
        </w:tc>
        <w:tc>
          <w:tcPr>
            <w:tcW w:w="12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9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Time-based options outstanding</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140,135</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140,135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140,135</w:t>
            </w:r>
          </w:p>
        </w:tc>
        <w:tc>
          <w:tcPr>
            <w:tcW w:w="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0" w:type="dxa"/>
            <w:tcBorders/>
            <w:shd w:fill="CFF0FC" w:val="clear"/>
            <w:vAlign w:val="center"/>
          </w:tcPr>
          <w:p>
            <w:pPr>
              <w:pStyle w:val="TableContents"/>
              <w:bidi w:val="0"/>
              <w:spacing w:before="0" w:after="283"/>
              <w:jc w:val="left"/>
              <w:rPr/>
            </w:pPr>
            <w:r>
              <w:rPr/>
              <w:t> </w:t>
            </w:r>
          </w:p>
        </w:tc>
        <w:tc>
          <w:tcPr>
            <w:tcW w:w="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140,135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96" w:type="dxa"/>
            <w:tcBorders/>
            <w:shd w:fill="FFFFFF"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140,135</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140,135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140,135</w:t>
            </w:r>
          </w:p>
        </w:tc>
        <w:tc>
          <w:tcPr>
            <w:tcW w:w="1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140,135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Arial" w:hAnsi="Arial"/>
          <w:b w:val="false"/>
          <w:color w:val="000000"/>
          <w:sz w:val="20"/>
        </w:rPr>
        <w:t>Our performance-based stock options were excluded from the diluted earnings per share calculations for the three and nine months ended September 30, 2022 because all necessary performance conditions were not satisfied by September 30, 2022. Our performance-based stock options excluded from diluted earnings per share for the three and nine months ended September 30, 2022 were as follows:</w:t>
      </w:r>
      <w:r>
        <w:rPr>
          <w:rFonts w:ascii="Times New Roman" w:hAnsi="Times New Roman"/>
          <w:color w:val="000000"/>
          <w:sz w:val="20"/>
        </w:rPr>
        <w:t xml:space="preserve"> </w:t>
      </w:r>
    </w:p>
    <w:p>
      <w:pPr>
        <w:pStyle w:val="TextBody"/>
        <w:bidi w:val="0"/>
        <w:jc w:val="both"/>
        <w:rPr/>
      </w:pPr>
      <w:r>
        <w:rPr/>
        <w:t> </w:t>
      </w:r>
    </w:p>
    <w:tbl>
      <w:tblPr>
        <w:tblW w:w="9954" w:type="dxa"/>
        <w:jc w:val="left"/>
        <w:tblInd w:w="0" w:type="dxa"/>
        <w:tblLayout w:type="fixed"/>
        <w:tblCellMar>
          <w:top w:w="28" w:type="dxa"/>
          <w:left w:w="28" w:type="dxa"/>
          <w:bottom w:w="28" w:type="dxa"/>
          <w:right w:w="28" w:type="dxa"/>
        </w:tblCellMar>
      </w:tblPr>
      <w:tblGrid>
        <w:gridCol w:w="3571"/>
        <w:gridCol w:w="146"/>
        <w:gridCol w:w="247"/>
        <w:gridCol w:w="586"/>
        <w:gridCol w:w="247"/>
        <w:gridCol w:w="247"/>
        <w:gridCol w:w="247"/>
        <w:gridCol w:w="1349"/>
        <w:gridCol w:w="146"/>
        <w:gridCol w:w="146"/>
        <w:gridCol w:w="239"/>
        <w:gridCol w:w="568"/>
        <w:gridCol w:w="239"/>
        <w:gridCol w:w="239"/>
        <w:gridCol w:w="239"/>
        <w:gridCol w:w="1307"/>
        <w:gridCol w:w="191"/>
      </w:tblGrid>
      <w:tr>
        <w:trPr/>
        <w:tc>
          <w:tcPr>
            <w:tcW w:w="3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7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92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8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7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8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7" w:type="dxa"/>
            <w:tcBorders/>
            <w:shd w:fill="FFFFFF" w:val="clear"/>
            <w:vAlign w:val="center"/>
          </w:tcPr>
          <w:p>
            <w:pPr>
              <w:pStyle w:val="TableContents"/>
              <w:bidi w:val="0"/>
              <w:spacing w:before="0" w:after="283"/>
              <w:jc w:val="left"/>
              <w:rPr/>
            </w:pPr>
            <w:r>
              <w:rPr/>
              <w:t> </w:t>
            </w:r>
          </w:p>
        </w:tc>
        <w:tc>
          <w:tcPr>
            <w:tcW w:w="15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9" w:type="dxa"/>
            <w:tcBorders/>
            <w:shd w:fill="FFFFFF" w:val="clear"/>
            <w:vAlign w:val="center"/>
          </w:tcPr>
          <w:p>
            <w:pPr>
              <w:pStyle w:val="TableContents"/>
              <w:bidi w:val="0"/>
              <w:spacing w:before="0" w:after="283"/>
              <w:jc w:val="left"/>
              <w:rPr/>
            </w:pPr>
            <w:r>
              <w:rPr/>
              <w:t> </w:t>
            </w:r>
          </w:p>
        </w:tc>
        <w:tc>
          <w:tcPr>
            <w:tcW w:w="15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7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Performance-based options outstanding</w:t>
            </w:r>
          </w:p>
        </w:tc>
        <w:tc>
          <w:tcPr>
            <w:tcW w:w="146" w:type="dxa"/>
            <w:tcBorders/>
            <w:shd w:fill="CFF0FC" w:val="clear"/>
            <w:vAlign w:val="center"/>
          </w:tcPr>
          <w:p>
            <w:pPr>
              <w:pStyle w:val="TableContents"/>
              <w:bidi w:val="0"/>
              <w:spacing w:before="0" w:after="283"/>
              <w:jc w:val="lef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7" w:type="dxa"/>
            <w:tcBorders/>
            <w:shd w:fill="CFF0FC" w:val="clear"/>
            <w:vAlign w:val="center"/>
          </w:tcPr>
          <w:p>
            <w:pPr>
              <w:pStyle w:val="TableContents"/>
              <w:bidi w:val="0"/>
              <w:spacing w:before="0" w:after="283"/>
              <w:jc w:val="lef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534,063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534,063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71" w:type="dxa"/>
            <w:tcBorders/>
            <w:shd w:fill="FFFFFF"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2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534,063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534,063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Arial" w:hAnsi="Arial"/>
          <w:b/>
          <w:color w:val="000000"/>
          <w:sz w:val="20"/>
        </w:rPr>
      </w:pPr>
      <w:r>
        <w:rPr>
          <w:rFonts w:ascii="Arial" w:hAnsi="Arial"/>
          <w:b/>
          <w:color w:val="000000"/>
          <w:sz w:val="20"/>
        </w:rPr>
        <w:t>NOTE 16 – SUBSEQUENT EVENTS</w:t>
      </w:r>
    </w:p>
    <w:p>
      <w:pPr>
        <w:pStyle w:val="TextBody"/>
        <w:bidi w:val="0"/>
        <w:spacing w:before="240" w:after="283"/>
        <w:jc w:val="both"/>
        <w:rPr>
          <w:rFonts w:ascii="Arial" w:hAnsi="Arial"/>
          <w:b w:val="false"/>
          <w:color w:val="000000"/>
          <w:sz w:val="20"/>
        </w:rPr>
      </w:pPr>
      <w:r>
        <w:rPr>
          <w:rFonts w:ascii="Arial" w:hAnsi="Arial"/>
          <w:b w:val="false"/>
          <w:color w:val="000000"/>
          <w:sz w:val="20"/>
        </w:rPr>
        <w:t>None.</w:t>
      </w:r>
    </w:p>
    <w:p>
      <w:pPr>
        <w:pStyle w:val="TextBody"/>
        <w:bidi w:val="0"/>
        <w:jc w:val="center"/>
        <w:rPr/>
      </w:pPr>
      <w:r>
        <w:rPr/>
        <w:t> </w:t>
      </w:r>
    </w:p>
    <w:p>
      <w:pPr>
        <w:pStyle w:val="TextBody"/>
        <w:bidi w:val="0"/>
        <w:jc w:val="center"/>
        <w:rPr>
          <w:rFonts w:ascii="Arial" w:hAnsi="Arial"/>
          <w:b w:val="false"/>
          <w:color w:val="000000"/>
          <w:sz w:val="20"/>
        </w:rPr>
      </w:pPr>
      <w:r>
        <w:rPr>
          <w:rFonts w:ascii="Arial" w:hAnsi="Arial"/>
          <w:b w:val="false"/>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Arial" w:hAnsi="Arial"/>
          <w:b/>
          <w:color w:val="000000"/>
          <w:sz w:val="20"/>
        </w:rPr>
      </w:pPr>
      <w:bookmarkStart w:id="10" w:name="item_2_mda"/>
      <w:bookmarkEnd w:id="10"/>
      <w:r>
        <w:rPr>
          <w:rFonts w:ascii="Arial" w:hAnsi="Arial"/>
          <w:b/>
          <w:color w:val="000000"/>
          <w:sz w:val="20"/>
        </w:rPr>
        <w:t>Item 2. Management’s Discussion and Analysis of Financial Condition and Results of Operations.</w:t>
      </w:r>
    </w:p>
    <w:p>
      <w:pPr>
        <w:pStyle w:val="TextBody"/>
        <w:bidi w:val="0"/>
        <w:spacing w:before="240" w:after="283"/>
        <w:jc w:val="both"/>
        <w:rPr>
          <w:rFonts w:ascii="Arial" w:hAnsi="Arial"/>
          <w:b w:val="false"/>
          <w:i/>
          <w:color w:val="000000"/>
          <w:sz w:val="20"/>
        </w:rPr>
      </w:pPr>
      <w:r>
        <w:rPr>
          <w:rFonts w:ascii="Arial" w:hAnsi="Arial"/>
          <w:b w:val="false"/>
          <w:i/>
          <w:color w:val="000000"/>
          <w:sz w:val="20"/>
        </w:rPr>
        <w:t>Drilling Tools International Holdings, Inc. (“DTIH”) entered into a business combination agreement (the “Agreement”) with ROC Energy Acquisition Corp. (“ROC”) on February 13, 2023. The transactions contemplated by the Agreement (the “Business Combination”) were completed on June 20, 2023, and in conjunction therewith ROC changed its name to Drilling Tools International Corporation (“DTIC” and, together with its subsidiaries, “DTI”, the “Company”, “we”, “us” or “our”, unless the context otherwise requires).</w:t>
      </w:r>
    </w:p>
    <w:p>
      <w:pPr>
        <w:pStyle w:val="TextBody"/>
        <w:bidi w:val="0"/>
        <w:spacing w:before="240" w:after="283"/>
        <w:jc w:val="both"/>
        <w:rPr>
          <w:rFonts w:ascii="Arial" w:hAnsi="Arial"/>
          <w:b w:val="false"/>
          <w:i/>
          <w:color w:val="000000"/>
          <w:sz w:val="20"/>
        </w:rPr>
      </w:pPr>
      <w:r>
        <w:rPr>
          <w:rFonts w:ascii="Arial" w:hAnsi="Arial"/>
          <w:b w:val="false"/>
          <w:i/>
          <w:color w:val="000000"/>
          <w:sz w:val="20"/>
        </w:rPr>
        <w:t>The following discussion and analysis of our financial condition and results of operations should be read in conjunction with our unaudited interim financial statements and the related notes included under Part I, Item 1 of this Quarterly Report on Form 10-Q (the “Report”) as well as DTIH’s audited consolidated financial statements and notes thereto included in the prospectus/proxy statement/consent solicitation statement, dated May 12, 2023, and filed with the SEC. The following discussion contains forward-looking statements based upon current expectations that involve risks, uncertainties and assumptions. Our actual results may differ materially from those anticipated in these forward-looking statements as a result of various factors, including those set forth under the sections titled “Risk Factors” and “Cautionary Note Regarding Forward-Looking Statements” or in other parts of this Report. Our historical results are not necessarily indicative of the results that may be expected for any period in the future. All dollar amounts are expressed in thousands of United States dollars (“$”), unless otherwise indicated.</w:t>
      </w:r>
    </w:p>
    <w:p>
      <w:pPr>
        <w:pStyle w:val="TextBody"/>
        <w:bidi w:val="0"/>
        <w:spacing w:before="240" w:after="283"/>
        <w:jc w:val="both"/>
        <w:rPr>
          <w:rFonts w:ascii="Times New Roman" w:hAnsi="Times New Roman"/>
          <w:sz w:val="20"/>
        </w:rPr>
      </w:pPr>
      <w:r>
        <w:rPr>
          <w:rFonts w:ascii="Arial" w:hAnsi="Arial"/>
          <w:b w:val="false"/>
          <w:i/>
          <w:color w:val="000000"/>
          <w:sz w:val="20"/>
        </w:rPr>
        <w:t>Capitalized terms used in this section, but not otherwise defined, have the meanings ascribed to them in the Report.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color w:val="000000"/>
          <w:sz w:val="20"/>
        </w:rPr>
        <w:t>Overview</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Arial" w:hAnsi="Arial"/>
          <w:b w:val="false"/>
          <w:color w:val="000000"/>
          <w:sz w:val="20"/>
        </w:rPr>
        <w:t>We are a leading oilfield services company, based on the percentage of active rigs to which we supply tools in the geographies in which we are active, that rents downhole drilling tools used in horizontal and directional drilling of oil and natural gas. We operate from 16 service centers, shops, distribution and repair centers in North America and four international locations in Europe and the Middle East and maintain a large fleet of rental equipment consisting of drill collars, stabilizers, crossover subs, wellbore conditioning tools, drill pipe, hevi</w:t>
      </w:r>
      <w:r>
        <w:rPr>
          <w:rFonts w:ascii="Times New Roman" w:hAnsi="Times New Roman"/>
          <w:color w:val="000000"/>
          <w:sz w:val="20"/>
        </w:rPr>
        <w:noBreakHyphen/>
      </w:r>
      <w:r>
        <w:rPr>
          <w:rFonts w:ascii="Arial" w:hAnsi="Arial"/>
          <w:b w:val="false"/>
          <w:color w:val="000000"/>
          <w:sz w:val="20"/>
        </w:rPr>
        <w:t>wate drill pipe and tubing. We also rent surface control equipment such as blowout preventers and handling tools and provide downhole products for producing wells.</w:t>
      </w:r>
    </w:p>
    <w:p>
      <w:pPr>
        <w:pStyle w:val="TextBody"/>
        <w:bidi w:val="0"/>
        <w:spacing w:before="240" w:after="283"/>
        <w:jc w:val="both"/>
        <w:rPr>
          <w:rFonts w:ascii="Arial" w:hAnsi="Arial"/>
          <w:b w:val="false"/>
          <w:color w:val="000000"/>
          <w:sz w:val="20"/>
        </w:rPr>
      </w:pPr>
      <w:r>
        <w:rPr>
          <w:rFonts w:ascii="Arial" w:hAnsi="Arial"/>
          <w:b w:val="false"/>
          <w:color w:val="000000"/>
          <w:sz w:val="20"/>
        </w:rPr>
        <w:t>Our business model primarily centers on revenue generated from tool rentals and product sales. We generated revenue from total tool rentals and product sales of $38.1 million and $36.5 million for the three months ended September 30, 2023 and 2022, respectively, and had net income of $4.3 million and $7.0 million for those same periods. Additionally, we generated revenue from tool rentals and product sales of $116.8 million and $92.9 million for the nine months ended September 30, 2023 and 2022, respectively, and had net income of $10.9 million and $14.3 million for those same periods, respectively. As of September 30, 2023, we had cash and cash equivalents of $4.0 million, and an accumulated deficit of $10.1 million.</w:t>
      </w:r>
    </w:p>
    <w:p>
      <w:pPr>
        <w:pStyle w:val="TextBody"/>
        <w:bidi w:val="0"/>
        <w:spacing w:before="240" w:after="283"/>
        <w:jc w:val="both"/>
        <w:rPr>
          <w:rFonts w:ascii="Arial" w:hAnsi="Arial"/>
          <w:b w:val="false"/>
          <w:color w:val="000000"/>
          <w:sz w:val="20"/>
        </w:rPr>
      </w:pPr>
      <w:r>
        <w:rPr>
          <w:rFonts w:ascii="Arial" w:hAnsi="Arial"/>
          <w:b w:val="false"/>
          <w:color w:val="000000"/>
          <w:sz w:val="20"/>
        </w:rPr>
        <w:t>We believe our future financial performance will be driven by continued investment in oil and gas drilling following years of industry underinvestment.</w:t>
      </w:r>
    </w:p>
    <w:p>
      <w:pPr>
        <w:pStyle w:val="TextBody"/>
        <w:bidi w:val="0"/>
        <w:spacing w:before="240" w:after="283"/>
        <w:jc w:val="both"/>
        <w:rPr>
          <w:rFonts w:ascii="Times New Roman" w:hAnsi="Times New Roman"/>
          <w:sz w:val="20"/>
        </w:rPr>
      </w:pPr>
      <w:r>
        <w:rPr>
          <w:rFonts w:ascii="Arial" w:hAnsi="Arial"/>
          <w:b/>
          <w:color w:val="000000"/>
          <w:sz w:val="20"/>
        </w:rPr>
        <w:t>Market Factors</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Arial" w:hAnsi="Arial"/>
          <w:b w:val="false"/>
          <w:color w:val="000000"/>
          <w:sz w:val="20"/>
        </w:rPr>
        <w:t>Demand for our services and products depends primarily upon the general level of activity in the oil and gas industry, including the number of active drilling rigs, the number of wells drilled, the depth and working pressure of these wells, the number of well completions, the level of well remediation activity, the volume of production and the corresponding capital spending by oil and natural gas companies. Oil and gas activity is in turn heavily influenced by, among other factors, investor sentiment, availability of capital and oil and gas prices locally and worldwide, which have historically been volatile.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Our tool rental revenues are primarily dependent on drilling activity and our ability to gain or maintain market share with a sustainable pricing model.</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Our product sales revenues are primarily dependent on oil and gas companies paying for tools that are lost or damaged in their drilling programs as well as the drilling contractors need to replace aging or consumable products and our ability to provide competitive pricing.</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All of these factors may be influenced by the oil and gas region in which our customers are operating. While these factors may lead to differing revenues, we have generally been able to forecast our product needs and anticipated revenue levels based on historic trends in a given region and with a specific customer.</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b w:val="false"/>
          <w:color w:val="000000"/>
          <w:sz w:val="20"/>
        </w:rPr>
      </w:pPr>
      <w:r>
        <w:rPr>
          <w:rFonts w:ascii="Arial" w:hAnsi="Arial"/>
          <w:b w:val="false"/>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color w:val="000000"/>
          <w:sz w:val="20"/>
        </w:rPr>
        <w:t>Recent Developments and Trends</w:t>
      </w:r>
      <w:r>
        <w:rPr>
          <w:rFonts w:ascii="Times New Roman" w:hAnsi="Times New Roman"/>
          <w:color w:val="000000"/>
          <w:sz w:val="20"/>
        </w:rPr>
        <w:t xml:space="preserve"> </w:t>
      </w:r>
    </w:p>
    <w:p>
      <w:pPr>
        <w:pStyle w:val="TextBody"/>
        <w:bidi w:val="0"/>
        <w:spacing w:before="240" w:after="283"/>
        <w:jc w:val="both"/>
        <w:rPr>
          <w:rFonts w:ascii="Arial" w:hAnsi="Arial"/>
          <w:b w:val="false"/>
          <w:i/>
          <w:color w:val="000000"/>
          <w:sz w:val="20"/>
        </w:rPr>
      </w:pPr>
      <w:r>
        <w:rPr>
          <w:rFonts w:ascii="Arial" w:hAnsi="Arial"/>
          <w:b w:val="false"/>
          <w:i/>
          <w:color w:val="000000"/>
          <w:sz w:val="20"/>
        </w:rPr>
        <w:t>Industry Update</w:t>
      </w:r>
    </w:p>
    <w:p>
      <w:pPr>
        <w:pStyle w:val="TextBody"/>
        <w:bidi w:val="0"/>
        <w:spacing w:before="240" w:after="283"/>
        <w:jc w:val="both"/>
        <w:rPr>
          <w:rFonts w:ascii="Times New Roman" w:hAnsi="Times New Roman"/>
          <w:sz w:val="20"/>
        </w:rPr>
      </w:pPr>
      <w:r>
        <w:rPr>
          <w:rFonts w:ascii="Arial" w:hAnsi="Arial"/>
          <w:b w:val="false"/>
          <w:color w:val="000000"/>
          <w:sz w:val="20"/>
        </w:rPr>
        <w:t>In 2020 and early 2021, demand for oil significantly declined as a result of the COVID-19 pandemic and other factors. Oil prices have since increased due in part to an increase in demand and measured production increases by OPEC+ members. However, prices remained volatile through 2022. In the first half of 2022, West Texas Intermediate (“WTI”) oil prices and volatility thereof increased dramatically, in large part due to Russia’s invasion of Ukraine. Russia has since been subject to a host of sanctions, some of which limit its ability to export crude oil and other petroleum products. The anticipated impact on supply</w:t>
      </w:r>
      <w:r>
        <w:rPr>
          <w:rFonts w:ascii="Times New Roman" w:hAnsi="Times New Roman"/>
          <w:color w:val="000000"/>
          <w:sz w:val="20"/>
        </w:rPr>
        <w:t xml:space="preserve"> </w:t>
      </w:r>
      <w:r>
        <w:rPr>
          <w:rFonts w:ascii="Arial" w:hAnsi="Arial"/>
          <w:b w:val="false"/>
          <w:color w:val="000000"/>
          <w:sz w:val="20"/>
        </w:rPr>
        <w:t>drove WTI oil prices above $106 per barrel in June 2022.</w:t>
      </w:r>
    </w:p>
    <w:p>
      <w:pPr>
        <w:pStyle w:val="TextBody"/>
        <w:bidi w:val="0"/>
        <w:jc w:val="both"/>
        <w:rPr>
          <w:rFonts w:ascii="Times New Roman" w:hAnsi="Times New Roman"/>
          <w:sz w:val="20"/>
        </w:rPr>
      </w:pPr>
      <w:r>
        <w:rPr>
          <w:rFonts w:ascii="Arial" w:hAnsi="Arial"/>
          <w:b w:val="false"/>
          <w:color w:val="000000"/>
          <w:sz w:val="20"/>
        </w:rPr>
        <w:t>By the end of December 2022, WTI oil prices declined to approximately $80 per barrel due in part to high inflation rates and fears of a global recession that could negatively impact oil demand. WTI oil prices declined further during the first quarter of 2023, reaching a low of $67 per barrel in the middle of March, following turmoil in the banking sector, which escalated fears of a global recession and a concomitant decline in oil demand. However, in April 2023, WTI oil prices returned to the low-$80s per barrel range, due in part to OPEC+’s decision to further cut production by approximately 1.2 million barrels per day. This production cut was effective as of May 2023 and is expected to continue through the end of the year. As of September 30, 2023, the WTI oil price was approximately $89 per barrel.</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w:hAnsi="Arial"/>
          <w:b w:val="false"/>
          <w:color w:val="000000"/>
          <w:sz w:val="20"/>
        </w:rPr>
      </w:pPr>
      <w:r>
        <w:rPr>
          <w:rFonts w:ascii="Arial" w:hAnsi="Arial"/>
          <w:b w:val="false"/>
          <w:color w:val="000000"/>
          <w:sz w:val="20"/>
        </w:rPr>
        <w:t>Despite the high volatility in spot oil prices described above, our customers tend to be more focused on medium-term and long</w:t>
        <w:noBreakHyphen/>
        <w:t>term commodity prices when making investment decisions due to the longer lead times for offshore projects. These forward prices have experienced far less volatility in 2022 and 2023 and have maintained levels which are highly constructive for offshore project demand.</w:t>
      </w:r>
    </w:p>
    <w:p>
      <w:pPr>
        <w:pStyle w:val="TextBody"/>
        <w:bidi w:val="0"/>
        <w:jc w:val="both"/>
        <w:rPr>
          <w:rFonts w:ascii="Times New Roman" w:hAnsi="Times New Roman"/>
          <w:sz w:val="20"/>
        </w:rPr>
      </w:pPr>
      <w:r>
        <w:rPr>
          <w:rFonts w:ascii="Arial" w:hAnsi="Arial"/>
          <w:b w:val="false"/>
          <w:color w:val="000000"/>
          <w:sz w:val="20"/>
        </w:rPr>
        <w:t>Prices for natural gas have increased somewhat throughout the third quarter of 2023 relative to the second quarter of 2023 in the United States due to several factors, including an increase in weather driven demand as well as inflationary pressures and supply risks. Henry Hub natural gas spot prices have decreased from an average of $7.88 per one million British Thermal Units (“MMBtu”) in September 2022 to $5.53 per MMBtu for December 2022 and $2.64 per MMBtu in September 2023.</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Arial" w:hAnsi="Arial"/>
          <w:b w:val="false"/>
          <w:color w:val="000000"/>
          <w:sz w:val="20"/>
        </w:rPr>
        <w:t>The ongoing conflict in Ukraine and the evolving Israel-Hamas conflict have caused uncertainty in the oil and natural gas markets, and the financial markets, both globally and in the United States. Such uncertainty already has and could continue to cause stock price volatility and supply chain disruptions as well as higher oil and natural gas prices. These could result in higher inflation worldwide, impact consumer spending and negatively impact demand for our goods and services. Moreover, additional interest rate increases by the U.S. Federal Reserve to combat inflation could further increase the probability of a recession.</w:t>
      </w:r>
      <w:r>
        <w:rPr>
          <w:rFonts w:ascii="Times New Roman" w:hAnsi="Times New Roman"/>
          <w:color w:val="000000"/>
          <w:sz w:val="20"/>
        </w:rPr>
        <w:t xml:space="preserve"> </w:t>
      </w:r>
    </w:p>
    <w:p>
      <w:pPr>
        <w:pStyle w:val="TextBody"/>
        <w:bidi w:val="0"/>
        <w:jc w:val="both"/>
        <w:rPr>
          <w:rFonts w:ascii="Arial" w:hAnsi="Arial"/>
          <w:b w:val="false"/>
          <w:color w:val="000000"/>
          <w:sz w:val="20"/>
        </w:rPr>
      </w:pPr>
      <w:r>
        <w:rPr>
          <w:rFonts w:ascii="Arial" w:hAnsi="Arial"/>
          <w:b w:val="false"/>
          <w:color w:val="000000"/>
          <w:sz w:val="20"/>
        </w:rPr>
        <w:t>Notwithstanding the significant commodity price volatility over the past several years, we have seen increases in United States onshore drilling activity. During the three and nine months ended September 30, 2023, the weekly average U.S. onshore rig count as reported by Baker Hughes was 627 and 689 rigs, respectively, compared to 741 and 688 rigs for the three and nine months ended September 30, 2022, respectively. Current rig activity remains significantly reduced from 2019 levels when the weekly average rig count for the three and nine months ended September 30, 2019 was 894 and 959, respectively. However, notwithstanding the impact of longer laterals, improved rig efficiencies have partially offset the impact of this reduction.</w:t>
      </w:r>
    </w:p>
    <w:p>
      <w:pPr>
        <w:pStyle w:val="TextBody"/>
        <w:bidi w:val="0"/>
        <w:spacing w:before="240" w:after="283"/>
        <w:jc w:val="both"/>
        <w:rPr>
          <w:rFonts w:ascii="Times New Roman" w:hAnsi="Times New Roman"/>
          <w:sz w:val="20"/>
        </w:rPr>
      </w:pPr>
      <w:r>
        <w:rPr>
          <w:rFonts w:ascii="Arial" w:hAnsi="Arial"/>
          <w:b/>
          <w:color w:val="000000"/>
          <w:sz w:val="20"/>
        </w:rPr>
        <w:t>Inflation and Increased Costs</w:t>
      </w:r>
      <w:r>
        <w:rPr>
          <w:rFonts w:ascii="Times New Roman" w:hAnsi="Times New Roman"/>
          <w:color w:val="000000"/>
          <w:sz w:val="20"/>
        </w:rPr>
        <w:t xml:space="preserve"> </w:t>
      </w:r>
    </w:p>
    <w:p>
      <w:pPr>
        <w:pStyle w:val="TextBody"/>
        <w:bidi w:val="0"/>
        <w:spacing w:before="240" w:after="283"/>
        <w:jc w:val="both"/>
        <w:rPr>
          <w:rFonts w:ascii="Arial" w:hAnsi="Arial"/>
          <w:b w:val="false"/>
          <w:color w:val="000000"/>
          <w:sz w:val="20"/>
        </w:rPr>
      </w:pPr>
      <w:r>
        <w:rPr>
          <w:rFonts w:ascii="Arial" w:hAnsi="Arial"/>
          <w:b w:val="false"/>
          <w:color w:val="000000"/>
          <w:sz w:val="20"/>
        </w:rPr>
        <w:t>We are experiencing the impacts of global inflation, both in increased personnel costs and the prices of goods and services required to operate our rigs and execute capital projects. While we are currently unable to estimate the ultimate impact of rising prices, we do expect that our costs will continue to rise in the near term and will impact our profitability. To date, we do not believe that inflation has had a material impact to our financial condition or results of operations because we have been able to increase the prices we receive from our customers.</w:t>
      </w:r>
    </w:p>
    <w:p>
      <w:pPr>
        <w:pStyle w:val="TextBody"/>
        <w:bidi w:val="0"/>
        <w:jc w:val="center"/>
        <w:rPr/>
      </w:pPr>
      <w:r>
        <w:rPr/>
        <w:t> </w:t>
      </w:r>
    </w:p>
    <w:p>
      <w:pPr>
        <w:pStyle w:val="TextBody"/>
        <w:bidi w:val="0"/>
        <w:jc w:val="center"/>
        <w:rPr>
          <w:rFonts w:ascii="Arial" w:hAnsi="Arial"/>
          <w:b w:val="false"/>
          <w:color w:val="000000"/>
          <w:sz w:val="20"/>
        </w:rPr>
      </w:pPr>
      <w:r>
        <w:rPr>
          <w:rFonts w:ascii="Arial" w:hAnsi="Arial"/>
          <w:b w:val="false"/>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color w:val="000000"/>
          <w:sz w:val="20"/>
        </w:rPr>
        <w:t>How We Evaluate Our Operations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w:hAnsi="Arial"/>
          <w:b w:val="false"/>
          <w:color w:val="000000"/>
          <w:sz w:val="20"/>
        </w:rPr>
        <w:t>We use a number of financial and operational measures to routinely analyze and evaluate the performance of our business, including revenue, net and non-GAAP measures Adjusted EBITDA and Free Cash Flow.</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i/>
          <w:color w:val="000000"/>
          <w:sz w:val="20"/>
        </w:rPr>
        <w:t>Revenue, net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We analyze our performance by comparing actual monthly revenue to revenue trends and revenue forecasts by product line as well as tool activity trends for each month. Our revenue is primarily derived from tool rental and product sales.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i/>
          <w:color w:val="000000"/>
          <w:sz w:val="20"/>
        </w:rPr>
        <w:t>Adjusted EBITDA</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We regularly evaluate our financial performance using Adjusted EBITDA. Our management believes Adjusted EBITDA is a useful financial performance measure as it excludes non-cash charges and other transactions not related to our core operating activities and allows more meaningful analysis of the trends and performance of our core operations.</w:t>
      </w:r>
      <w:r>
        <w:rPr>
          <w:rFonts w:ascii="Times New Roman" w:hAnsi="Times New Roman"/>
          <w:color w:val="000000"/>
          <w:sz w:val="20"/>
        </w:rPr>
        <w:t xml:space="preserve"> </w:t>
      </w:r>
    </w:p>
    <w:p>
      <w:pPr>
        <w:pStyle w:val="TextBody"/>
        <w:bidi w:val="0"/>
        <w:spacing w:before="240" w:after="283"/>
        <w:jc w:val="both"/>
        <w:rPr>
          <w:rFonts w:ascii="Arial" w:hAnsi="Arial"/>
          <w:b w:val="false"/>
          <w:i/>
          <w:color w:val="000000"/>
          <w:sz w:val="20"/>
        </w:rPr>
      </w:pPr>
      <w:r>
        <w:rPr>
          <w:rFonts w:ascii="Arial" w:hAnsi="Arial"/>
          <w:b w:val="false"/>
          <w:i/>
          <w:color w:val="000000"/>
          <w:sz w:val="20"/>
        </w:rPr>
        <w:t>Free Cash Flow</w:t>
      </w:r>
    </w:p>
    <w:p>
      <w:pPr>
        <w:pStyle w:val="TextBody"/>
        <w:bidi w:val="0"/>
        <w:spacing w:before="240" w:after="283"/>
        <w:jc w:val="both"/>
        <w:rPr>
          <w:rFonts w:ascii="Arial" w:hAnsi="Arial"/>
          <w:b w:val="false"/>
          <w:color w:val="000000"/>
          <w:sz w:val="20"/>
        </w:rPr>
      </w:pPr>
      <w:r>
        <w:rPr>
          <w:rFonts w:ascii="Arial" w:hAnsi="Arial"/>
          <w:b w:val="false"/>
          <w:color w:val="000000"/>
          <w:sz w:val="20"/>
        </w:rPr>
        <w:t>We define Free Cash Flow as net cash provided by (used in) operating activities, reduced by purchases of property, plant and equipment. Free Cash Flow is a supplemental non-GAAP financial measure that is used by our management and other external users of our financial statements, such as industry analysts, investors, lenders, rating agencies and others to assess our ability to internally fund our capital program, service or incur additional debt and to pay dividends. We believe Free Cash Flow is a useful liquidity measure because it allows us and others to compare cash flow provided by operating activities across periods and to assess our ability to internally fund our capital program, fund acquisitions and pay dividends to our stockholders whereas applicable.</w:t>
      </w:r>
    </w:p>
    <w:p>
      <w:pPr>
        <w:pStyle w:val="TextBody"/>
        <w:bidi w:val="0"/>
        <w:spacing w:before="240" w:after="283"/>
        <w:jc w:val="both"/>
        <w:rPr>
          <w:rFonts w:ascii="Arial" w:hAnsi="Arial"/>
          <w:b w:val="false"/>
          <w:color w:val="000000"/>
          <w:sz w:val="20"/>
        </w:rPr>
      </w:pPr>
      <w:r>
        <w:rPr>
          <w:rFonts w:ascii="Arial" w:hAnsi="Arial"/>
          <w:b w:val="false"/>
          <w:color w:val="000000"/>
          <w:sz w:val="20"/>
        </w:rPr>
        <w:t>Please refer to the section titled “Non-GAAP Financial Measures” for a reconciliation of Adjusted EBITDA to net (loss) income, the most directly comparable financial performance measure calculated and presented in accordance with GAAP and a reconciliation of free cash flow to net cash provided by (used in) operating activities, the most directly comparable liquidity measure calculated and presented in accordance with GAAP.</w:t>
      </w:r>
    </w:p>
    <w:p>
      <w:pPr>
        <w:pStyle w:val="TextBody"/>
        <w:bidi w:val="0"/>
        <w:spacing w:before="240" w:after="283"/>
        <w:jc w:val="both"/>
        <w:rPr>
          <w:rFonts w:ascii="Arial" w:hAnsi="Arial"/>
          <w:b/>
          <w:color w:val="000000"/>
          <w:sz w:val="20"/>
        </w:rPr>
      </w:pPr>
      <w:r>
        <w:rPr>
          <w:rFonts w:ascii="Arial" w:hAnsi="Arial"/>
          <w:b/>
          <w:color w:val="000000"/>
          <w:sz w:val="20"/>
        </w:rPr>
        <w:t>Key Components of Results of Operations</w:t>
      </w:r>
    </w:p>
    <w:p>
      <w:pPr>
        <w:pStyle w:val="TextBody"/>
        <w:bidi w:val="0"/>
        <w:jc w:val="both"/>
        <w:rPr>
          <w:rFonts w:ascii="Times New Roman" w:hAnsi="Times New Roman"/>
          <w:sz w:val="20"/>
        </w:rPr>
      </w:pPr>
      <w:r>
        <w:rPr>
          <w:rFonts w:ascii="Arial" w:hAnsi="Arial"/>
          <w:b w:val="false"/>
          <w:color w:val="000000"/>
          <w:sz w:val="20"/>
        </w:rPr>
        <w:t>The discussion below relating to significant line items from our interim unaudited consolidated statements of income and comprehensive income are based on available information and represent our analysis of significant changes or events that impact the comparability of the reported amount. Where appropriate, we have identified specific events and changes that affect comparability or trends and, where reasonably practicable, we have quantified the impact of such items.</w:t>
      </w:r>
      <w:r>
        <w:rPr>
          <w:rFonts w:ascii="Times New Roman" w:hAnsi="Times New Roman"/>
          <w:color w:val="000000"/>
          <w:sz w:val="20"/>
        </w:rPr>
        <w:t xml:space="preserve"> </w:t>
      </w:r>
    </w:p>
    <w:p>
      <w:pPr>
        <w:pStyle w:val="TextBody"/>
        <w:bidi w:val="0"/>
        <w:spacing w:before="240" w:after="283"/>
        <w:jc w:val="both"/>
        <w:rPr>
          <w:rFonts w:ascii="Arial" w:hAnsi="Arial"/>
          <w:b/>
          <w:i/>
          <w:color w:val="000000"/>
          <w:sz w:val="20"/>
        </w:rPr>
      </w:pPr>
      <w:r>
        <w:rPr>
          <w:rFonts w:ascii="Arial" w:hAnsi="Arial"/>
          <w:b/>
          <w:i/>
          <w:color w:val="000000"/>
          <w:sz w:val="20"/>
        </w:rPr>
        <w:t>Revenue, net</w:t>
      </w:r>
    </w:p>
    <w:p>
      <w:pPr>
        <w:pStyle w:val="TextBody"/>
        <w:bidi w:val="0"/>
        <w:spacing w:before="240" w:after="283"/>
        <w:jc w:val="both"/>
        <w:rPr>
          <w:rFonts w:ascii="Times New Roman" w:hAnsi="Times New Roman"/>
          <w:sz w:val="20"/>
        </w:rPr>
      </w:pPr>
      <w:r>
        <w:rPr>
          <w:rFonts w:ascii="Arial" w:hAnsi="Arial"/>
          <w:b w:val="false"/>
          <w:color w:val="000000"/>
          <w:sz w:val="20"/>
        </w:rPr>
        <w:t>We currently generate our revenue, net from tool rental services and product sales. Tool rental services consist of rental services, inspection services, and repair services is accounted for under Topic 842. We recognize revenues from renting tools on a straight-line basis. Our rental contract periods are daily, monthly, per well, or based on footage. As part of this straight-line methodology, when the equipment is returned, we recognize as incremental revenue the excess, if any, between the amount the customer is contractually required to pay, which is based on the rental contract period applicable to the actual number of days the drilling tool was out on rent, over the cumulative amount of revenue recognized to date.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The rental tool recovery component of product sales revenue is recognized when a tool is deemed to be lost-in-hole, damaged-beyond-repair, or lost-in-transit while in the care, custody, or control of the customer. Other made to order product sales revenue is recognized when the product is made available to the customer for pickup at our shipping dock.</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We expect our tool rental services revenue to increase over time as a function of an increase in drilling activity and customer pricing.</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We expect our product sales revenue to increase over time as a function of oil and gas companies drilling faster and harder thereby pushing the limits of downhole drilling tools and often contributing to tools being lost-in-hole or damaged-beyond-repair. In addition, product sales revenue should increase as drilling contractors replace aged and consumable products to maintain or increase capacity.</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b w:val="false"/>
          <w:color w:val="000000"/>
          <w:sz w:val="20"/>
        </w:rPr>
      </w:pPr>
      <w:r>
        <w:rPr>
          <w:rFonts w:ascii="Arial" w:hAnsi="Arial"/>
          <w:b w:val="false"/>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i/>
          <w:color w:val="000000"/>
          <w:sz w:val="20"/>
        </w:rPr>
        <w:t>Costs and Expenses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Our costs and expenses consist of cost of revenue, selling, general, and administrative expense, and depreciation and amortization expense.</w:t>
      </w:r>
      <w:r>
        <w:rPr>
          <w:rFonts w:ascii="Times New Roman" w:hAnsi="Times New Roman"/>
          <w:color w:val="000000"/>
          <w:sz w:val="20"/>
        </w:rPr>
        <w:t xml:space="preserve"> </w:t>
      </w:r>
    </w:p>
    <w:p>
      <w:pPr>
        <w:pStyle w:val="TextBody"/>
        <w:bidi w:val="0"/>
        <w:spacing w:before="240" w:after="283"/>
        <w:jc w:val="both"/>
        <w:rPr>
          <w:rFonts w:ascii="Arial" w:hAnsi="Arial"/>
          <w:b w:val="false"/>
          <w:i/>
          <w:color w:val="000000"/>
          <w:sz w:val="20"/>
        </w:rPr>
      </w:pPr>
      <w:r>
        <w:rPr>
          <w:rFonts w:ascii="Arial" w:hAnsi="Arial"/>
          <w:b w:val="false"/>
          <w:i/>
          <w:color w:val="000000"/>
          <w:sz w:val="20"/>
        </w:rPr>
        <w:t>Cost of Revenue</w:t>
      </w:r>
    </w:p>
    <w:p>
      <w:pPr>
        <w:pStyle w:val="TextBody"/>
        <w:bidi w:val="0"/>
        <w:spacing w:before="240" w:after="283"/>
        <w:jc w:val="both"/>
        <w:rPr>
          <w:rFonts w:ascii="Times New Roman" w:hAnsi="Times New Roman"/>
          <w:sz w:val="20"/>
        </w:rPr>
      </w:pPr>
      <w:r>
        <w:rPr>
          <w:rFonts w:ascii="Arial" w:hAnsi="Arial"/>
          <w:b w:val="false"/>
          <w:color w:val="000000"/>
          <w:sz w:val="20"/>
        </w:rPr>
        <w:t>Our cost of revenue consists primarily of all direct and indirect expenses related to providing our tool rental services offering and delivering our product sales, including personnel-related expenses and costs associated with maintaining the facilities.</w:t>
      </w:r>
      <w:r>
        <w:rPr>
          <w:rFonts w:ascii="Times New Roman" w:hAnsi="Times New Roman"/>
          <w:color w:val="000000"/>
          <w:sz w:val="20"/>
        </w:rPr>
        <w:t xml:space="preserve"> </w:t>
      </w:r>
    </w:p>
    <w:p>
      <w:pPr>
        <w:pStyle w:val="TextBody"/>
        <w:bidi w:val="0"/>
        <w:spacing w:before="240" w:after="283"/>
        <w:jc w:val="both"/>
        <w:rPr>
          <w:rFonts w:ascii="Arial" w:hAnsi="Arial"/>
          <w:b w:val="false"/>
          <w:color w:val="000000"/>
          <w:sz w:val="20"/>
        </w:rPr>
      </w:pPr>
      <w:r>
        <w:rPr>
          <w:rFonts w:ascii="Arial" w:hAnsi="Arial"/>
          <w:b w:val="false"/>
          <w:color w:val="000000"/>
          <w:sz w:val="20"/>
        </w:rPr>
        <w:t>We expect our total cost of tool rental revenue and our total cost of product sale revenue to increase in absolute dollars in future periods, corresponding to our anticipated growth in revenue and employee headcount to support our customers and to maintain the manufacturing, operations and field service team with some expected cost inflation.</w:t>
      </w:r>
    </w:p>
    <w:p>
      <w:pPr>
        <w:pStyle w:val="TextBody"/>
        <w:bidi w:val="0"/>
        <w:spacing w:before="240" w:after="283"/>
        <w:jc w:val="both"/>
        <w:rPr>
          <w:rFonts w:ascii="Times New Roman" w:hAnsi="Times New Roman"/>
          <w:sz w:val="20"/>
        </w:rPr>
      </w:pPr>
      <w:r>
        <w:rPr>
          <w:rFonts w:ascii="Arial" w:hAnsi="Arial"/>
          <w:b w:val="false"/>
          <w:color w:val="000000"/>
          <w:sz w:val="20"/>
        </w:rPr>
        <w:t>We expect that gross margins will continue to improve slightly as we leverage our existing cost structure to support an increase in our business activity. In addition, we expect that customer price increases will help offset cost inflation.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i/>
          <w:color w:val="000000"/>
          <w:sz w:val="20"/>
        </w:rPr>
        <w:t>Selling, General and Administrative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General and administrative expenses consist primarily of personnel-related expenses, including salaries, benefits and stock-based compensation for personnel and outside professional services expenses including legal, audit and accounting services, insurance, other administrative expenses and allocated facility costs for our administrative functions.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We expect our operating expenses to increase in absolute dollars for the foreseeable future as a result of operating as a public company. In particular, we expect our legal, accounting, tax, personnel-related expenses and directors’ and officers’ insurance costs reported within general and administrative expense to increase as we establish more comprehensive compliance and governance functions, increased security and IT compliance, review internal controls over financial reporting in accordance with the Sarbanes-Oxley Act of 2002, as amended, and prepare and distribute periodic reports as required by the rules and regulations of the U.S. Securities and Exchange Commission. As a result, our historical results of operations may not be indicative of our results of operations in future periods.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Selling expenses consist primarily of personnel-related expenses, including salaries, benefits and stock-based compensation for personnel, direct advertising, marketing and promotional material costs, sales commission expense, consulting fees and allocated facility costs for our sales and marketing functions.</w:t>
      </w:r>
      <w:r>
        <w:rPr>
          <w:rFonts w:ascii="Times New Roman" w:hAnsi="Times New Roman"/>
          <w:color w:val="000000"/>
          <w:sz w:val="20"/>
        </w:rPr>
        <w:t xml:space="preserve"> </w:t>
      </w:r>
    </w:p>
    <w:p>
      <w:pPr>
        <w:pStyle w:val="TextBody"/>
        <w:bidi w:val="0"/>
        <w:spacing w:before="240" w:after="283"/>
        <w:jc w:val="both"/>
        <w:rPr>
          <w:rFonts w:ascii="Arial" w:hAnsi="Arial"/>
          <w:b w:val="false"/>
          <w:color w:val="000000"/>
          <w:sz w:val="20"/>
        </w:rPr>
      </w:pPr>
      <w:r>
        <w:rPr>
          <w:rFonts w:ascii="Arial" w:hAnsi="Arial"/>
          <w:b w:val="false"/>
          <w:color w:val="000000"/>
          <w:sz w:val="20"/>
        </w:rPr>
        <w:t>We intend to increase investments in our sales and marketing organization to drive additional revenue, expand our global customer base, and broaden our brand awareness. We expect our sales and marketing expenses to continue to increase in absolute dollars for the foreseeable future.</w:t>
      </w:r>
    </w:p>
    <w:p>
      <w:pPr>
        <w:pStyle w:val="TextBody"/>
        <w:bidi w:val="0"/>
        <w:spacing w:before="240" w:after="283"/>
        <w:jc w:val="both"/>
        <w:rPr>
          <w:rFonts w:ascii="Arial" w:hAnsi="Arial"/>
          <w:b w:val="false"/>
          <w:i/>
          <w:color w:val="000000"/>
          <w:sz w:val="20"/>
        </w:rPr>
      </w:pPr>
      <w:r>
        <w:rPr>
          <w:rFonts w:ascii="Arial" w:hAnsi="Arial"/>
          <w:b w:val="false"/>
          <w:i/>
          <w:color w:val="000000"/>
          <w:sz w:val="20"/>
        </w:rPr>
        <w:t>Depreciation and amortization expense</w:t>
      </w:r>
    </w:p>
    <w:p>
      <w:pPr>
        <w:pStyle w:val="TextBody"/>
        <w:bidi w:val="0"/>
        <w:spacing w:before="240" w:after="283"/>
        <w:jc w:val="both"/>
        <w:rPr>
          <w:rFonts w:ascii="Arial" w:hAnsi="Arial"/>
          <w:b w:val="false"/>
          <w:color w:val="000000"/>
          <w:sz w:val="20"/>
        </w:rPr>
      </w:pPr>
      <w:r>
        <w:rPr>
          <w:rFonts w:ascii="Arial" w:hAnsi="Arial"/>
          <w:b w:val="false"/>
          <w:color w:val="000000"/>
          <w:sz w:val="20"/>
        </w:rPr>
        <w:t>Depreciation and amortization expense relates to the consumption of our property and equipment, which consists of rental tools, shop equipment, computer equipment, furniture and fixtures and leasehold improvements, and the amortization of our intangible assets mainly related to customer relationships, software and partnerships.</w:t>
      </w:r>
    </w:p>
    <w:p>
      <w:pPr>
        <w:pStyle w:val="TextBody"/>
        <w:bidi w:val="0"/>
        <w:spacing w:before="240" w:after="283"/>
        <w:jc w:val="both"/>
        <w:rPr>
          <w:rFonts w:ascii="Times New Roman" w:hAnsi="Times New Roman"/>
          <w:sz w:val="20"/>
        </w:rPr>
      </w:pPr>
      <w:r>
        <w:rPr>
          <w:rFonts w:ascii="Arial" w:hAnsi="Arial"/>
          <w:b/>
          <w:i/>
          <w:color w:val="000000"/>
          <w:sz w:val="20"/>
        </w:rPr>
        <w:t>Other income (expense), net</w:t>
      </w:r>
      <w:r>
        <w:rPr>
          <w:rFonts w:ascii="Times New Roman" w:hAnsi="Times New Roman"/>
          <w:color w:val="000000"/>
          <w:sz w:val="20"/>
        </w:rPr>
        <w:t xml:space="preserve"> </w:t>
      </w:r>
    </w:p>
    <w:p>
      <w:pPr>
        <w:pStyle w:val="TextBody"/>
        <w:bidi w:val="0"/>
        <w:spacing w:before="240" w:after="283"/>
        <w:jc w:val="both"/>
        <w:rPr>
          <w:rFonts w:ascii="Arial" w:hAnsi="Arial"/>
          <w:b w:val="false"/>
          <w:color w:val="000000"/>
          <w:sz w:val="20"/>
        </w:rPr>
      </w:pPr>
      <w:r>
        <w:rPr>
          <w:rFonts w:ascii="Arial" w:hAnsi="Arial"/>
          <w:b w:val="false"/>
          <w:color w:val="000000"/>
          <w:sz w:val="20"/>
        </w:rPr>
        <w:t>Our other income (expense), net is primarily comprised of interest income (expense), gain on sale of property, unrealized gain (loss) on securities, and other miscellaneous income and expense unrelated to our core operations.</w:t>
      </w:r>
    </w:p>
    <w:p>
      <w:pPr>
        <w:pStyle w:val="TextBody"/>
        <w:bidi w:val="0"/>
        <w:jc w:val="center"/>
        <w:rPr/>
      </w:pPr>
      <w:r>
        <w:rPr/>
        <w:t> </w:t>
      </w:r>
    </w:p>
    <w:p>
      <w:pPr>
        <w:pStyle w:val="TextBody"/>
        <w:bidi w:val="0"/>
        <w:jc w:val="center"/>
        <w:rPr>
          <w:rFonts w:ascii="Arial" w:hAnsi="Arial"/>
          <w:b w:val="false"/>
          <w:color w:val="000000"/>
          <w:sz w:val="20"/>
        </w:rPr>
      </w:pPr>
      <w:r>
        <w:rPr>
          <w:rFonts w:ascii="Arial" w:hAnsi="Arial"/>
          <w:b w:val="false"/>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color w:val="000000"/>
          <w:sz w:val="20"/>
        </w:rPr>
        <w:t>Results of Operations</w:t>
      </w:r>
      <w:r>
        <w:rPr>
          <w:rFonts w:ascii="Times New Roman" w:hAnsi="Times New Roman"/>
          <w:color w:val="000000"/>
          <w:sz w:val="20"/>
        </w:rPr>
        <w:t xml:space="preserve"> </w:t>
      </w:r>
    </w:p>
    <w:p>
      <w:pPr>
        <w:pStyle w:val="TextBody"/>
        <w:bidi w:val="0"/>
        <w:jc w:val="both"/>
        <w:rPr>
          <w:rFonts w:ascii="Arial" w:hAnsi="Arial"/>
          <w:b w:val="false"/>
          <w:color w:val="000000"/>
          <w:sz w:val="20"/>
        </w:rPr>
      </w:pPr>
      <w:r>
        <w:rPr>
          <w:rFonts w:ascii="Arial" w:hAnsi="Arial"/>
          <w:b w:val="false"/>
          <w:color w:val="000000"/>
          <w:sz w:val="20"/>
        </w:rPr>
        <w:t>The following table set forth our results of operations for the periods presented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844"/>
        <w:gridCol w:w="146"/>
        <w:gridCol w:w="287"/>
        <w:gridCol w:w="943"/>
        <w:gridCol w:w="226"/>
        <w:gridCol w:w="198"/>
        <w:gridCol w:w="287"/>
        <w:gridCol w:w="943"/>
        <w:gridCol w:w="166"/>
        <w:gridCol w:w="146"/>
        <w:gridCol w:w="266"/>
        <w:gridCol w:w="1006"/>
        <w:gridCol w:w="208"/>
        <w:gridCol w:w="184"/>
        <w:gridCol w:w="266"/>
        <w:gridCol w:w="873"/>
        <w:gridCol w:w="216"/>
      </w:tblGrid>
      <w:tr>
        <w:trPr/>
        <w:tc>
          <w:tcPr>
            <w:tcW w:w="38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384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8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80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 September 30,</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8" w:type="dxa"/>
            <w:tcBorders/>
            <w:shd w:fill="FFFFFF" w:val="clear"/>
            <w:vAlign w:val="center"/>
          </w:tcPr>
          <w:p>
            <w:pPr>
              <w:pStyle w:val="TableContents"/>
              <w:bidi w:val="0"/>
              <w:spacing w:before="0" w:after="283"/>
              <w:jc w:val="center"/>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4" w:type="dxa"/>
            <w:tcBorders/>
            <w:shd w:fill="FFFFFF" w:val="clear"/>
            <w:vAlign w:val="center"/>
          </w:tcPr>
          <w:p>
            <w:pPr>
              <w:pStyle w:val="TableContents"/>
              <w:bidi w:val="0"/>
              <w:spacing w:before="0" w:after="283"/>
              <w:jc w:val="center"/>
              <w:rPr/>
            </w:pPr>
            <w:r>
              <w:rPr/>
              <w:t> </w:t>
            </w:r>
          </w:p>
        </w:tc>
        <w:tc>
          <w:tcPr>
            <w:tcW w:w="11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2022</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44"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Revenue, net:</w:t>
            </w:r>
          </w:p>
        </w:tc>
        <w:tc>
          <w:tcPr>
            <w:tcW w:w="146" w:type="dxa"/>
            <w:tcBorders/>
            <w:shd w:fill="CFF0FC" w:val="clear"/>
            <w:vAlign w:val="center"/>
          </w:tcPr>
          <w:p>
            <w:pPr>
              <w:pStyle w:val="TableContents"/>
              <w:bidi w:val="0"/>
              <w:spacing w:before="0" w:after="283"/>
              <w:jc w:val="left"/>
              <w:rPr/>
            </w:pPr>
            <w:r>
              <w:rPr/>
              <w:t> </w:t>
            </w:r>
          </w:p>
        </w:tc>
        <w:tc>
          <w:tcPr>
            <w:tcW w:w="1230" w:type="dxa"/>
            <w:gridSpan w:val="2"/>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1230"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72" w:type="dxa"/>
            <w:gridSpan w:val="2"/>
            <w:tcBorders/>
            <w:shd w:fill="CFF0FC" w:val="clear"/>
            <w:vAlign w:val="center"/>
          </w:tcPr>
          <w:p>
            <w:pPr>
              <w:pStyle w:val="TableContents"/>
              <w:bidi w:val="0"/>
              <w:spacing w:before="0" w:after="283"/>
              <w:jc w:val="right"/>
              <w:rPr/>
            </w:pPr>
            <w:r>
              <w:rPr/>
              <w:t> </w:t>
            </w:r>
          </w:p>
        </w:tc>
        <w:tc>
          <w:tcPr>
            <w:tcW w:w="208" w:type="dxa"/>
            <w:tcBorders/>
            <w:shd w:fill="CFF0FC" w:val="clear"/>
            <w:vAlign w:val="center"/>
          </w:tcPr>
          <w:p>
            <w:pPr>
              <w:pStyle w:val="TableContents"/>
              <w:bidi w:val="0"/>
              <w:spacing w:before="0" w:after="283"/>
              <w:jc w:val="right"/>
              <w:rPr/>
            </w:pPr>
            <w:r>
              <w:rPr/>
              <w:t> </w:t>
            </w:r>
          </w:p>
        </w:tc>
        <w:tc>
          <w:tcPr>
            <w:tcW w:w="184" w:type="dxa"/>
            <w:tcBorders/>
            <w:shd w:fill="CFF0FC" w:val="clear"/>
            <w:vAlign w:val="center"/>
          </w:tcPr>
          <w:p>
            <w:pPr>
              <w:pStyle w:val="TableContents"/>
              <w:bidi w:val="0"/>
              <w:spacing w:before="0" w:after="283"/>
              <w:jc w:val="left"/>
              <w:rPr/>
            </w:pPr>
            <w:r>
              <w:rPr/>
              <w:t> </w:t>
            </w:r>
          </w:p>
        </w:tc>
        <w:tc>
          <w:tcPr>
            <w:tcW w:w="1139" w:type="dxa"/>
            <w:gridSpan w:val="2"/>
            <w:tcBorders/>
            <w:shd w:fill="CFF0FC" w:val="clear"/>
            <w:vAlign w:val="center"/>
          </w:tcPr>
          <w:p>
            <w:pPr>
              <w:pStyle w:val="TableContents"/>
              <w:bidi w:val="0"/>
              <w:spacing w:before="0" w:after="283"/>
              <w:jc w:val="right"/>
              <w:rPr/>
            </w:pPr>
            <w:r>
              <w:rPr/>
              <w:t> </w:t>
            </w:r>
          </w:p>
        </w:tc>
        <w:tc>
          <w:tcPr>
            <w:tcW w:w="216" w:type="dxa"/>
            <w:tcBorders/>
            <w:shd w:fill="CFF0FC" w:val="clear"/>
            <w:vAlign w:val="center"/>
          </w:tcPr>
          <w:p>
            <w:pPr>
              <w:pStyle w:val="TableContents"/>
              <w:bidi w:val="0"/>
              <w:spacing w:before="0" w:after="283"/>
              <w:jc w:val="right"/>
              <w:rPr/>
            </w:pPr>
            <w:r>
              <w:rPr/>
              <w:t> </w:t>
            </w:r>
          </w:p>
        </w:tc>
      </w:tr>
      <w:tr>
        <w:trPr/>
        <w:tc>
          <w:tcPr>
            <w:tcW w:w="3844"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Tool rental</w:t>
            </w:r>
          </w:p>
        </w:tc>
        <w:tc>
          <w:tcPr>
            <w:tcW w:w="146"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43"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29,361</w:t>
            </w:r>
          </w:p>
        </w:tc>
        <w:tc>
          <w:tcPr>
            <w:tcW w:w="22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43"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26,837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00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90,639</w:t>
            </w:r>
          </w:p>
        </w:tc>
        <w:tc>
          <w:tcPr>
            <w:tcW w:w="208"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73"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70,277</w:t>
            </w:r>
          </w:p>
        </w:tc>
        <w:tc>
          <w:tcPr>
            <w:tcW w:w="216" w:type="dxa"/>
            <w:tcBorders/>
            <w:shd w:fill="FFFFFF" w:val="clear"/>
            <w:vAlign w:val="center"/>
          </w:tcPr>
          <w:p>
            <w:pPr>
              <w:pStyle w:val="TableContents"/>
              <w:bidi w:val="0"/>
              <w:spacing w:before="0" w:after="283"/>
              <w:jc w:val="left"/>
              <w:rPr/>
            </w:pPr>
            <w:r>
              <w:rPr/>
              <w:t> </w:t>
            </w:r>
          </w:p>
        </w:tc>
      </w:tr>
      <w:tr>
        <w:trPr/>
        <w:tc>
          <w:tcPr>
            <w:tcW w:w="3844"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Product sale</w:t>
            </w:r>
          </w:p>
        </w:tc>
        <w:tc>
          <w:tcPr>
            <w:tcW w:w="146" w:type="dxa"/>
            <w:tcBorders/>
            <w:shd w:fill="CFF0FC" w:val="clear"/>
            <w:vAlign w:val="center"/>
          </w:tcPr>
          <w:p>
            <w:pPr>
              <w:pStyle w:val="TableContents"/>
              <w:bidi w:val="0"/>
              <w:spacing w:before="0" w:after="283"/>
              <w:jc w:val="lef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8,777</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9,710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26,206</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4" w:type="dxa"/>
            <w:tcBorders/>
            <w:shd w:fill="CFF0FC" w:val="clear"/>
            <w:vAlign w:val="center"/>
          </w:tcPr>
          <w:p>
            <w:pPr>
              <w:pStyle w:val="TableContents"/>
              <w:bidi w:val="0"/>
              <w:spacing w:before="0" w:after="283"/>
              <w:jc w:val="lef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22,619</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44" w:type="dxa"/>
            <w:tcBorders/>
            <w:shd w:fill="FFFFFF"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Total revenue, net</w:t>
            </w:r>
          </w:p>
        </w:tc>
        <w:tc>
          <w:tcPr>
            <w:tcW w:w="146" w:type="dxa"/>
            <w:tcBorders/>
            <w:shd w:fill="FFFFFF" w:val="cle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38,138</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36,547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116,845</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92,896</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44"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Cost and expenses:</w:t>
            </w:r>
          </w:p>
        </w:tc>
        <w:tc>
          <w:tcPr>
            <w:tcW w:w="146" w:type="dxa"/>
            <w:tcBorders/>
            <w:shd w:fill="CFF0FC" w:val="clear"/>
            <w:vAlign w:val="center"/>
          </w:tcPr>
          <w:p>
            <w:pPr>
              <w:pStyle w:val="TableContents"/>
              <w:bidi w:val="0"/>
              <w:spacing w:before="0" w:after="283"/>
              <w:jc w:val="left"/>
              <w:rPr/>
            </w:pPr>
            <w:r>
              <w:rPr/>
              <w:t> </w:t>
            </w:r>
          </w:p>
        </w:tc>
        <w:tc>
          <w:tcPr>
            <w:tcW w:w="1230" w:type="dxa"/>
            <w:gridSpan w:val="2"/>
            <w:tcBorders/>
            <w:shd w:fill="CFF0FC" w:val="clear"/>
            <w:vAlign w:val="center"/>
          </w:tcPr>
          <w:p>
            <w:pPr>
              <w:pStyle w:val="TableContents"/>
              <w:bidi w:val="0"/>
              <w:spacing w:before="0" w:after="283"/>
              <w:jc w:val="right"/>
              <w:rPr/>
            </w:pPr>
            <w:r>
              <w:rPr/>
              <w:t> </w:t>
            </w:r>
          </w:p>
        </w:tc>
        <w:tc>
          <w:tcPr>
            <w:tcW w:w="226" w:type="dxa"/>
            <w:tcBorders/>
            <w:shd w:fill="CFF0FC" w:val="clear"/>
            <w:vAlign w:val="center"/>
          </w:tcPr>
          <w:p>
            <w:pPr>
              <w:pStyle w:val="TableContents"/>
              <w:bidi w:val="0"/>
              <w:spacing w:before="0" w:after="283"/>
              <w:jc w:val="right"/>
              <w:rPr/>
            </w:pPr>
            <w:r>
              <w:rPr/>
              <w:t> </w:t>
            </w:r>
          </w:p>
        </w:tc>
        <w:tc>
          <w:tcPr>
            <w:tcW w:w="198" w:type="dxa"/>
            <w:tcBorders/>
            <w:shd w:fill="CFF0FC" w:val="clear"/>
            <w:vAlign w:val="center"/>
          </w:tcPr>
          <w:p>
            <w:pPr>
              <w:pStyle w:val="TableContents"/>
              <w:bidi w:val="0"/>
              <w:spacing w:before="0" w:after="283"/>
              <w:jc w:val="left"/>
              <w:rPr/>
            </w:pPr>
            <w:r>
              <w:rPr/>
              <w:t> </w:t>
            </w:r>
          </w:p>
        </w:tc>
        <w:tc>
          <w:tcPr>
            <w:tcW w:w="123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72" w:type="dxa"/>
            <w:gridSpan w:val="2"/>
            <w:tcBorders/>
            <w:shd w:fill="CFF0FC" w:val="clear"/>
            <w:vAlign w:val="center"/>
          </w:tcPr>
          <w:p>
            <w:pPr>
              <w:pStyle w:val="TableContents"/>
              <w:bidi w:val="0"/>
              <w:spacing w:before="0" w:after="283"/>
              <w:jc w:val="right"/>
              <w:rPr/>
            </w:pPr>
            <w:r>
              <w:rPr/>
              <w:t> </w:t>
            </w:r>
          </w:p>
        </w:tc>
        <w:tc>
          <w:tcPr>
            <w:tcW w:w="208" w:type="dxa"/>
            <w:tcBorders/>
            <w:shd w:fill="CFF0FC" w:val="clear"/>
            <w:vAlign w:val="center"/>
          </w:tcPr>
          <w:p>
            <w:pPr>
              <w:pStyle w:val="TableContents"/>
              <w:bidi w:val="0"/>
              <w:spacing w:before="0" w:after="283"/>
              <w:jc w:val="right"/>
              <w:rPr/>
            </w:pPr>
            <w:r>
              <w:rPr/>
              <w:t> </w:t>
            </w:r>
          </w:p>
        </w:tc>
        <w:tc>
          <w:tcPr>
            <w:tcW w:w="184" w:type="dxa"/>
            <w:tcBorders/>
            <w:shd w:fill="CFF0FC" w:val="clear"/>
            <w:vAlign w:val="center"/>
          </w:tcPr>
          <w:p>
            <w:pPr>
              <w:pStyle w:val="TableContents"/>
              <w:bidi w:val="0"/>
              <w:spacing w:before="0" w:after="283"/>
              <w:jc w:val="left"/>
              <w:rPr/>
            </w:pPr>
            <w:r>
              <w:rPr/>
              <w:t> </w:t>
            </w:r>
          </w:p>
        </w:tc>
        <w:tc>
          <w:tcPr>
            <w:tcW w:w="1139" w:type="dxa"/>
            <w:gridSpan w:val="2"/>
            <w:tcBorders/>
            <w:shd w:fill="CFF0FC" w:val="clear"/>
            <w:vAlign w:val="center"/>
          </w:tcPr>
          <w:p>
            <w:pPr>
              <w:pStyle w:val="TableContents"/>
              <w:bidi w:val="0"/>
              <w:spacing w:before="0" w:after="283"/>
              <w:jc w:val="right"/>
              <w:rPr/>
            </w:pPr>
            <w:r>
              <w:rPr/>
              <w:t> </w:t>
            </w:r>
          </w:p>
        </w:tc>
        <w:tc>
          <w:tcPr>
            <w:tcW w:w="216" w:type="dxa"/>
            <w:tcBorders/>
            <w:shd w:fill="CFF0FC" w:val="clear"/>
            <w:vAlign w:val="center"/>
          </w:tcPr>
          <w:p>
            <w:pPr>
              <w:pStyle w:val="TableContents"/>
              <w:bidi w:val="0"/>
              <w:spacing w:before="0" w:after="283"/>
              <w:jc w:val="right"/>
              <w:rPr/>
            </w:pPr>
            <w:r>
              <w:rPr/>
              <w:t> </w:t>
            </w:r>
          </w:p>
        </w:tc>
      </w:tr>
      <w:tr>
        <w:trPr/>
        <w:tc>
          <w:tcPr>
            <w:tcW w:w="3844"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Cost of tool rental revenue</w:t>
            </w:r>
          </w:p>
        </w:tc>
        <w:tc>
          <w:tcPr>
            <w:tcW w:w="146"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7,956</w:t>
            </w:r>
          </w:p>
        </w:tc>
        <w:tc>
          <w:tcPr>
            <w:tcW w:w="22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7,586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23,785</w:t>
            </w:r>
          </w:p>
        </w:tc>
        <w:tc>
          <w:tcPr>
            <w:tcW w:w="208"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20,578</w:t>
            </w:r>
          </w:p>
        </w:tc>
        <w:tc>
          <w:tcPr>
            <w:tcW w:w="216" w:type="dxa"/>
            <w:tcBorders/>
            <w:shd w:fill="FFFFFF" w:val="clear"/>
            <w:vAlign w:val="center"/>
          </w:tcPr>
          <w:p>
            <w:pPr>
              <w:pStyle w:val="TableContents"/>
              <w:bidi w:val="0"/>
              <w:spacing w:before="0" w:after="283"/>
              <w:jc w:val="left"/>
              <w:rPr/>
            </w:pPr>
            <w:r>
              <w:rPr/>
              <w:t> </w:t>
            </w:r>
          </w:p>
        </w:tc>
      </w:tr>
      <w:tr>
        <w:trPr/>
        <w:tc>
          <w:tcPr>
            <w:tcW w:w="3844"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Cost of product sale revenue</w:t>
            </w:r>
          </w:p>
        </w:tc>
        <w:tc>
          <w:tcPr>
            <w:tcW w:w="146" w:type="dxa"/>
            <w:tcBorders/>
            <w:shd w:fill="CFF0FC" w:val="clear"/>
            <w:vAlign w:val="center"/>
          </w:tcPr>
          <w:p>
            <w:pPr>
              <w:pStyle w:val="TableContents"/>
              <w:bidi w:val="0"/>
              <w:spacing w:before="0" w:after="283"/>
              <w:jc w:val="left"/>
              <w:rPr/>
            </w:pPr>
            <w:r>
              <w:rPr/>
              <w:t> </w:t>
            </w:r>
          </w:p>
        </w:tc>
        <w:tc>
          <w:tcPr>
            <w:tcW w:w="287" w:type="dxa"/>
            <w:tcBorders/>
            <w:shd w:fill="CFF0FC" w:val="clear"/>
            <w:vAlign w:val="center"/>
          </w:tcPr>
          <w:p>
            <w:pPr>
              <w:pStyle w:val="TableContents"/>
              <w:bidi w:val="0"/>
              <w:spacing w:before="0" w:after="283"/>
              <w:jc w:val="left"/>
              <w:rPr/>
            </w:pPr>
            <w:r>
              <w:rPr/>
              <w:t> </w:t>
            </w:r>
          </w:p>
        </w:tc>
        <w:tc>
          <w:tcPr>
            <w:tcW w:w="943"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1,195</w:t>
            </w:r>
          </w:p>
        </w:tc>
        <w:tc>
          <w:tcPr>
            <w:tcW w:w="22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287" w:type="dxa"/>
            <w:tcBorders/>
            <w:shd w:fill="CFF0FC" w:val="clear"/>
            <w:vAlign w:val="center"/>
          </w:tcPr>
          <w:p>
            <w:pPr>
              <w:pStyle w:val="TableContents"/>
              <w:bidi w:val="0"/>
              <w:spacing w:before="0" w:after="283"/>
              <w:jc w:val="left"/>
              <w:rPr/>
            </w:pPr>
            <w:r>
              <w:rPr/>
              <w:t> </w:t>
            </w:r>
          </w:p>
        </w:tc>
        <w:tc>
          <w:tcPr>
            <w:tcW w:w="943"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1,372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3,655</w:t>
            </w:r>
          </w:p>
        </w:tc>
        <w:tc>
          <w:tcPr>
            <w:tcW w:w="208" w:type="dxa"/>
            <w:tcBorders/>
            <w:shd w:fill="CFF0FC" w:val="clear"/>
            <w:vAlign w:val="center"/>
          </w:tcPr>
          <w:p>
            <w:pPr>
              <w:pStyle w:val="TableContents"/>
              <w:bidi w:val="0"/>
              <w:spacing w:before="0" w:after="283"/>
              <w:jc w:val="left"/>
              <w:rPr/>
            </w:pPr>
            <w:r>
              <w:rPr/>
              <w:t> </w:t>
            </w:r>
          </w:p>
        </w:tc>
        <w:tc>
          <w:tcPr>
            <w:tcW w:w="184" w:type="dxa"/>
            <w:tcBorders/>
            <w:shd w:fill="CFF0FC" w:val="clear"/>
            <w:vAlign w:val="center"/>
          </w:tcPr>
          <w:p>
            <w:pPr>
              <w:pStyle w:val="TableContents"/>
              <w:bidi w:val="0"/>
              <w:spacing w:before="0" w:after="283"/>
              <w:jc w:val="left"/>
              <w:rPr/>
            </w:pPr>
            <w:r>
              <w:rPr/>
              <w:t> </w:t>
            </w:r>
          </w:p>
        </w:tc>
        <w:tc>
          <w:tcPr>
            <w:tcW w:w="266" w:type="dxa"/>
            <w:tcBorders/>
            <w:shd w:fill="CFF0FC" w:val="clear"/>
            <w:vAlign w:val="center"/>
          </w:tcPr>
          <w:p>
            <w:pPr>
              <w:pStyle w:val="TableContents"/>
              <w:bidi w:val="0"/>
              <w:spacing w:before="0" w:after="283"/>
              <w:jc w:val="left"/>
              <w:rPr/>
            </w:pPr>
            <w:r>
              <w:rPr/>
              <w:t> </w:t>
            </w:r>
          </w:p>
        </w:tc>
        <w:tc>
          <w:tcPr>
            <w:tcW w:w="873"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3,785</w:t>
            </w:r>
          </w:p>
        </w:tc>
        <w:tc>
          <w:tcPr>
            <w:tcW w:w="216" w:type="dxa"/>
            <w:tcBorders/>
            <w:shd w:fill="CFF0FC" w:val="clear"/>
            <w:vAlign w:val="center"/>
          </w:tcPr>
          <w:p>
            <w:pPr>
              <w:pStyle w:val="TableContents"/>
              <w:bidi w:val="0"/>
              <w:spacing w:before="0" w:after="283"/>
              <w:jc w:val="left"/>
              <w:rPr/>
            </w:pPr>
            <w:r>
              <w:rPr/>
              <w:t> </w:t>
            </w:r>
          </w:p>
        </w:tc>
      </w:tr>
      <w:tr>
        <w:trPr/>
        <w:tc>
          <w:tcPr>
            <w:tcW w:w="3844"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Selling, general, and administrative expense</w:t>
            </w:r>
          </w:p>
        </w:tc>
        <w:tc>
          <w:tcPr>
            <w:tcW w:w="146"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16,552</w:t>
            </w:r>
          </w:p>
        </w:tc>
        <w:tc>
          <w:tcPr>
            <w:tcW w:w="22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14,692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50,999</w:t>
            </w:r>
          </w:p>
        </w:tc>
        <w:tc>
          <w:tcPr>
            <w:tcW w:w="208"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36,424</w:t>
            </w:r>
          </w:p>
        </w:tc>
        <w:tc>
          <w:tcPr>
            <w:tcW w:w="216" w:type="dxa"/>
            <w:tcBorders/>
            <w:shd w:fill="FFFFFF" w:val="clear"/>
            <w:vAlign w:val="center"/>
          </w:tcPr>
          <w:p>
            <w:pPr>
              <w:pStyle w:val="TableContents"/>
              <w:bidi w:val="0"/>
              <w:spacing w:before="0" w:after="283"/>
              <w:jc w:val="left"/>
              <w:rPr/>
            </w:pPr>
            <w:r>
              <w:rPr/>
              <w:t> </w:t>
            </w:r>
          </w:p>
        </w:tc>
      </w:tr>
      <w:tr>
        <w:trPr/>
        <w:tc>
          <w:tcPr>
            <w:tcW w:w="3844"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Depreciation and amortization expense</w:t>
            </w:r>
          </w:p>
        </w:tc>
        <w:tc>
          <w:tcPr>
            <w:tcW w:w="146" w:type="dxa"/>
            <w:tcBorders/>
            <w:shd w:fill="CFF0FC" w:val="clear"/>
            <w:vAlign w:val="center"/>
          </w:tcPr>
          <w:p>
            <w:pPr>
              <w:pStyle w:val="TableContents"/>
              <w:bidi w:val="0"/>
              <w:spacing w:before="0" w:after="283"/>
              <w:jc w:val="lef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5,303</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4,820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15,035</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4" w:type="dxa"/>
            <w:tcBorders/>
            <w:shd w:fill="CFF0FC" w:val="clear"/>
            <w:vAlign w:val="center"/>
          </w:tcPr>
          <w:p>
            <w:pPr>
              <w:pStyle w:val="TableContents"/>
              <w:bidi w:val="0"/>
              <w:spacing w:before="0" w:after="283"/>
              <w:jc w:val="lef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14,782</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44" w:type="dxa"/>
            <w:tcBorders/>
            <w:shd w:fill="FFFFFF"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Total costs and expenses</w:t>
            </w:r>
          </w:p>
        </w:tc>
        <w:tc>
          <w:tcPr>
            <w:tcW w:w="146" w:type="dxa"/>
            <w:tcBorders/>
            <w:shd w:fill="FFFFFF" w:val="cle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31,006</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28,470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93,474</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75,569</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44"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Operating Income</w:t>
            </w:r>
          </w:p>
        </w:tc>
        <w:tc>
          <w:tcPr>
            <w:tcW w:w="146" w:type="dxa"/>
            <w:tcBorders/>
            <w:shd w:fill="CFF0FC" w:val="clear"/>
            <w:vAlign w:val="center"/>
          </w:tcPr>
          <w:p>
            <w:pPr>
              <w:pStyle w:val="TableContents"/>
              <w:bidi w:val="0"/>
              <w:spacing w:before="0" w:after="283"/>
              <w:jc w:val="left"/>
              <w:rPr/>
            </w:pPr>
            <w:r>
              <w:rPr/>
              <w:t> </w:t>
            </w:r>
          </w:p>
        </w:tc>
        <w:tc>
          <w:tcPr>
            <w:tcW w:w="287" w:type="dxa"/>
            <w:tcBorders/>
            <w:shd w:fill="CFF0FC" w:val="clear"/>
            <w:vAlign w:val="center"/>
          </w:tcPr>
          <w:p>
            <w:pPr>
              <w:pStyle w:val="TableContents"/>
              <w:bidi w:val="0"/>
              <w:spacing w:before="0" w:after="283"/>
              <w:jc w:val="left"/>
              <w:rPr/>
            </w:pPr>
            <w:r>
              <w:rPr/>
              <w:t> </w:t>
            </w:r>
          </w:p>
        </w:tc>
        <w:tc>
          <w:tcPr>
            <w:tcW w:w="943"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7,132</w:t>
            </w:r>
          </w:p>
        </w:tc>
        <w:tc>
          <w:tcPr>
            <w:tcW w:w="22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287" w:type="dxa"/>
            <w:tcBorders/>
            <w:shd w:fill="CFF0FC" w:val="clear"/>
            <w:vAlign w:val="center"/>
          </w:tcPr>
          <w:p>
            <w:pPr>
              <w:pStyle w:val="TableContents"/>
              <w:bidi w:val="0"/>
              <w:spacing w:before="0" w:after="283"/>
              <w:jc w:val="left"/>
              <w:rPr/>
            </w:pPr>
            <w:r>
              <w:rPr/>
              <w:t> </w:t>
            </w:r>
          </w:p>
        </w:tc>
        <w:tc>
          <w:tcPr>
            <w:tcW w:w="943"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8,077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23,371</w:t>
            </w:r>
          </w:p>
        </w:tc>
        <w:tc>
          <w:tcPr>
            <w:tcW w:w="208" w:type="dxa"/>
            <w:tcBorders/>
            <w:shd w:fill="CFF0FC" w:val="clear"/>
            <w:vAlign w:val="center"/>
          </w:tcPr>
          <w:p>
            <w:pPr>
              <w:pStyle w:val="TableContents"/>
              <w:bidi w:val="0"/>
              <w:spacing w:before="0" w:after="283"/>
              <w:jc w:val="left"/>
              <w:rPr/>
            </w:pPr>
            <w:r>
              <w:rPr/>
              <w:t> </w:t>
            </w:r>
          </w:p>
        </w:tc>
        <w:tc>
          <w:tcPr>
            <w:tcW w:w="184" w:type="dxa"/>
            <w:tcBorders/>
            <w:shd w:fill="CFF0FC" w:val="clear"/>
            <w:vAlign w:val="center"/>
          </w:tcPr>
          <w:p>
            <w:pPr>
              <w:pStyle w:val="TableContents"/>
              <w:bidi w:val="0"/>
              <w:spacing w:before="0" w:after="283"/>
              <w:jc w:val="left"/>
              <w:rPr/>
            </w:pPr>
            <w:r>
              <w:rPr/>
              <w:t> </w:t>
            </w:r>
          </w:p>
        </w:tc>
        <w:tc>
          <w:tcPr>
            <w:tcW w:w="266" w:type="dxa"/>
            <w:tcBorders/>
            <w:shd w:fill="CFF0FC" w:val="clear"/>
            <w:vAlign w:val="center"/>
          </w:tcPr>
          <w:p>
            <w:pPr>
              <w:pStyle w:val="TableContents"/>
              <w:bidi w:val="0"/>
              <w:spacing w:before="0" w:after="283"/>
              <w:jc w:val="left"/>
              <w:rPr/>
            </w:pPr>
            <w:r>
              <w:rPr/>
              <w:t> </w:t>
            </w:r>
          </w:p>
        </w:tc>
        <w:tc>
          <w:tcPr>
            <w:tcW w:w="873"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17,327</w:t>
            </w:r>
          </w:p>
        </w:tc>
        <w:tc>
          <w:tcPr>
            <w:tcW w:w="216" w:type="dxa"/>
            <w:tcBorders/>
            <w:shd w:fill="CFF0FC" w:val="clear"/>
            <w:vAlign w:val="center"/>
          </w:tcPr>
          <w:p>
            <w:pPr>
              <w:pStyle w:val="TableContents"/>
              <w:bidi w:val="0"/>
              <w:spacing w:before="0" w:after="283"/>
              <w:jc w:val="left"/>
              <w:rPr/>
            </w:pPr>
            <w:r>
              <w:rPr/>
              <w:t> </w:t>
            </w:r>
          </w:p>
        </w:tc>
      </w:tr>
      <w:tr>
        <w:trPr/>
        <w:tc>
          <w:tcPr>
            <w:tcW w:w="3844" w:type="dxa"/>
            <w:tcBorders/>
            <w:shd w:fill="FFFFFF"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Other expense, net:</w:t>
            </w:r>
          </w:p>
        </w:tc>
        <w:tc>
          <w:tcPr>
            <w:tcW w:w="146" w:type="dxa"/>
            <w:tcBorders/>
            <w:shd w:fill="FFFFFF" w:val="clear"/>
            <w:vAlign w:val="center"/>
          </w:tcPr>
          <w:p>
            <w:pPr>
              <w:pStyle w:val="TableContents"/>
              <w:bidi w:val="0"/>
              <w:spacing w:before="0" w:after="283"/>
              <w:jc w:val="left"/>
              <w:rPr/>
            </w:pPr>
            <w:r>
              <w:rPr/>
              <w:t> </w:t>
            </w:r>
          </w:p>
        </w:tc>
        <w:tc>
          <w:tcPr>
            <w:tcW w:w="1230" w:type="dxa"/>
            <w:gridSpan w:val="2"/>
            <w:tcBorders/>
            <w:shd w:fill="FFFFFF" w:val="clear"/>
            <w:vAlign w:val="center"/>
          </w:tcPr>
          <w:p>
            <w:pPr>
              <w:pStyle w:val="TableContents"/>
              <w:bidi w:val="0"/>
              <w:spacing w:before="0" w:after="283"/>
              <w:jc w:val="right"/>
              <w:rPr/>
            </w:pPr>
            <w:r>
              <w:rPr/>
              <w:t> </w:t>
            </w:r>
          </w:p>
        </w:tc>
        <w:tc>
          <w:tcPr>
            <w:tcW w:w="226" w:type="dxa"/>
            <w:tcBorders/>
            <w:shd w:fill="FFFFFF" w:val="clear"/>
            <w:vAlign w:val="center"/>
          </w:tcPr>
          <w:p>
            <w:pPr>
              <w:pStyle w:val="TableContents"/>
              <w:bidi w:val="0"/>
              <w:spacing w:before="0" w:after="283"/>
              <w:jc w:val="right"/>
              <w:rPr/>
            </w:pPr>
            <w:r>
              <w:rPr/>
              <w:t> </w:t>
            </w:r>
          </w:p>
        </w:tc>
        <w:tc>
          <w:tcPr>
            <w:tcW w:w="198" w:type="dxa"/>
            <w:tcBorders/>
            <w:shd w:fill="FFFFFF" w:val="clear"/>
            <w:vAlign w:val="center"/>
          </w:tcPr>
          <w:p>
            <w:pPr>
              <w:pStyle w:val="TableContents"/>
              <w:bidi w:val="0"/>
              <w:spacing w:before="0" w:after="283"/>
              <w:jc w:val="left"/>
              <w:rPr/>
            </w:pPr>
            <w:r>
              <w:rPr/>
              <w:t> </w:t>
            </w:r>
          </w:p>
        </w:tc>
        <w:tc>
          <w:tcPr>
            <w:tcW w:w="123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72" w:type="dxa"/>
            <w:gridSpan w:val="2"/>
            <w:tcBorders/>
            <w:shd w:fill="FFFFFF" w:val="clear"/>
            <w:vAlign w:val="center"/>
          </w:tcPr>
          <w:p>
            <w:pPr>
              <w:pStyle w:val="TableContents"/>
              <w:bidi w:val="0"/>
              <w:spacing w:before="0" w:after="283"/>
              <w:jc w:val="right"/>
              <w:rPr/>
            </w:pPr>
            <w:r>
              <w:rPr/>
              <w:t> </w:t>
            </w:r>
          </w:p>
        </w:tc>
        <w:tc>
          <w:tcPr>
            <w:tcW w:w="208" w:type="dxa"/>
            <w:tcBorders/>
            <w:shd w:fill="FFFFFF" w:val="clear"/>
            <w:vAlign w:val="center"/>
          </w:tcPr>
          <w:p>
            <w:pPr>
              <w:pStyle w:val="TableContents"/>
              <w:bidi w:val="0"/>
              <w:spacing w:before="0" w:after="283"/>
              <w:jc w:val="right"/>
              <w:rPr/>
            </w:pPr>
            <w:r>
              <w:rPr/>
              <w:t> </w:t>
            </w:r>
          </w:p>
        </w:tc>
        <w:tc>
          <w:tcPr>
            <w:tcW w:w="184" w:type="dxa"/>
            <w:tcBorders/>
            <w:shd w:fill="FFFFFF" w:val="clear"/>
            <w:vAlign w:val="center"/>
          </w:tcPr>
          <w:p>
            <w:pPr>
              <w:pStyle w:val="TableContents"/>
              <w:bidi w:val="0"/>
              <w:spacing w:before="0" w:after="283"/>
              <w:jc w:val="left"/>
              <w:rPr/>
            </w:pPr>
            <w:r>
              <w:rPr/>
              <w:t> </w:t>
            </w:r>
          </w:p>
        </w:tc>
        <w:tc>
          <w:tcPr>
            <w:tcW w:w="1139" w:type="dxa"/>
            <w:gridSpan w:val="2"/>
            <w:tcBorders/>
            <w:shd w:fill="FFFFFF" w:val="clear"/>
            <w:vAlign w:val="center"/>
          </w:tcPr>
          <w:p>
            <w:pPr>
              <w:pStyle w:val="TableContents"/>
              <w:bidi w:val="0"/>
              <w:spacing w:before="0" w:after="283"/>
              <w:jc w:val="right"/>
              <w:rPr/>
            </w:pPr>
            <w:r>
              <w:rPr/>
              <w:t> </w:t>
            </w:r>
          </w:p>
        </w:tc>
        <w:tc>
          <w:tcPr>
            <w:tcW w:w="216" w:type="dxa"/>
            <w:tcBorders/>
            <w:shd w:fill="FFFFFF" w:val="clear"/>
            <w:vAlign w:val="center"/>
          </w:tcPr>
          <w:p>
            <w:pPr>
              <w:pStyle w:val="TableContents"/>
              <w:bidi w:val="0"/>
              <w:spacing w:before="0" w:after="283"/>
              <w:jc w:val="right"/>
              <w:rPr/>
            </w:pPr>
            <w:r>
              <w:rPr/>
              <w:t> </w:t>
            </w:r>
          </w:p>
        </w:tc>
      </w:tr>
      <w:tr>
        <w:trPr/>
        <w:tc>
          <w:tcPr>
            <w:tcW w:w="3844"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Interest expense, net</w:t>
            </w:r>
          </w:p>
        </w:tc>
        <w:tc>
          <w:tcPr>
            <w:tcW w:w="146" w:type="dxa"/>
            <w:tcBorders/>
            <w:shd w:fill="CFF0FC" w:val="clear"/>
            <w:vAlign w:val="center"/>
          </w:tcPr>
          <w:p>
            <w:pPr>
              <w:pStyle w:val="TableContents"/>
              <w:bidi w:val="0"/>
              <w:spacing w:before="0" w:after="283"/>
              <w:jc w:val="left"/>
              <w:rPr/>
            </w:pPr>
            <w:r>
              <w:rPr/>
              <w:t> </w:t>
            </w:r>
          </w:p>
        </w:tc>
        <w:tc>
          <w:tcPr>
            <w:tcW w:w="287" w:type="dxa"/>
            <w:tcBorders/>
            <w:shd w:fill="CFF0FC" w:val="clear"/>
            <w:vAlign w:val="center"/>
          </w:tcPr>
          <w:p>
            <w:pPr>
              <w:pStyle w:val="TableContents"/>
              <w:bidi w:val="0"/>
              <w:spacing w:before="0" w:after="283"/>
              <w:jc w:val="left"/>
              <w:rPr/>
            </w:pPr>
            <w:r>
              <w:rPr/>
              <w:t> </w:t>
            </w:r>
          </w:p>
        </w:tc>
        <w:tc>
          <w:tcPr>
            <w:tcW w:w="943"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(73</w:t>
            </w:r>
          </w:p>
        </w:tc>
        <w:tc>
          <w:tcPr>
            <w:tcW w:w="22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98" w:type="dxa"/>
            <w:tcBorders/>
            <w:shd w:fill="CFF0FC" w:val="clear"/>
            <w:vAlign w:val="center"/>
          </w:tcPr>
          <w:p>
            <w:pPr>
              <w:pStyle w:val="TableContents"/>
              <w:bidi w:val="0"/>
              <w:spacing w:before="0" w:after="283"/>
              <w:jc w:val="left"/>
              <w:rPr/>
            </w:pPr>
            <w:r>
              <w:rPr/>
              <w:t> </w:t>
            </w:r>
          </w:p>
        </w:tc>
        <w:tc>
          <w:tcPr>
            <w:tcW w:w="287" w:type="dxa"/>
            <w:tcBorders/>
            <w:shd w:fill="CFF0FC" w:val="clear"/>
            <w:vAlign w:val="center"/>
          </w:tcPr>
          <w:p>
            <w:pPr>
              <w:pStyle w:val="TableContents"/>
              <w:bidi w:val="0"/>
              <w:spacing w:before="0" w:after="283"/>
              <w:jc w:val="left"/>
              <w:rPr/>
            </w:pPr>
            <w:r>
              <w:rPr/>
              <w:t> </w:t>
            </w:r>
          </w:p>
        </w:tc>
        <w:tc>
          <w:tcPr>
            <w:tcW w:w="943"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(45</w:t>
            </w:r>
          </w:p>
        </w:tc>
        <w:tc>
          <w:tcPr>
            <w:tcW w:w="16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6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(995</w:t>
            </w:r>
          </w:p>
        </w:tc>
        <w:tc>
          <w:tcPr>
            <w:tcW w:w="208"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84" w:type="dxa"/>
            <w:tcBorders/>
            <w:shd w:fill="CFF0FC" w:val="clear"/>
            <w:vAlign w:val="center"/>
          </w:tcPr>
          <w:p>
            <w:pPr>
              <w:pStyle w:val="TableContents"/>
              <w:bidi w:val="0"/>
              <w:spacing w:before="0" w:after="283"/>
              <w:jc w:val="left"/>
              <w:rPr/>
            </w:pPr>
            <w:r>
              <w:rPr/>
              <w:t> </w:t>
            </w:r>
          </w:p>
        </w:tc>
        <w:tc>
          <w:tcPr>
            <w:tcW w:w="266" w:type="dxa"/>
            <w:tcBorders/>
            <w:shd w:fill="CFF0FC" w:val="clear"/>
            <w:vAlign w:val="center"/>
          </w:tcPr>
          <w:p>
            <w:pPr>
              <w:pStyle w:val="TableContents"/>
              <w:bidi w:val="0"/>
              <w:spacing w:before="0" w:after="283"/>
              <w:jc w:val="left"/>
              <w:rPr/>
            </w:pPr>
            <w:r>
              <w:rPr/>
              <w:t> </w:t>
            </w:r>
          </w:p>
        </w:tc>
        <w:tc>
          <w:tcPr>
            <w:tcW w:w="873"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(41</w:t>
            </w:r>
          </w:p>
        </w:tc>
        <w:tc>
          <w:tcPr>
            <w:tcW w:w="21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3844"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Gain on sale of property</w:t>
            </w:r>
          </w:p>
        </w:tc>
        <w:tc>
          <w:tcPr>
            <w:tcW w:w="146"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right"/>
              <w:rPr>
                <w:color w:val="000000"/>
              </w:rPr>
            </w:pPr>
            <w:r>
              <w:rPr>
                <w:color w:val="000000"/>
              </w:rPr>
              <w:t>—</w:t>
            </w:r>
          </w:p>
        </w:tc>
        <w:tc>
          <w:tcPr>
            <w:tcW w:w="22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102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68</w:t>
            </w:r>
          </w:p>
        </w:tc>
        <w:tc>
          <w:tcPr>
            <w:tcW w:w="208"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107</w:t>
            </w:r>
          </w:p>
        </w:tc>
        <w:tc>
          <w:tcPr>
            <w:tcW w:w="216" w:type="dxa"/>
            <w:tcBorders/>
            <w:shd w:fill="FFFFFF" w:val="clear"/>
            <w:vAlign w:val="center"/>
          </w:tcPr>
          <w:p>
            <w:pPr>
              <w:pStyle w:val="TableContents"/>
              <w:bidi w:val="0"/>
              <w:spacing w:before="0" w:after="283"/>
              <w:jc w:val="left"/>
              <w:rPr/>
            </w:pPr>
            <w:r>
              <w:rPr/>
              <w:t> </w:t>
            </w:r>
          </w:p>
        </w:tc>
      </w:tr>
      <w:tr>
        <w:trPr/>
        <w:tc>
          <w:tcPr>
            <w:tcW w:w="3844"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Unrealized loss on equity securities</w:t>
            </w:r>
          </w:p>
        </w:tc>
        <w:tc>
          <w:tcPr>
            <w:tcW w:w="146" w:type="dxa"/>
            <w:tcBorders/>
            <w:shd w:fill="CFF0FC" w:val="clear"/>
            <w:vAlign w:val="center"/>
          </w:tcPr>
          <w:p>
            <w:pPr>
              <w:pStyle w:val="TableContents"/>
              <w:bidi w:val="0"/>
              <w:spacing w:before="0" w:after="283"/>
              <w:jc w:val="left"/>
              <w:rPr/>
            </w:pPr>
            <w:r>
              <w:rPr/>
              <w:t> </w:t>
            </w:r>
          </w:p>
        </w:tc>
        <w:tc>
          <w:tcPr>
            <w:tcW w:w="287" w:type="dxa"/>
            <w:tcBorders/>
            <w:shd w:fill="CFF0FC" w:val="clear"/>
            <w:vAlign w:val="center"/>
          </w:tcPr>
          <w:p>
            <w:pPr>
              <w:pStyle w:val="TableContents"/>
              <w:bidi w:val="0"/>
              <w:spacing w:before="0" w:after="283"/>
              <w:jc w:val="left"/>
              <w:rPr/>
            </w:pPr>
            <w:r>
              <w:rPr/>
              <w:t> </w:t>
            </w:r>
          </w:p>
        </w:tc>
        <w:tc>
          <w:tcPr>
            <w:tcW w:w="943"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(535</w:t>
            </w:r>
          </w:p>
        </w:tc>
        <w:tc>
          <w:tcPr>
            <w:tcW w:w="22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98" w:type="dxa"/>
            <w:tcBorders/>
            <w:shd w:fill="CFF0FC" w:val="clear"/>
            <w:vAlign w:val="center"/>
          </w:tcPr>
          <w:p>
            <w:pPr>
              <w:pStyle w:val="TableContents"/>
              <w:bidi w:val="0"/>
              <w:spacing w:before="0" w:after="283"/>
              <w:jc w:val="left"/>
              <w:rPr/>
            </w:pPr>
            <w:r>
              <w:rPr/>
              <w:t> </w:t>
            </w:r>
          </w:p>
        </w:tc>
        <w:tc>
          <w:tcPr>
            <w:tcW w:w="287" w:type="dxa"/>
            <w:tcBorders/>
            <w:shd w:fill="CFF0FC" w:val="clear"/>
            <w:vAlign w:val="center"/>
          </w:tcPr>
          <w:p>
            <w:pPr>
              <w:pStyle w:val="TableContents"/>
              <w:bidi w:val="0"/>
              <w:spacing w:before="0" w:after="283"/>
              <w:jc w:val="left"/>
              <w:rPr/>
            </w:pPr>
            <w:r>
              <w:rPr/>
              <w:t> </w:t>
            </w:r>
          </w:p>
        </w:tc>
        <w:tc>
          <w:tcPr>
            <w:tcW w:w="943"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(398</w:t>
            </w:r>
          </w:p>
        </w:tc>
        <w:tc>
          <w:tcPr>
            <w:tcW w:w="16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6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(148</w:t>
            </w:r>
          </w:p>
        </w:tc>
        <w:tc>
          <w:tcPr>
            <w:tcW w:w="208"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84" w:type="dxa"/>
            <w:tcBorders/>
            <w:shd w:fill="CFF0FC" w:val="clear"/>
            <w:vAlign w:val="center"/>
          </w:tcPr>
          <w:p>
            <w:pPr>
              <w:pStyle w:val="TableContents"/>
              <w:bidi w:val="0"/>
              <w:spacing w:before="0" w:after="283"/>
              <w:jc w:val="left"/>
              <w:rPr/>
            </w:pPr>
            <w:r>
              <w:rPr/>
              <w:t> </w:t>
            </w:r>
          </w:p>
        </w:tc>
        <w:tc>
          <w:tcPr>
            <w:tcW w:w="266" w:type="dxa"/>
            <w:tcBorders/>
            <w:shd w:fill="CFF0FC" w:val="clear"/>
            <w:vAlign w:val="center"/>
          </w:tcPr>
          <w:p>
            <w:pPr>
              <w:pStyle w:val="TableContents"/>
              <w:bidi w:val="0"/>
              <w:spacing w:before="0" w:after="283"/>
              <w:jc w:val="left"/>
              <w:rPr/>
            </w:pPr>
            <w:r>
              <w:rPr/>
              <w:t> </w:t>
            </w:r>
          </w:p>
        </w:tc>
        <w:tc>
          <w:tcPr>
            <w:tcW w:w="873"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(75</w:t>
            </w:r>
          </w:p>
        </w:tc>
        <w:tc>
          <w:tcPr>
            <w:tcW w:w="21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3844"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Other expense, net</w:t>
            </w:r>
          </w:p>
        </w:tc>
        <w:tc>
          <w:tcPr>
            <w:tcW w:w="146" w:type="dxa"/>
            <w:tcBorders/>
            <w:shd w:fill="FFFFFF" w:val="cle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(135</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98" w:type="dxa"/>
            <w:tcBorders/>
            <w:shd w:fill="FFFFFF" w:val="cle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(6,170</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84" w:type="dxa"/>
            <w:tcBorders/>
            <w:shd w:fill="FFFFFF" w:val="cle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(209</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3844"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Total other expense, net</w:t>
            </w:r>
          </w:p>
        </w:tc>
        <w:tc>
          <w:tcPr>
            <w:tcW w:w="146" w:type="dxa"/>
            <w:tcBorders/>
            <w:shd w:fill="CFF0FC" w:val="clear"/>
            <w:vAlign w:val="center"/>
          </w:tcPr>
          <w:p>
            <w:pPr>
              <w:pStyle w:val="TableContents"/>
              <w:bidi w:val="0"/>
              <w:spacing w:before="0" w:after="283"/>
              <w:jc w:val="lef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(743</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98" w:type="dxa"/>
            <w:tcBorders/>
            <w:shd w:fill="CFF0FC" w:val="clear"/>
            <w:vAlign w:val="center"/>
          </w:tcPr>
          <w:p>
            <w:pPr>
              <w:pStyle w:val="TableContents"/>
              <w:bidi w:val="0"/>
              <w:spacing w:before="0" w:after="283"/>
              <w:jc w:val="lef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(7,245</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84" w:type="dxa"/>
            <w:tcBorders/>
            <w:shd w:fill="CFF0FC" w:val="clear"/>
            <w:vAlign w:val="center"/>
          </w:tcPr>
          <w:p>
            <w:pPr>
              <w:pStyle w:val="TableContents"/>
              <w:bidi w:val="0"/>
              <w:spacing w:before="0" w:after="283"/>
              <w:jc w:val="lef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(218</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3844"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Income before income taxes</w:t>
            </w:r>
          </w:p>
        </w:tc>
        <w:tc>
          <w:tcPr>
            <w:tcW w:w="146"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6,389</w:t>
            </w:r>
          </w:p>
        </w:tc>
        <w:tc>
          <w:tcPr>
            <w:tcW w:w="22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7,622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16,126</w:t>
            </w:r>
          </w:p>
        </w:tc>
        <w:tc>
          <w:tcPr>
            <w:tcW w:w="208"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17,109</w:t>
            </w:r>
          </w:p>
        </w:tc>
        <w:tc>
          <w:tcPr>
            <w:tcW w:w="216" w:type="dxa"/>
            <w:tcBorders/>
            <w:shd w:fill="FFFFFF" w:val="clear"/>
            <w:vAlign w:val="center"/>
          </w:tcPr>
          <w:p>
            <w:pPr>
              <w:pStyle w:val="TableContents"/>
              <w:bidi w:val="0"/>
              <w:spacing w:before="0" w:after="283"/>
              <w:jc w:val="left"/>
              <w:rPr/>
            </w:pPr>
            <w:r>
              <w:rPr/>
              <w:t> </w:t>
            </w:r>
          </w:p>
        </w:tc>
      </w:tr>
      <w:tr>
        <w:trPr/>
        <w:tc>
          <w:tcPr>
            <w:tcW w:w="3844"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Income tax expense</w:t>
            </w:r>
          </w:p>
        </w:tc>
        <w:tc>
          <w:tcPr>
            <w:tcW w:w="146" w:type="dxa"/>
            <w:tcBorders/>
            <w:shd w:fill="CFF0FC" w:val="clear"/>
            <w:vAlign w:val="center"/>
          </w:tcPr>
          <w:p>
            <w:pPr>
              <w:pStyle w:val="TableContents"/>
              <w:bidi w:val="0"/>
              <w:spacing w:before="0" w:after="283"/>
              <w:jc w:val="lef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(2,102</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98" w:type="dxa"/>
            <w:tcBorders/>
            <w:shd w:fill="CFF0FC" w:val="clear"/>
            <w:vAlign w:val="center"/>
          </w:tcPr>
          <w:p>
            <w:pPr>
              <w:pStyle w:val="TableContents"/>
              <w:bidi w:val="0"/>
              <w:spacing w:before="0" w:after="283"/>
              <w:jc w:val="lef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(5,201</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84" w:type="dxa"/>
            <w:tcBorders/>
            <w:shd w:fill="CFF0FC" w:val="clear"/>
            <w:vAlign w:val="center"/>
          </w:tcPr>
          <w:p>
            <w:pPr>
              <w:pStyle w:val="TableContents"/>
              <w:bidi w:val="0"/>
              <w:spacing w:before="0" w:after="283"/>
              <w:jc w:val="lef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(2,846</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3844" w:type="dxa"/>
            <w:tcBorders/>
            <w:shd w:fill="FFFFFF"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Net income</w:t>
            </w:r>
          </w:p>
        </w:tc>
        <w:tc>
          <w:tcPr>
            <w:tcW w:w="146" w:type="dxa"/>
            <w:tcBorders/>
            <w:shd w:fill="FFFFFF" w:val="clear"/>
            <w:vAlign w:val="center"/>
          </w:tcPr>
          <w:p>
            <w:pPr>
              <w:pStyle w:val="TableContents"/>
              <w:bidi w:val="0"/>
              <w:spacing w:before="0" w:after="283"/>
              <w:jc w:val="left"/>
              <w:rPr/>
            </w:pPr>
            <w:r>
              <w:rPr/>
              <w:t> </w:t>
            </w:r>
          </w:p>
        </w:tc>
        <w:tc>
          <w:tcPr>
            <w:tcW w:w="2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4,287</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2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6,996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10,925</w:t>
            </w:r>
          </w:p>
        </w:tc>
        <w:tc>
          <w:tcPr>
            <w:tcW w:w="2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14,263</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Arial" w:hAnsi="Arial"/>
          <w:b/>
          <w:i/>
          <w:color w:val="000000"/>
          <w:sz w:val="20"/>
        </w:rPr>
      </w:pPr>
      <w:r>
        <w:rPr>
          <w:rFonts w:ascii="Arial" w:hAnsi="Arial"/>
          <w:b/>
          <w:i/>
          <w:color w:val="000000"/>
          <w:sz w:val="20"/>
        </w:rPr>
        <w:t>Comparison of the Three Months Ended September 30, 2023 and 2022</w:t>
      </w:r>
    </w:p>
    <w:p>
      <w:pPr>
        <w:pStyle w:val="TextBody"/>
        <w:bidi w:val="0"/>
        <w:spacing w:before="240" w:after="283"/>
        <w:jc w:val="both"/>
        <w:rPr>
          <w:rFonts w:ascii="Arial" w:hAnsi="Arial"/>
          <w:b/>
          <w:i/>
          <w:color w:val="000000"/>
          <w:sz w:val="20"/>
        </w:rPr>
      </w:pPr>
      <w:r>
        <w:rPr>
          <w:rFonts w:ascii="Arial" w:hAnsi="Arial"/>
          <w:b/>
          <w:i/>
          <w:color w:val="000000"/>
          <w:sz w:val="20"/>
        </w:rPr>
        <w:t>Revenue, net</w:t>
      </w:r>
    </w:p>
    <w:p>
      <w:pPr>
        <w:pStyle w:val="TextBody"/>
        <w:bidi w:val="0"/>
        <w:spacing w:before="240" w:after="283"/>
        <w:jc w:val="both"/>
        <w:rPr>
          <w:rFonts w:ascii="Arial" w:hAnsi="Arial"/>
          <w:b w:val="false"/>
          <w:color w:val="000000"/>
          <w:sz w:val="20"/>
        </w:rPr>
      </w:pPr>
      <w:r>
        <w:rPr>
          <w:rFonts w:ascii="Arial" w:hAnsi="Arial"/>
          <w:b w:val="false"/>
          <w:color w:val="000000"/>
          <w:sz w:val="20"/>
        </w:rPr>
        <w:t>Our revenue, net consists of tool rental and product sale revenues.</w:t>
      </w:r>
    </w:p>
    <w:p>
      <w:pPr>
        <w:pStyle w:val="TextBody"/>
        <w:bidi w:val="0"/>
        <w:jc w:val="left"/>
        <w:rPr/>
      </w:pPr>
      <w:r>
        <w:rPr/>
        <w:t> </w:t>
      </w:r>
    </w:p>
    <w:tbl>
      <w:tblPr>
        <w:tblW w:w="6194" w:type="dxa"/>
        <w:jc w:val="left"/>
        <w:tblInd w:w="0" w:type="dxa"/>
        <w:tblLayout w:type="fixed"/>
        <w:tblCellMar>
          <w:top w:w="28" w:type="dxa"/>
          <w:left w:w="28" w:type="dxa"/>
          <w:bottom w:w="28" w:type="dxa"/>
          <w:right w:w="28" w:type="dxa"/>
        </w:tblCellMar>
      </w:tblPr>
      <w:tblGrid>
        <w:gridCol w:w="1216"/>
        <w:gridCol w:w="146"/>
        <w:gridCol w:w="253"/>
        <w:gridCol w:w="831"/>
        <w:gridCol w:w="175"/>
        <w:gridCol w:w="175"/>
        <w:gridCol w:w="253"/>
        <w:gridCol w:w="831"/>
        <w:gridCol w:w="146"/>
        <w:gridCol w:w="146"/>
        <w:gridCol w:w="211"/>
        <w:gridCol w:w="586"/>
        <w:gridCol w:w="166"/>
        <w:gridCol w:w="146"/>
        <w:gridCol w:w="146"/>
        <w:gridCol w:w="376"/>
        <w:gridCol w:w="391"/>
      </w:tblGrid>
      <w:tr>
        <w:trPr/>
        <w:tc>
          <w:tcPr>
            <w:tcW w:w="1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21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251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Quarters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Change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16" w:type="dxa"/>
            <w:tcBorders/>
            <w:shd w:fill="FFFFFF" w:val="clear"/>
            <w:vAlign w:val="center"/>
          </w:tcPr>
          <w:p>
            <w:pPr>
              <w:pStyle w:val="TableContents"/>
              <w:bidi w:val="0"/>
              <w:spacing w:before="0" w:after="283"/>
              <w:jc w:val="left"/>
              <w:rPr>
                <w:rFonts w:ascii="Arial" w:hAnsi="Arial"/>
                <w:b w:val="false"/>
                <w:i/>
                <w:color w:val="000000"/>
                <w:sz w:val="16"/>
              </w:rPr>
            </w:pPr>
            <w:r>
              <w:rPr>
                <w:rFonts w:ascii="Arial" w:hAnsi="Arial"/>
                <w:b w:val="false"/>
                <w:i/>
                <w:color w:val="000000"/>
                <w:sz w:val="16"/>
              </w:rPr>
              <w:t>(In thousands)</w:t>
            </w:r>
          </w:p>
        </w:tc>
        <w:tc>
          <w:tcPr>
            <w:tcW w:w="146" w:type="dxa"/>
            <w:tcBorders/>
            <w:shd w:fill="FFFFFF" w:val="clear"/>
            <w:vAlign w:val="center"/>
          </w:tcPr>
          <w:p>
            <w:pPr>
              <w:pStyle w:val="TableContents"/>
              <w:bidi w:val="0"/>
              <w:spacing w:before="0" w:after="283"/>
              <w:jc w:val="center"/>
              <w:rPr/>
            </w:pPr>
            <w:r>
              <w:rPr/>
              <w:t> </w:t>
            </w:r>
          </w:p>
        </w:tc>
        <w:tc>
          <w:tcPr>
            <w:tcW w:w="10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 w:type="dxa"/>
            <w:tcBorders/>
            <w:shd w:fill="FFFFFF" w:val="clear"/>
            <w:vAlign w:val="center"/>
          </w:tcPr>
          <w:p>
            <w:pPr>
              <w:pStyle w:val="TableContents"/>
              <w:bidi w:val="0"/>
              <w:spacing w:before="0" w:after="283"/>
              <w:jc w:val="center"/>
              <w:rPr/>
            </w:pPr>
            <w:r>
              <w:rPr/>
              <w:t> </w:t>
            </w:r>
          </w:p>
        </w:tc>
        <w:tc>
          <w:tcPr>
            <w:tcW w:w="10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1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Tool rental</w:t>
            </w:r>
          </w:p>
        </w:tc>
        <w:tc>
          <w:tcPr>
            <w:tcW w:w="146"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3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29,361</w:t>
            </w:r>
          </w:p>
        </w:tc>
        <w:tc>
          <w:tcPr>
            <w:tcW w:w="175" w:type="dxa"/>
            <w:tcBorders/>
            <w:shd w:fill="CFF0FC" w:val="clear"/>
            <w:vAlign w:val="center"/>
          </w:tcPr>
          <w:p>
            <w:pPr>
              <w:pStyle w:val="TableContents"/>
              <w:bidi w:val="0"/>
              <w:spacing w:before="0" w:after="283"/>
              <w:jc w:val="left"/>
              <w:rPr/>
            </w:pPr>
            <w:r>
              <w:rPr/>
              <w:t> </w:t>
            </w:r>
          </w:p>
        </w:tc>
        <w:tc>
          <w:tcPr>
            <w:tcW w:w="175"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3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26,837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58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2,524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9</w:t>
            </w:r>
          </w:p>
        </w:tc>
        <w:tc>
          <w:tcPr>
            <w:tcW w:w="39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121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Product sale</w:t>
            </w:r>
          </w:p>
        </w:tc>
        <w:tc>
          <w:tcPr>
            <w:tcW w:w="146"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31"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8,777</w:t>
            </w:r>
          </w:p>
        </w:tc>
        <w:tc>
          <w:tcPr>
            <w:tcW w:w="175"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31"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9,710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58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(933</w:t>
            </w:r>
          </w:p>
        </w:tc>
        <w:tc>
          <w:tcPr>
            <w:tcW w:w="16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(10</w:t>
            </w:r>
          </w:p>
        </w:tc>
        <w:tc>
          <w:tcPr>
            <w:tcW w:w="39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bl>
    <w:p>
      <w:pPr>
        <w:pStyle w:val="TextBody"/>
        <w:bidi w:val="0"/>
        <w:jc w:val="left"/>
        <w:rPr/>
      </w:pPr>
      <w:r>
        <w:rPr/>
        <w:t> </w:t>
      </w:r>
    </w:p>
    <w:p>
      <w:pPr>
        <w:pStyle w:val="TextBody"/>
        <w:bidi w:val="0"/>
        <w:jc w:val="both"/>
        <w:rPr>
          <w:rFonts w:ascii="Arial" w:hAnsi="Arial"/>
          <w:b w:val="false"/>
          <w:color w:val="000000"/>
          <w:sz w:val="20"/>
        </w:rPr>
      </w:pPr>
      <w:r>
        <w:rPr>
          <w:rFonts w:ascii="Arial" w:hAnsi="Arial"/>
          <w:b w:val="false"/>
          <w:color w:val="000000"/>
          <w:sz w:val="20"/>
        </w:rPr>
        <w:t>Tool rental revenue increased $2.5 million, or 9%, to $29.4 million for the three months ended September 30, 2023 as compared to $26.8 million for the three months ended September 30, 2022. The increase was primarily driven by increased market activity and customer pricing across all divisions, especially in relation to our Directional Tool Rentals (“DTR”) division, the revenue of which increased $1.6 million and the Wellbore Optimization Tools ("WOT") division, the revenue of which increased $0.9 million.</w:t>
      </w:r>
    </w:p>
    <w:p>
      <w:pPr>
        <w:pStyle w:val="TextBody"/>
        <w:bidi w:val="0"/>
        <w:spacing w:before="240" w:after="283"/>
        <w:jc w:val="both"/>
        <w:rPr>
          <w:rFonts w:ascii="Arial" w:hAnsi="Arial"/>
          <w:b w:val="false"/>
          <w:color w:val="000000"/>
          <w:sz w:val="20"/>
        </w:rPr>
      </w:pPr>
      <w:r>
        <w:rPr>
          <w:rFonts w:ascii="Arial" w:hAnsi="Arial"/>
          <w:b w:val="false"/>
          <w:color w:val="000000"/>
          <w:sz w:val="20"/>
        </w:rPr>
        <w:t>Product sale revenue decreased $0.9 million, or 10%, to $8.8 million for the three months ended September 30, 2023 as compared to $9.7 million for the three months ended September 30, 2022. The decrease was primarily driven by higher than average rental tool recovery events in the three months ended September 30, 2022.</w:t>
      </w:r>
    </w:p>
    <w:p>
      <w:pPr>
        <w:pStyle w:val="TextBody"/>
        <w:bidi w:val="0"/>
        <w:spacing w:before="240" w:after="283"/>
        <w:jc w:val="both"/>
        <w:rPr>
          <w:rFonts w:ascii="Arial" w:hAnsi="Arial"/>
          <w:b/>
          <w:i/>
          <w:color w:val="000000"/>
          <w:sz w:val="20"/>
        </w:rPr>
      </w:pPr>
      <w:r>
        <w:rPr>
          <w:rFonts w:ascii="Arial" w:hAnsi="Arial"/>
          <w:b/>
          <w:i/>
          <w:color w:val="000000"/>
          <w:sz w:val="20"/>
        </w:rPr>
        <w:t>Costs and Expenses</w:t>
      </w:r>
    </w:p>
    <w:p>
      <w:pPr>
        <w:pStyle w:val="TextBody"/>
        <w:bidi w:val="0"/>
        <w:spacing w:before="240" w:after="283"/>
        <w:jc w:val="both"/>
        <w:rPr>
          <w:rFonts w:ascii="Arial" w:hAnsi="Arial"/>
          <w:b w:val="false"/>
          <w:i/>
          <w:color w:val="000000"/>
          <w:sz w:val="20"/>
        </w:rPr>
      </w:pPr>
      <w:r>
        <w:rPr>
          <w:rFonts w:ascii="Arial" w:hAnsi="Arial"/>
          <w:b w:val="false"/>
          <w:i/>
          <w:color w:val="000000"/>
          <w:sz w:val="20"/>
        </w:rPr>
        <w:t>Cost of revenue</w:t>
      </w:r>
    </w:p>
    <w:p>
      <w:pPr>
        <w:pStyle w:val="TextBody"/>
        <w:bidi w:val="0"/>
        <w:spacing w:before="240" w:after="283"/>
        <w:jc w:val="both"/>
        <w:rPr>
          <w:rFonts w:ascii="Arial" w:hAnsi="Arial"/>
          <w:b w:val="false"/>
          <w:color w:val="000000"/>
          <w:sz w:val="20"/>
        </w:rPr>
      </w:pPr>
      <w:r>
        <w:rPr>
          <w:rFonts w:ascii="Arial" w:hAnsi="Arial"/>
          <w:b w:val="false"/>
          <w:color w:val="000000"/>
          <w:sz w:val="20"/>
        </w:rPr>
        <w:t>Our cost of revenue consists of cost of tool rental revenue and cost of product sale revenue.</w:t>
      </w:r>
    </w:p>
    <w:p>
      <w:pPr>
        <w:pStyle w:val="TextBody"/>
        <w:bidi w:val="0"/>
        <w:jc w:val="left"/>
        <w:rPr/>
      </w:pPr>
      <w:r>
        <w:rPr/>
        <w:t> </w:t>
      </w:r>
    </w:p>
    <w:tbl>
      <w:tblPr>
        <w:tblW w:w="7560" w:type="dxa"/>
        <w:jc w:val="left"/>
        <w:tblInd w:w="0" w:type="dxa"/>
        <w:tblLayout w:type="fixed"/>
        <w:tblCellMar>
          <w:top w:w="28" w:type="dxa"/>
          <w:left w:w="28" w:type="dxa"/>
          <w:bottom w:w="28" w:type="dxa"/>
          <w:right w:w="28" w:type="dxa"/>
        </w:tblCellMar>
      </w:tblPr>
      <w:tblGrid>
        <w:gridCol w:w="2626"/>
        <w:gridCol w:w="146"/>
        <w:gridCol w:w="282"/>
        <w:gridCol w:w="783"/>
        <w:gridCol w:w="195"/>
        <w:gridCol w:w="195"/>
        <w:gridCol w:w="282"/>
        <w:gridCol w:w="783"/>
        <w:gridCol w:w="146"/>
        <w:gridCol w:w="146"/>
        <w:gridCol w:w="228"/>
        <w:gridCol w:w="523"/>
        <w:gridCol w:w="166"/>
        <w:gridCol w:w="146"/>
        <w:gridCol w:w="146"/>
        <w:gridCol w:w="376"/>
        <w:gridCol w:w="391"/>
      </w:tblGrid>
      <w:tr>
        <w:trPr/>
        <w:tc>
          <w:tcPr>
            <w:tcW w:w="2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2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252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Quarters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8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Change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26" w:type="dxa"/>
            <w:tcBorders/>
            <w:shd w:fill="FFFFFF" w:val="clear"/>
            <w:vAlign w:val="center"/>
          </w:tcPr>
          <w:p>
            <w:pPr>
              <w:pStyle w:val="TableContents"/>
              <w:bidi w:val="0"/>
              <w:spacing w:before="0" w:after="283"/>
              <w:jc w:val="left"/>
              <w:rPr>
                <w:rFonts w:ascii="Arial" w:hAnsi="Arial"/>
                <w:b w:val="false"/>
                <w:i/>
                <w:color w:val="000000"/>
                <w:sz w:val="16"/>
              </w:rPr>
            </w:pPr>
            <w:r>
              <w:rPr>
                <w:rFonts w:ascii="Arial" w:hAnsi="Arial"/>
                <w:b w:val="false"/>
                <w:i/>
                <w:color w:val="000000"/>
                <w:sz w:val="16"/>
              </w:rPr>
              <w:t>(In thousands)</w:t>
            </w:r>
          </w:p>
        </w:tc>
        <w:tc>
          <w:tcPr>
            <w:tcW w:w="146" w:type="dxa"/>
            <w:tcBorders/>
            <w:shd w:fill="FFFFFF" w:val="clear"/>
            <w:vAlign w:val="center"/>
          </w:tcPr>
          <w:p>
            <w:pPr>
              <w:pStyle w:val="TableContents"/>
              <w:bidi w:val="0"/>
              <w:spacing w:before="0" w:after="283"/>
              <w:jc w:val="center"/>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5" w:type="dxa"/>
            <w:tcBorders/>
            <w:shd w:fill="FFFFFF" w:val="clear"/>
            <w:vAlign w:val="center"/>
          </w:tcPr>
          <w:p>
            <w:pPr>
              <w:pStyle w:val="TableContents"/>
              <w:bidi w:val="0"/>
              <w:spacing w:before="0" w:after="283"/>
              <w:jc w:val="center"/>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2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Cost of tool rental revenue</w:t>
            </w:r>
          </w:p>
        </w:tc>
        <w:tc>
          <w:tcPr>
            <w:tcW w:w="146" w:type="dxa"/>
            <w:tcBorders/>
            <w:shd w:fill="CFF0FC" w:val="clear"/>
            <w:vAlign w:val="center"/>
          </w:tcPr>
          <w:p>
            <w:pPr>
              <w:pStyle w:val="TableContents"/>
              <w:bidi w:val="0"/>
              <w:spacing w:before="0" w:after="283"/>
              <w:jc w:val="left"/>
              <w:rPr/>
            </w:pPr>
            <w:r>
              <w:rPr/>
              <w:t> </w:t>
            </w:r>
          </w:p>
        </w:tc>
        <w:tc>
          <w:tcPr>
            <w:tcW w:w="282"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83"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7,956</w:t>
            </w:r>
          </w:p>
        </w:tc>
        <w:tc>
          <w:tcPr>
            <w:tcW w:w="195" w:type="dxa"/>
            <w:tcBorders/>
            <w:shd w:fill="CFF0FC" w:val="clear"/>
            <w:vAlign w:val="center"/>
          </w:tcPr>
          <w:p>
            <w:pPr>
              <w:pStyle w:val="TableContents"/>
              <w:bidi w:val="0"/>
              <w:spacing w:before="0" w:after="283"/>
              <w:jc w:val="left"/>
              <w:rPr/>
            </w:pPr>
            <w:r>
              <w:rPr/>
              <w:t> </w:t>
            </w:r>
          </w:p>
        </w:tc>
        <w:tc>
          <w:tcPr>
            <w:tcW w:w="195" w:type="dxa"/>
            <w:tcBorders/>
            <w:shd w:fill="CFF0FC" w:val="clear"/>
            <w:vAlign w:val="center"/>
          </w:tcPr>
          <w:p>
            <w:pPr>
              <w:pStyle w:val="TableContents"/>
              <w:bidi w:val="0"/>
              <w:spacing w:before="0" w:after="283"/>
              <w:jc w:val="left"/>
              <w:rPr/>
            </w:pPr>
            <w:r>
              <w:rPr/>
              <w:t> </w:t>
            </w:r>
          </w:p>
        </w:tc>
        <w:tc>
          <w:tcPr>
            <w:tcW w:w="282"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83"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7,586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523"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370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w:t>
            </w:r>
          </w:p>
        </w:tc>
        <w:tc>
          <w:tcPr>
            <w:tcW w:w="39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262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Cost of product sale revenue</w:t>
            </w:r>
          </w:p>
        </w:tc>
        <w:tc>
          <w:tcPr>
            <w:tcW w:w="146"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83"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1,195</w:t>
            </w:r>
          </w:p>
        </w:tc>
        <w:tc>
          <w:tcPr>
            <w:tcW w:w="195"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83"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1,372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523"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(177</w:t>
            </w:r>
          </w:p>
        </w:tc>
        <w:tc>
          <w:tcPr>
            <w:tcW w:w="16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(13</w:t>
            </w:r>
          </w:p>
        </w:tc>
        <w:tc>
          <w:tcPr>
            <w:tcW w:w="39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bl>
    <w:p>
      <w:pPr>
        <w:pStyle w:val="TextBody"/>
        <w:bidi w:val="0"/>
        <w:jc w:val="left"/>
        <w:rPr/>
      </w:pPr>
      <w:r>
        <w:rPr/>
        <w:t> </w:t>
      </w:r>
    </w:p>
    <w:p>
      <w:pPr>
        <w:pStyle w:val="TextBody"/>
        <w:bidi w:val="0"/>
        <w:jc w:val="center"/>
        <w:rPr/>
      </w:pPr>
      <w:r>
        <w:rPr/>
        <w:t> </w:t>
      </w:r>
    </w:p>
    <w:p>
      <w:pPr>
        <w:pStyle w:val="TextBody"/>
        <w:bidi w:val="0"/>
        <w:jc w:val="center"/>
        <w:rPr>
          <w:rFonts w:ascii="Arial" w:hAnsi="Arial"/>
          <w:b w:val="false"/>
          <w:color w:val="000000"/>
          <w:sz w:val="20"/>
        </w:rPr>
      </w:pPr>
      <w:r>
        <w:rPr>
          <w:rFonts w:ascii="Arial" w:hAnsi="Arial"/>
          <w:b w:val="false"/>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both"/>
        <w:rPr>
          <w:rFonts w:ascii="Arial" w:hAnsi="Arial"/>
          <w:b w:val="false"/>
          <w:color w:val="000000"/>
          <w:sz w:val="20"/>
        </w:rPr>
      </w:pPr>
      <w:r>
        <w:rPr>
          <w:rFonts w:ascii="Arial" w:hAnsi="Arial"/>
          <w:b w:val="false"/>
          <w:color w:val="000000"/>
          <w:sz w:val="20"/>
        </w:rPr>
        <w:t>Cost of tool rental revenue increased $0.4 million, or 5%, to $8.0 million for the three months ended September 30, 2023 as compared to $7.6 million for the for the three months ended September 30, 2022. Across all divisions, the increase in cost of tool rental revenue was primarily driven by increased labor costs as well as increased repair costs due to increased rental activity.</w:t>
      </w:r>
    </w:p>
    <w:p>
      <w:pPr>
        <w:pStyle w:val="TextBody"/>
        <w:bidi w:val="0"/>
        <w:spacing w:before="240" w:after="283"/>
        <w:jc w:val="both"/>
        <w:rPr>
          <w:rFonts w:ascii="Arial" w:hAnsi="Arial"/>
          <w:b w:val="false"/>
          <w:color w:val="000000"/>
          <w:sz w:val="20"/>
        </w:rPr>
      </w:pPr>
      <w:r>
        <w:rPr>
          <w:rFonts w:ascii="Arial" w:hAnsi="Arial"/>
          <w:b w:val="false"/>
          <w:color w:val="000000"/>
          <w:sz w:val="20"/>
        </w:rPr>
        <w:t>Cost of product sale revenue decreased $0.2 million, or 13%, to $1.2 million for the three months ended September 30, 2023 as compared to $1.4 million for the for the three months ended September 30, 2022. The decrease in cost of product sale revenue was primarily driven by a decrease in rental tool recovery revenue.</w:t>
      </w:r>
    </w:p>
    <w:p>
      <w:pPr>
        <w:pStyle w:val="TextBody"/>
        <w:bidi w:val="0"/>
        <w:spacing w:before="240" w:after="283"/>
        <w:jc w:val="both"/>
        <w:rPr>
          <w:rFonts w:ascii="Arial" w:hAnsi="Arial"/>
          <w:b w:val="false"/>
          <w:i/>
          <w:color w:val="000000"/>
          <w:sz w:val="20"/>
        </w:rPr>
      </w:pPr>
      <w:r>
        <w:rPr>
          <w:rFonts w:ascii="Arial" w:hAnsi="Arial"/>
          <w:b w:val="false"/>
          <w:i/>
          <w:color w:val="000000"/>
          <w:sz w:val="20"/>
        </w:rPr>
        <w:t>Selling, General, and Administrative Expense</w:t>
      </w:r>
    </w:p>
    <w:p>
      <w:pPr>
        <w:pStyle w:val="TextBody"/>
        <w:bidi w:val="0"/>
        <w:jc w:val="left"/>
        <w:rPr/>
      </w:pPr>
      <w:r>
        <w:rPr/>
        <w:t> </w:t>
      </w:r>
    </w:p>
    <w:tbl>
      <w:tblPr>
        <w:tblW w:w="8799" w:type="dxa"/>
        <w:jc w:val="left"/>
        <w:tblInd w:w="0" w:type="dxa"/>
        <w:tblLayout w:type="fixed"/>
        <w:tblCellMar>
          <w:top w:w="28" w:type="dxa"/>
          <w:left w:w="28" w:type="dxa"/>
          <w:bottom w:w="28" w:type="dxa"/>
          <w:right w:w="28" w:type="dxa"/>
        </w:tblCellMar>
      </w:tblPr>
      <w:tblGrid>
        <w:gridCol w:w="3961"/>
        <w:gridCol w:w="146"/>
        <w:gridCol w:w="253"/>
        <w:gridCol w:w="831"/>
        <w:gridCol w:w="175"/>
        <w:gridCol w:w="175"/>
        <w:gridCol w:w="253"/>
        <w:gridCol w:w="831"/>
        <w:gridCol w:w="146"/>
        <w:gridCol w:w="146"/>
        <w:gridCol w:w="211"/>
        <w:gridCol w:w="586"/>
        <w:gridCol w:w="146"/>
        <w:gridCol w:w="146"/>
        <w:gridCol w:w="146"/>
        <w:gridCol w:w="316"/>
        <w:gridCol w:w="331"/>
      </w:tblGrid>
      <w:tr>
        <w:trPr/>
        <w:tc>
          <w:tcPr>
            <w:tcW w:w="3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96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251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Quarters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Change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61" w:type="dxa"/>
            <w:tcBorders/>
            <w:shd w:fill="FFFFFF" w:val="clear"/>
            <w:vAlign w:val="center"/>
          </w:tcPr>
          <w:p>
            <w:pPr>
              <w:pStyle w:val="TableContents"/>
              <w:bidi w:val="0"/>
              <w:spacing w:before="0" w:after="283"/>
              <w:jc w:val="left"/>
              <w:rPr>
                <w:rFonts w:ascii="Arial" w:hAnsi="Arial"/>
                <w:b w:val="false"/>
                <w:i/>
                <w:color w:val="000000"/>
                <w:sz w:val="16"/>
              </w:rPr>
            </w:pPr>
            <w:r>
              <w:rPr>
                <w:rFonts w:ascii="Arial" w:hAnsi="Arial"/>
                <w:b w:val="false"/>
                <w:i/>
                <w:color w:val="000000"/>
                <w:sz w:val="16"/>
              </w:rPr>
              <w:t>(In thousands)</w:t>
            </w:r>
          </w:p>
        </w:tc>
        <w:tc>
          <w:tcPr>
            <w:tcW w:w="146" w:type="dxa"/>
            <w:tcBorders/>
            <w:shd w:fill="FFFFFF" w:val="clear"/>
            <w:vAlign w:val="center"/>
          </w:tcPr>
          <w:p>
            <w:pPr>
              <w:pStyle w:val="TableContents"/>
              <w:bidi w:val="0"/>
              <w:spacing w:before="0" w:after="283"/>
              <w:jc w:val="center"/>
              <w:rPr/>
            </w:pPr>
            <w:r>
              <w:rPr/>
              <w:t> </w:t>
            </w:r>
          </w:p>
        </w:tc>
        <w:tc>
          <w:tcPr>
            <w:tcW w:w="10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 w:type="dxa"/>
            <w:tcBorders/>
            <w:shd w:fill="FFFFFF" w:val="clear"/>
            <w:vAlign w:val="center"/>
          </w:tcPr>
          <w:p>
            <w:pPr>
              <w:pStyle w:val="TableContents"/>
              <w:bidi w:val="0"/>
              <w:spacing w:before="0" w:after="283"/>
              <w:jc w:val="center"/>
              <w:rPr/>
            </w:pPr>
            <w:r>
              <w:rPr/>
              <w:t> </w:t>
            </w:r>
          </w:p>
        </w:tc>
        <w:tc>
          <w:tcPr>
            <w:tcW w:w="10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6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Selling, general, and administrative expense</w:t>
            </w:r>
          </w:p>
        </w:tc>
        <w:tc>
          <w:tcPr>
            <w:tcW w:w="146"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3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16,552</w:t>
            </w:r>
          </w:p>
        </w:tc>
        <w:tc>
          <w:tcPr>
            <w:tcW w:w="175" w:type="dxa"/>
            <w:tcBorders/>
            <w:shd w:fill="CFF0FC" w:val="clear"/>
            <w:vAlign w:val="center"/>
          </w:tcPr>
          <w:p>
            <w:pPr>
              <w:pStyle w:val="TableContents"/>
              <w:bidi w:val="0"/>
              <w:spacing w:before="0" w:after="283"/>
              <w:jc w:val="left"/>
              <w:rPr/>
            </w:pPr>
            <w:r>
              <w:rPr/>
              <w:t> </w:t>
            </w:r>
          </w:p>
        </w:tc>
        <w:tc>
          <w:tcPr>
            <w:tcW w:w="175"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3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14,692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58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1,860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13</w:t>
            </w:r>
          </w:p>
        </w:tc>
        <w:tc>
          <w:tcPr>
            <w:tcW w:w="33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bl>
    <w:p>
      <w:pPr>
        <w:pStyle w:val="TextBody"/>
        <w:bidi w:val="0"/>
        <w:jc w:val="left"/>
        <w:rPr/>
      </w:pPr>
      <w:r>
        <w:rPr/>
        <w:t> </w:t>
      </w:r>
    </w:p>
    <w:p>
      <w:pPr>
        <w:pStyle w:val="TextBody"/>
        <w:bidi w:val="0"/>
        <w:jc w:val="both"/>
        <w:rPr>
          <w:rFonts w:ascii="Arial" w:hAnsi="Arial"/>
          <w:b w:val="false"/>
          <w:color w:val="000000"/>
          <w:sz w:val="20"/>
        </w:rPr>
      </w:pPr>
      <w:r>
        <w:rPr>
          <w:rFonts w:ascii="Arial" w:hAnsi="Arial"/>
          <w:b w:val="false"/>
          <w:color w:val="000000"/>
          <w:sz w:val="20"/>
        </w:rPr>
        <w:t>Selling, general, and administrative expense increased $1.9 million, or 13%, to $16.6 million for the three months ended September 30, 2023 as compared to $14.7 million for the three months ended September 30, 2022. This increase was primarily driven by a:</w:t>
      </w:r>
    </w:p>
    <w:p>
      <w:pPr>
        <w:pStyle w:val="TextBody"/>
        <w:bidi w:val="0"/>
        <w:jc w:val="both"/>
        <w:rPr/>
      </w:pPr>
      <w:r>
        <w:rPr/>
        <w:t> </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w:t>
      </w:r>
    </w:p>
    <w:p>
      <w:pPr>
        <w:pStyle w:val="TextBody"/>
        <w:bidi w:val="0"/>
        <w:spacing w:before="0" w:after="0"/>
        <w:jc w:val="both"/>
        <w:rPr>
          <w:rFonts w:ascii="Arial" w:hAnsi="Arial"/>
          <w:b w:val="false"/>
          <w:color w:val="000000"/>
          <w:sz w:val="20"/>
        </w:rPr>
      </w:pPr>
      <w:r>
        <w:rPr>
          <w:rFonts w:ascii="Arial" w:hAnsi="Arial"/>
          <w:b w:val="false"/>
          <w:color w:val="000000"/>
          <w:sz w:val="20"/>
        </w:rPr>
        <w:t>$0.4 million increase in insurance expenses,</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w:t>
      </w:r>
    </w:p>
    <w:p>
      <w:pPr>
        <w:pStyle w:val="TextBody"/>
        <w:bidi w:val="0"/>
        <w:spacing w:before="0" w:after="0"/>
        <w:jc w:val="both"/>
        <w:rPr>
          <w:rFonts w:ascii="Arial" w:hAnsi="Arial"/>
          <w:b w:val="false"/>
          <w:color w:val="000000"/>
          <w:sz w:val="20"/>
        </w:rPr>
      </w:pPr>
      <w:r>
        <w:rPr>
          <w:rFonts w:ascii="Arial" w:hAnsi="Arial"/>
          <w:b w:val="false"/>
          <w:color w:val="000000"/>
          <w:sz w:val="20"/>
        </w:rPr>
        <w:t>$0.2 million increase in expenses related to supplies, equipment, licenses and vehicles,</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w:t>
      </w:r>
    </w:p>
    <w:p>
      <w:pPr>
        <w:pStyle w:val="TextBody"/>
        <w:bidi w:val="0"/>
        <w:spacing w:before="0" w:after="0"/>
        <w:jc w:val="both"/>
        <w:rPr>
          <w:rFonts w:ascii="Arial" w:hAnsi="Arial"/>
          <w:b w:val="false"/>
          <w:color w:val="000000"/>
          <w:sz w:val="20"/>
        </w:rPr>
      </w:pPr>
      <w:r>
        <w:rPr>
          <w:rFonts w:ascii="Arial" w:hAnsi="Arial"/>
          <w:b w:val="false"/>
          <w:color w:val="000000"/>
          <w:sz w:val="20"/>
        </w:rPr>
        <w:t>$0.2 million increase in rent expenses,</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w:t>
      </w:r>
    </w:p>
    <w:p>
      <w:pPr>
        <w:pStyle w:val="TextBody"/>
        <w:bidi w:val="0"/>
        <w:spacing w:before="0" w:after="0"/>
        <w:jc w:val="both"/>
        <w:rPr>
          <w:rFonts w:ascii="Arial" w:hAnsi="Arial"/>
          <w:b w:val="false"/>
          <w:color w:val="000000"/>
          <w:sz w:val="20"/>
        </w:rPr>
      </w:pPr>
      <w:r>
        <w:rPr>
          <w:rFonts w:ascii="Arial" w:hAnsi="Arial"/>
          <w:b w:val="false"/>
          <w:color w:val="000000"/>
          <w:sz w:val="20"/>
        </w:rPr>
        <w:t>$0.2 million increase in repairs,</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w:t>
      </w:r>
    </w:p>
    <w:p>
      <w:pPr>
        <w:pStyle w:val="TextBody"/>
        <w:bidi w:val="0"/>
        <w:spacing w:before="0" w:after="0"/>
        <w:jc w:val="both"/>
        <w:rPr>
          <w:rFonts w:ascii="Arial" w:hAnsi="Arial"/>
          <w:b w:val="false"/>
          <w:color w:val="000000"/>
          <w:sz w:val="20"/>
        </w:rPr>
      </w:pPr>
      <w:r>
        <w:rPr>
          <w:rFonts w:ascii="Arial" w:hAnsi="Arial"/>
          <w:b w:val="false"/>
          <w:color w:val="000000"/>
          <w:sz w:val="20"/>
        </w:rPr>
        <w:t>$0.6 million increase in personnel-related expenses, and</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w:t>
      </w:r>
    </w:p>
    <w:p>
      <w:pPr>
        <w:pStyle w:val="TextBody"/>
        <w:bidi w:val="0"/>
        <w:jc w:val="both"/>
        <w:rPr>
          <w:rFonts w:ascii="Arial" w:hAnsi="Arial"/>
          <w:b w:val="false"/>
          <w:color w:val="000000"/>
          <w:sz w:val="20"/>
        </w:rPr>
      </w:pPr>
      <w:r>
        <w:rPr>
          <w:rFonts w:ascii="Arial" w:hAnsi="Arial"/>
          <w:b w:val="false"/>
          <w:color w:val="000000"/>
          <w:sz w:val="20"/>
        </w:rPr>
        <w:t>$0.2 million increase in monitoring fees.</w:t>
      </w:r>
    </w:p>
    <w:p>
      <w:pPr>
        <w:pStyle w:val="TextBody"/>
        <w:bidi w:val="0"/>
        <w:spacing w:before="240" w:after="283"/>
        <w:jc w:val="both"/>
        <w:rPr>
          <w:rFonts w:ascii="Arial" w:hAnsi="Arial"/>
          <w:b w:val="false"/>
          <w:color w:val="000000"/>
          <w:sz w:val="20"/>
        </w:rPr>
      </w:pPr>
      <w:r>
        <w:rPr>
          <w:rFonts w:ascii="Arial" w:hAnsi="Arial"/>
          <w:b w:val="false"/>
          <w:color w:val="000000"/>
          <w:sz w:val="20"/>
        </w:rPr>
        <w:t>No other driver of this increase was individually significant.</w:t>
      </w:r>
    </w:p>
    <w:p>
      <w:pPr>
        <w:pStyle w:val="TextBody"/>
        <w:bidi w:val="0"/>
        <w:spacing w:before="240" w:after="283"/>
        <w:jc w:val="both"/>
        <w:rPr>
          <w:rFonts w:ascii="Arial" w:hAnsi="Arial"/>
          <w:b w:val="false"/>
          <w:i/>
          <w:color w:val="000000"/>
          <w:sz w:val="20"/>
        </w:rPr>
      </w:pPr>
      <w:r>
        <w:rPr>
          <w:rFonts w:ascii="Arial" w:hAnsi="Arial"/>
          <w:b w:val="false"/>
          <w:i/>
          <w:color w:val="000000"/>
          <w:sz w:val="20"/>
        </w:rPr>
        <w:t>Depreciation and Amortization expense</w:t>
      </w:r>
    </w:p>
    <w:p>
      <w:pPr>
        <w:pStyle w:val="TextBody"/>
        <w:bidi w:val="0"/>
        <w:jc w:val="left"/>
        <w:rPr/>
      </w:pPr>
      <w:r>
        <w:rPr/>
        <w:t> </w:t>
      </w:r>
    </w:p>
    <w:tbl>
      <w:tblPr>
        <w:tblW w:w="8290" w:type="dxa"/>
        <w:jc w:val="left"/>
        <w:tblInd w:w="0" w:type="dxa"/>
        <w:tblLayout w:type="fixed"/>
        <w:tblCellMar>
          <w:top w:w="28" w:type="dxa"/>
          <w:left w:w="28" w:type="dxa"/>
          <w:bottom w:w="28" w:type="dxa"/>
          <w:right w:w="28" w:type="dxa"/>
        </w:tblCellMar>
      </w:tblPr>
      <w:tblGrid>
        <w:gridCol w:w="3496"/>
        <w:gridCol w:w="146"/>
        <w:gridCol w:w="282"/>
        <w:gridCol w:w="783"/>
        <w:gridCol w:w="195"/>
        <w:gridCol w:w="195"/>
        <w:gridCol w:w="282"/>
        <w:gridCol w:w="783"/>
        <w:gridCol w:w="146"/>
        <w:gridCol w:w="146"/>
        <w:gridCol w:w="250"/>
        <w:gridCol w:w="501"/>
        <w:gridCol w:w="146"/>
        <w:gridCol w:w="146"/>
        <w:gridCol w:w="146"/>
        <w:gridCol w:w="316"/>
        <w:gridCol w:w="331"/>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49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252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Quarters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0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Change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FFFFFF" w:val="clear"/>
            <w:vAlign w:val="center"/>
          </w:tcPr>
          <w:p>
            <w:pPr>
              <w:pStyle w:val="TableContents"/>
              <w:bidi w:val="0"/>
              <w:spacing w:before="0" w:after="283"/>
              <w:jc w:val="left"/>
              <w:rPr>
                <w:rFonts w:ascii="Arial" w:hAnsi="Arial"/>
                <w:b w:val="false"/>
                <w:i/>
                <w:color w:val="000000"/>
                <w:sz w:val="16"/>
              </w:rPr>
            </w:pPr>
            <w:r>
              <w:rPr>
                <w:rFonts w:ascii="Arial" w:hAnsi="Arial"/>
                <w:b w:val="false"/>
                <w:i/>
                <w:color w:val="000000"/>
                <w:sz w:val="16"/>
              </w:rPr>
              <w:t>(In thousands)</w:t>
            </w:r>
          </w:p>
        </w:tc>
        <w:tc>
          <w:tcPr>
            <w:tcW w:w="146" w:type="dxa"/>
            <w:tcBorders/>
            <w:shd w:fill="FFFFFF" w:val="clear"/>
            <w:vAlign w:val="center"/>
          </w:tcPr>
          <w:p>
            <w:pPr>
              <w:pStyle w:val="TableContents"/>
              <w:bidi w:val="0"/>
              <w:spacing w:before="0" w:after="283"/>
              <w:jc w:val="center"/>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5" w:type="dxa"/>
            <w:tcBorders/>
            <w:shd w:fill="FFFFFF" w:val="clear"/>
            <w:vAlign w:val="center"/>
          </w:tcPr>
          <w:p>
            <w:pPr>
              <w:pStyle w:val="TableContents"/>
              <w:bidi w:val="0"/>
              <w:spacing w:before="0" w:after="283"/>
              <w:jc w:val="center"/>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Depreciation and amortization expense</w:t>
            </w:r>
          </w:p>
        </w:tc>
        <w:tc>
          <w:tcPr>
            <w:tcW w:w="146" w:type="dxa"/>
            <w:tcBorders/>
            <w:shd w:fill="CFF0FC" w:val="clear"/>
            <w:vAlign w:val="center"/>
          </w:tcPr>
          <w:p>
            <w:pPr>
              <w:pStyle w:val="TableContents"/>
              <w:bidi w:val="0"/>
              <w:spacing w:before="0" w:after="283"/>
              <w:jc w:val="left"/>
              <w:rPr/>
            </w:pPr>
            <w:r>
              <w:rPr/>
              <w:t> </w:t>
            </w:r>
          </w:p>
        </w:tc>
        <w:tc>
          <w:tcPr>
            <w:tcW w:w="282"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83"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5,303</w:t>
            </w:r>
          </w:p>
        </w:tc>
        <w:tc>
          <w:tcPr>
            <w:tcW w:w="195" w:type="dxa"/>
            <w:tcBorders/>
            <w:shd w:fill="CFF0FC" w:val="clear"/>
            <w:vAlign w:val="center"/>
          </w:tcPr>
          <w:p>
            <w:pPr>
              <w:pStyle w:val="TableContents"/>
              <w:bidi w:val="0"/>
              <w:spacing w:before="0" w:after="283"/>
              <w:jc w:val="left"/>
              <w:rPr/>
            </w:pPr>
            <w:r>
              <w:rPr/>
              <w:t> </w:t>
            </w:r>
          </w:p>
        </w:tc>
        <w:tc>
          <w:tcPr>
            <w:tcW w:w="195" w:type="dxa"/>
            <w:tcBorders/>
            <w:shd w:fill="CFF0FC" w:val="clear"/>
            <w:vAlign w:val="center"/>
          </w:tcPr>
          <w:p>
            <w:pPr>
              <w:pStyle w:val="TableContents"/>
              <w:bidi w:val="0"/>
              <w:spacing w:before="0" w:after="283"/>
              <w:jc w:val="left"/>
              <w:rPr/>
            </w:pPr>
            <w:r>
              <w:rPr/>
              <w:t> </w:t>
            </w:r>
          </w:p>
        </w:tc>
        <w:tc>
          <w:tcPr>
            <w:tcW w:w="282"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83"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4,820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50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483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10</w:t>
            </w:r>
          </w:p>
        </w:tc>
        <w:tc>
          <w:tcPr>
            <w:tcW w:w="33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bl>
    <w:p>
      <w:pPr>
        <w:pStyle w:val="TextBody"/>
        <w:bidi w:val="0"/>
        <w:jc w:val="left"/>
        <w:rPr/>
      </w:pPr>
      <w:r>
        <w:rPr/>
        <w:t> </w:t>
      </w:r>
    </w:p>
    <w:p>
      <w:pPr>
        <w:pStyle w:val="TextBody"/>
        <w:bidi w:val="0"/>
        <w:jc w:val="both"/>
        <w:rPr>
          <w:rFonts w:ascii="Arial" w:hAnsi="Arial"/>
          <w:b w:val="false"/>
          <w:color w:val="000000"/>
          <w:sz w:val="20"/>
        </w:rPr>
      </w:pPr>
      <w:r>
        <w:rPr>
          <w:rFonts w:ascii="Arial" w:hAnsi="Arial"/>
          <w:b w:val="false"/>
          <w:color w:val="000000"/>
          <w:sz w:val="20"/>
        </w:rPr>
        <w:t>Depreciation and amortization expenses increased $0.5 million, or 10%, to $5.3 million for the three months ended September 30, 2023 as compared to $4.8 million for the three months ended September 30, 2022. The increase was primarily due an increase in depreciation expense resulting from a higher property, plant and equipment balance as of September 30, 2023.</w:t>
      </w:r>
    </w:p>
    <w:p>
      <w:pPr>
        <w:pStyle w:val="TextBody"/>
        <w:bidi w:val="0"/>
        <w:spacing w:before="240" w:after="283"/>
        <w:jc w:val="both"/>
        <w:rPr>
          <w:rFonts w:ascii="Arial" w:hAnsi="Arial"/>
          <w:b/>
          <w:i/>
          <w:color w:val="000000"/>
          <w:sz w:val="20"/>
        </w:rPr>
      </w:pPr>
      <w:r>
        <w:rPr>
          <w:rFonts w:ascii="Arial" w:hAnsi="Arial"/>
          <w:b/>
          <w:i/>
          <w:color w:val="000000"/>
          <w:sz w:val="20"/>
        </w:rPr>
        <w:t>Other expense, net</w:t>
      </w:r>
    </w:p>
    <w:p>
      <w:pPr>
        <w:pStyle w:val="TextBody"/>
        <w:bidi w:val="0"/>
        <w:spacing w:before="240" w:after="283"/>
        <w:jc w:val="both"/>
        <w:rPr>
          <w:rFonts w:ascii="Arial" w:hAnsi="Arial"/>
          <w:b w:val="false"/>
          <w:i/>
          <w:color w:val="000000"/>
          <w:sz w:val="20"/>
        </w:rPr>
      </w:pPr>
      <w:r>
        <w:rPr>
          <w:rFonts w:ascii="Arial" w:hAnsi="Arial"/>
          <w:b w:val="false"/>
          <w:i/>
          <w:color w:val="000000"/>
          <w:sz w:val="20"/>
        </w:rPr>
        <w:t>Interest Expense, net</w:t>
      </w:r>
    </w:p>
    <w:p>
      <w:pPr>
        <w:pStyle w:val="TextBody"/>
        <w:bidi w:val="0"/>
        <w:jc w:val="left"/>
        <w:rPr/>
      </w:pPr>
      <w:r>
        <w:rPr/>
        <w:t> </w:t>
      </w:r>
    </w:p>
    <w:tbl>
      <w:tblPr>
        <w:tblW w:w="6796" w:type="dxa"/>
        <w:jc w:val="left"/>
        <w:tblInd w:w="0" w:type="dxa"/>
        <w:tblLayout w:type="fixed"/>
        <w:tblCellMar>
          <w:top w:w="28" w:type="dxa"/>
          <w:left w:w="28" w:type="dxa"/>
          <w:bottom w:w="28" w:type="dxa"/>
          <w:right w:w="28" w:type="dxa"/>
        </w:tblCellMar>
      </w:tblPr>
      <w:tblGrid>
        <w:gridCol w:w="1966"/>
        <w:gridCol w:w="146"/>
        <w:gridCol w:w="357"/>
        <w:gridCol w:w="637"/>
        <w:gridCol w:w="281"/>
        <w:gridCol w:w="247"/>
        <w:gridCol w:w="357"/>
        <w:gridCol w:w="637"/>
        <w:gridCol w:w="166"/>
        <w:gridCol w:w="146"/>
        <w:gridCol w:w="269"/>
        <w:gridCol w:w="482"/>
        <w:gridCol w:w="166"/>
        <w:gridCol w:w="146"/>
        <w:gridCol w:w="146"/>
        <w:gridCol w:w="316"/>
        <w:gridCol w:w="331"/>
      </w:tblGrid>
      <w:tr>
        <w:trPr/>
        <w:tc>
          <w:tcPr>
            <w:tcW w:w="1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9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25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Quarters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Change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66" w:type="dxa"/>
            <w:tcBorders/>
            <w:shd w:fill="FFFFFF" w:val="clear"/>
            <w:vAlign w:val="center"/>
          </w:tcPr>
          <w:p>
            <w:pPr>
              <w:pStyle w:val="TableContents"/>
              <w:bidi w:val="0"/>
              <w:spacing w:before="0" w:after="283"/>
              <w:jc w:val="left"/>
              <w:rPr>
                <w:rFonts w:ascii="Arial" w:hAnsi="Arial"/>
                <w:b w:val="false"/>
                <w:i/>
                <w:color w:val="000000"/>
                <w:sz w:val="16"/>
              </w:rPr>
            </w:pPr>
            <w:r>
              <w:rPr>
                <w:rFonts w:ascii="Arial" w:hAnsi="Arial"/>
                <w:b w:val="false"/>
                <w:i/>
                <w:color w:val="000000"/>
                <w:sz w:val="16"/>
              </w:rPr>
              <w:t>(In thousands)</w:t>
            </w:r>
          </w:p>
        </w:tc>
        <w:tc>
          <w:tcPr>
            <w:tcW w:w="146" w:type="dxa"/>
            <w:tcBorders/>
            <w:shd w:fill="FFFFFF" w:val="clear"/>
            <w:vAlign w:val="center"/>
          </w:tcPr>
          <w:p>
            <w:pPr>
              <w:pStyle w:val="TableContents"/>
              <w:bidi w:val="0"/>
              <w:spacing w:before="0" w:after="283"/>
              <w:jc w:val="center"/>
              <w:rPr/>
            </w:pPr>
            <w:r>
              <w:rPr/>
              <w:t> </w:t>
            </w:r>
          </w:p>
        </w:tc>
        <w:tc>
          <w:tcPr>
            <w:tcW w:w="9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7" w:type="dxa"/>
            <w:tcBorders/>
            <w:shd w:fill="FFFFFF" w:val="clear"/>
            <w:vAlign w:val="center"/>
          </w:tcPr>
          <w:p>
            <w:pPr>
              <w:pStyle w:val="TableContents"/>
              <w:bidi w:val="0"/>
              <w:spacing w:before="0" w:after="283"/>
              <w:jc w:val="center"/>
              <w:rPr/>
            </w:pPr>
            <w:r>
              <w:rPr/>
              <w:t> </w:t>
            </w:r>
          </w:p>
        </w:tc>
        <w:tc>
          <w:tcPr>
            <w:tcW w:w="9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6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Interest expense, net</w:t>
            </w:r>
          </w:p>
        </w:tc>
        <w:tc>
          <w:tcPr>
            <w:tcW w:w="146" w:type="dxa"/>
            <w:tcBorders/>
            <w:shd w:fill="CFF0FC" w:val="clear"/>
            <w:vAlign w:val="center"/>
          </w:tcPr>
          <w:p>
            <w:pPr>
              <w:pStyle w:val="TableContents"/>
              <w:bidi w:val="0"/>
              <w:spacing w:before="0" w:after="283"/>
              <w:jc w:val="left"/>
              <w:rPr/>
            </w:pPr>
            <w:r>
              <w:rPr/>
              <w:t> </w:t>
            </w:r>
          </w:p>
        </w:tc>
        <w:tc>
          <w:tcPr>
            <w:tcW w:w="357"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637"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(73</w:t>
            </w:r>
          </w:p>
        </w:tc>
        <w:tc>
          <w:tcPr>
            <w:tcW w:w="28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247" w:type="dxa"/>
            <w:tcBorders/>
            <w:shd w:fill="CFF0FC" w:val="clear"/>
            <w:vAlign w:val="center"/>
          </w:tcPr>
          <w:p>
            <w:pPr>
              <w:pStyle w:val="TableContents"/>
              <w:bidi w:val="0"/>
              <w:spacing w:before="0" w:after="283"/>
              <w:jc w:val="left"/>
              <w:rPr/>
            </w:pPr>
            <w:r>
              <w:rPr/>
              <w:t> </w:t>
            </w:r>
          </w:p>
        </w:tc>
        <w:tc>
          <w:tcPr>
            <w:tcW w:w="357"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637"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(45</w:t>
            </w:r>
          </w:p>
        </w:tc>
        <w:tc>
          <w:tcPr>
            <w:tcW w:w="16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482"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(28</w:t>
            </w:r>
          </w:p>
        </w:tc>
        <w:tc>
          <w:tcPr>
            <w:tcW w:w="16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62</w:t>
            </w:r>
          </w:p>
        </w:tc>
        <w:tc>
          <w:tcPr>
            <w:tcW w:w="33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bl>
    <w:p>
      <w:pPr>
        <w:pStyle w:val="TextBody"/>
        <w:bidi w:val="0"/>
        <w:spacing w:before="240" w:after="283"/>
        <w:jc w:val="both"/>
        <w:rPr>
          <w:rFonts w:ascii="Arial" w:hAnsi="Arial"/>
          <w:b w:val="false"/>
          <w:color w:val="000000"/>
          <w:sz w:val="20"/>
        </w:rPr>
      </w:pPr>
      <w:r>
        <w:rPr>
          <w:rFonts w:ascii="Arial" w:hAnsi="Arial"/>
          <w:b w:val="false"/>
          <w:color w:val="000000"/>
          <w:sz w:val="20"/>
        </w:rPr>
        <w:t>Interest expense increased $28 thousand, or 62%, to $0.1 million for the three months ended September 30, 2023 as compared to $45 thousand for the three months ended September 30, 2022 primarily due to an increase in the amortization of deferred financing fees of $46 thousand and the settlement of the interest rate swap on July 10, 2023 caused there to be no unrealized gain for the three months ended September 30, 2023 as compared to an unrealized gain of $0.4 million for the three months ended September 30, 2022. These increases were partially offset by no interest on the revolving line of credit being incurred during the three months ended September 30, 2023 as compared to $0.3 million incurred during the three months ended September 30, 2022.</w:t>
      </w:r>
    </w:p>
    <w:p>
      <w:pPr>
        <w:pStyle w:val="TextBody"/>
        <w:bidi w:val="0"/>
        <w:jc w:val="center"/>
        <w:rPr/>
      </w:pPr>
      <w:r>
        <w:rPr/>
        <w:t> </w:t>
      </w:r>
    </w:p>
    <w:p>
      <w:pPr>
        <w:pStyle w:val="TextBody"/>
        <w:bidi w:val="0"/>
        <w:jc w:val="center"/>
        <w:rPr>
          <w:rFonts w:ascii="Arial" w:hAnsi="Arial"/>
          <w:b w:val="false"/>
          <w:color w:val="000000"/>
          <w:sz w:val="20"/>
        </w:rPr>
      </w:pPr>
      <w:r>
        <w:rPr>
          <w:rFonts w:ascii="Arial" w:hAnsi="Arial"/>
          <w:b w:val="false"/>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b w:val="false"/>
          <w:i/>
          <w:color w:val="000000"/>
          <w:sz w:val="20"/>
        </w:rPr>
      </w:pPr>
      <w:r>
        <w:rPr>
          <w:rFonts w:ascii="Arial" w:hAnsi="Arial"/>
          <w:b w:val="false"/>
          <w:i/>
          <w:color w:val="000000"/>
          <w:sz w:val="20"/>
        </w:rPr>
        <w:t>Gain on Sale of Property</w:t>
      </w:r>
    </w:p>
    <w:p>
      <w:pPr>
        <w:pStyle w:val="TextBody"/>
        <w:bidi w:val="0"/>
        <w:spacing w:before="240" w:after="283"/>
        <w:jc w:val="both"/>
        <w:rPr/>
      </w:pPr>
      <w:r>
        <w:rPr/>
        <w:t> </w:t>
      </w:r>
    </w:p>
    <w:tbl>
      <w:tblPr>
        <w:tblW w:w="7123" w:type="dxa"/>
        <w:jc w:val="left"/>
        <w:tblInd w:w="0" w:type="dxa"/>
        <w:tblLayout w:type="fixed"/>
        <w:tblCellMar>
          <w:top w:w="28" w:type="dxa"/>
          <w:left w:w="28" w:type="dxa"/>
          <w:bottom w:w="28" w:type="dxa"/>
          <w:right w:w="28" w:type="dxa"/>
        </w:tblCellMar>
      </w:tblPr>
      <w:tblGrid>
        <w:gridCol w:w="2206"/>
        <w:gridCol w:w="146"/>
        <w:gridCol w:w="359"/>
        <w:gridCol w:w="588"/>
        <w:gridCol w:w="248"/>
        <w:gridCol w:w="248"/>
        <w:gridCol w:w="359"/>
        <w:gridCol w:w="716"/>
        <w:gridCol w:w="146"/>
        <w:gridCol w:w="146"/>
        <w:gridCol w:w="228"/>
        <w:gridCol w:w="523"/>
        <w:gridCol w:w="166"/>
        <w:gridCol w:w="146"/>
        <w:gridCol w:w="146"/>
        <w:gridCol w:w="421"/>
        <w:gridCol w:w="331"/>
      </w:tblGrid>
      <w:tr>
        <w:trPr/>
        <w:tc>
          <w:tcPr>
            <w:tcW w:w="2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251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Quarters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3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Change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6" w:type="dxa"/>
            <w:tcBorders/>
            <w:shd w:fill="FFFFFF" w:val="clear"/>
            <w:vAlign w:val="center"/>
          </w:tcPr>
          <w:p>
            <w:pPr>
              <w:pStyle w:val="TableContents"/>
              <w:bidi w:val="0"/>
              <w:spacing w:before="0" w:after="283"/>
              <w:jc w:val="left"/>
              <w:rPr>
                <w:rFonts w:ascii="Arial" w:hAnsi="Arial"/>
                <w:b w:val="false"/>
                <w:i/>
                <w:color w:val="000000"/>
                <w:sz w:val="16"/>
              </w:rPr>
            </w:pPr>
            <w:r>
              <w:rPr>
                <w:rFonts w:ascii="Arial" w:hAnsi="Arial"/>
                <w:b w:val="false"/>
                <w:i/>
                <w:color w:val="000000"/>
                <w:sz w:val="16"/>
              </w:rPr>
              <w:t>(In thousands)</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8" w:type="dxa"/>
            <w:tcBorders/>
            <w:shd w:fill="FFFFFF" w:val="clear"/>
            <w:vAlign w:val="center"/>
          </w:tcPr>
          <w:p>
            <w:pPr>
              <w:pStyle w:val="TableContents"/>
              <w:bidi w:val="0"/>
              <w:spacing w:before="0" w:after="283"/>
              <w:jc w:val="center"/>
              <w:rPr/>
            </w:pPr>
            <w:r>
              <w:rPr/>
              <w:t> </w:t>
            </w:r>
          </w:p>
        </w:tc>
        <w:tc>
          <w:tcPr>
            <w:tcW w:w="10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Gain on sale of property</w:t>
            </w:r>
          </w:p>
        </w:tc>
        <w:tc>
          <w:tcPr>
            <w:tcW w:w="146" w:type="dxa"/>
            <w:tcBorders/>
            <w:shd w:fill="CFF0FC" w:val="clear"/>
            <w:vAlign w:val="center"/>
          </w:tcPr>
          <w:p>
            <w:pPr>
              <w:pStyle w:val="TableContents"/>
              <w:bidi w:val="0"/>
              <w:spacing w:before="0" w:after="283"/>
              <w:jc w:val="left"/>
              <w:rPr/>
            </w:pPr>
            <w:r>
              <w:rPr/>
              <w:t> </w:t>
            </w:r>
          </w:p>
        </w:tc>
        <w:tc>
          <w:tcPr>
            <w:tcW w:w="359"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588" w:type="dxa"/>
            <w:tcBorders/>
            <w:shd w:fill="CFF0FC" w:val="clear"/>
            <w:vAlign w:val="center"/>
          </w:tcPr>
          <w:p>
            <w:pPr>
              <w:pStyle w:val="TableContents"/>
              <w:bidi w:val="0"/>
              <w:spacing w:before="0" w:after="283"/>
              <w:jc w:val="right"/>
              <w:rPr>
                <w:color w:val="000000"/>
              </w:rPr>
            </w:pPr>
            <w:r>
              <w:rPr>
                <w:color w:val="000000"/>
              </w:rPr>
              <w:t>—</w:t>
            </w:r>
          </w:p>
        </w:tc>
        <w:tc>
          <w:tcPr>
            <w:tcW w:w="248"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359"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1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102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523"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(102</w:t>
            </w:r>
          </w:p>
        </w:tc>
        <w:tc>
          <w:tcPr>
            <w:tcW w:w="16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100</w:t>
            </w:r>
          </w:p>
        </w:tc>
        <w:tc>
          <w:tcPr>
            <w:tcW w:w="33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bl>
    <w:p>
      <w:pPr>
        <w:pStyle w:val="TextBody"/>
        <w:bidi w:val="0"/>
        <w:jc w:val="both"/>
        <w:rPr/>
      </w:pPr>
      <w:r>
        <w:rPr/>
        <w:t> </w:t>
      </w:r>
    </w:p>
    <w:p>
      <w:pPr>
        <w:pStyle w:val="TextBody"/>
        <w:bidi w:val="0"/>
        <w:jc w:val="both"/>
        <w:rPr>
          <w:rFonts w:ascii="Arial" w:hAnsi="Arial"/>
          <w:b w:val="false"/>
          <w:color w:val="000000"/>
          <w:sz w:val="20"/>
        </w:rPr>
      </w:pPr>
      <w:r>
        <w:rPr>
          <w:rFonts w:ascii="Arial" w:hAnsi="Arial"/>
          <w:b w:val="false"/>
          <w:color w:val="000000"/>
          <w:sz w:val="20"/>
        </w:rPr>
        <w:t>Gain on the sale of property decreased $0.1 million, or 100%, to nil for the three months ended September 30, 2023 as compared to $0.1 million for the three months ended September 30, 2022. The decrease is due to there being no sales of property during the three months ended September 30, 2023.</w:t>
      </w:r>
    </w:p>
    <w:p>
      <w:pPr>
        <w:pStyle w:val="TextBody"/>
        <w:bidi w:val="0"/>
        <w:spacing w:before="240" w:after="283"/>
        <w:jc w:val="both"/>
        <w:rPr>
          <w:rFonts w:ascii="Arial" w:hAnsi="Arial"/>
          <w:b w:val="false"/>
          <w:i/>
          <w:color w:val="000000"/>
          <w:sz w:val="20"/>
        </w:rPr>
      </w:pPr>
      <w:r>
        <w:rPr>
          <w:rFonts w:ascii="Arial" w:hAnsi="Arial"/>
          <w:b w:val="false"/>
          <w:i/>
          <w:color w:val="000000"/>
          <w:sz w:val="20"/>
        </w:rPr>
        <w:t>Unrealized Loss on Equity Securities</w:t>
      </w:r>
    </w:p>
    <w:p>
      <w:pPr>
        <w:pStyle w:val="TextBody"/>
        <w:bidi w:val="0"/>
        <w:jc w:val="left"/>
        <w:rPr/>
      </w:pPr>
      <w:r>
        <w:rPr/>
        <w:t> </w:t>
      </w:r>
    </w:p>
    <w:tbl>
      <w:tblPr>
        <w:tblW w:w="8042" w:type="dxa"/>
        <w:jc w:val="left"/>
        <w:tblInd w:w="0" w:type="dxa"/>
        <w:tblLayout w:type="fixed"/>
        <w:tblCellMar>
          <w:top w:w="28" w:type="dxa"/>
          <w:left w:w="28" w:type="dxa"/>
          <w:bottom w:w="28" w:type="dxa"/>
          <w:right w:w="28" w:type="dxa"/>
        </w:tblCellMar>
      </w:tblPr>
      <w:tblGrid>
        <w:gridCol w:w="3211"/>
        <w:gridCol w:w="146"/>
        <w:gridCol w:w="313"/>
        <w:gridCol w:w="714"/>
        <w:gridCol w:w="246"/>
        <w:gridCol w:w="217"/>
        <w:gridCol w:w="313"/>
        <w:gridCol w:w="714"/>
        <w:gridCol w:w="166"/>
        <w:gridCol w:w="146"/>
        <w:gridCol w:w="228"/>
        <w:gridCol w:w="523"/>
        <w:gridCol w:w="166"/>
        <w:gridCol w:w="146"/>
        <w:gridCol w:w="146"/>
        <w:gridCol w:w="316"/>
        <w:gridCol w:w="331"/>
      </w:tblGrid>
      <w:tr>
        <w:trPr/>
        <w:tc>
          <w:tcPr>
            <w:tcW w:w="3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2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251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Quarters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Change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1" w:type="dxa"/>
            <w:tcBorders/>
            <w:shd w:fill="FFFFFF" w:val="clear"/>
            <w:vAlign w:val="center"/>
          </w:tcPr>
          <w:p>
            <w:pPr>
              <w:pStyle w:val="TableContents"/>
              <w:bidi w:val="0"/>
              <w:spacing w:before="0" w:after="283"/>
              <w:jc w:val="left"/>
              <w:rPr>
                <w:rFonts w:ascii="Arial" w:hAnsi="Arial"/>
                <w:b w:val="false"/>
                <w:i/>
                <w:color w:val="000000"/>
                <w:sz w:val="16"/>
              </w:rPr>
            </w:pPr>
            <w:r>
              <w:rPr>
                <w:rFonts w:ascii="Arial" w:hAnsi="Arial"/>
                <w:b w:val="false"/>
                <w:i/>
                <w:color w:val="000000"/>
                <w:sz w:val="16"/>
              </w:rPr>
              <w:t>(In thousands)</w:t>
            </w:r>
          </w:p>
        </w:tc>
        <w:tc>
          <w:tcPr>
            <w:tcW w:w="146" w:type="dxa"/>
            <w:tcBorders/>
            <w:shd w:fill="FFFFFF" w:val="clear"/>
            <w:vAlign w:val="center"/>
          </w:tcPr>
          <w:p>
            <w:pPr>
              <w:pStyle w:val="TableContents"/>
              <w:bidi w:val="0"/>
              <w:spacing w:before="0" w:after="283"/>
              <w:jc w:val="center"/>
              <w:rPr/>
            </w:pPr>
            <w:r>
              <w:rPr/>
              <w:t> </w:t>
            </w:r>
          </w:p>
        </w:tc>
        <w:tc>
          <w:tcPr>
            <w:tcW w:w="10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7" w:type="dxa"/>
            <w:tcBorders/>
            <w:shd w:fill="FFFFFF" w:val="clear"/>
            <w:vAlign w:val="center"/>
          </w:tcPr>
          <w:p>
            <w:pPr>
              <w:pStyle w:val="TableContents"/>
              <w:bidi w:val="0"/>
              <w:spacing w:before="0" w:after="283"/>
              <w:jc w:val="center"/>
              <w:rPr/>
            </w:pPr>
            <w:r>
              <w:rPr/>
              <w:t> </w:t>
            </w:r>
          </w:p>
        </w:tc>
        <w:tc>
          <w:tcPr>
            <w:tcW w:w="10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Unrealized loss on equity securities</w:t>
            </w:r>
          </w:p>
        </w:tc>
        <w:tc>
          <w:tcPr>
            <w:tcW w:w="146" w:type="dxa"/>
            <w:tcBorders/>
            <w:shd w:fill="CFF0FC" w:val="clear"/>
            <w:vAlign w:val="center"/>
          </w:tcPr>
          <w:p>
            <w:pPr>
              <w:pStyle w:val="TableContents"/>
              <w:bidi w:val="0"/>
              <w:spacing w:before="0" w:after="283"/>
              <w:jc w:val="left"/>
              <w:rPr/>
            </w:pPr>
            <w:r>
              <w:rPr/>
              <w:t> </w:t>
            </w:r>
          </w:p>
        </w:tc>
        <w:tc>
          <w:tcPr>
            <w:tcW w:w="313"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14"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(535</w:t>
            </w:r>
          </w:p>
        </w:tc>
        <w:tc>
          <w:tcPr>
            <w:tcW w:w="24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217" w:type="dxa"/>
            <w:tcBorders/>
            <w:shd w:fill="CFF0FC" w:val="clear"/>
            <w:vAlign w:val="center"/>
          </w:tcPr>
          <w:p>
            <w:pPr>
              <w:pStyle w:val="TableContents"/>
              <w:bidi w:val="0"/>
              <w:spacing w:before="0" w:after="283"/>
              <w:jc w:val="left"/>
              <w:rPr/>
            </w:pPr>
            <w:r>
              <w:rPr/>
              <w:t> </w:t>
            </w:r>
          </w:p>
        </w:tc>
        <w:tc>
          <w:tcPr>
            <w:tcW w:w="313"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14"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(398</w:t>
            </w:r>
          </w:p>
        </w:tc>
        <w:tc>
          <w:tcPr>
            <w:tcW w:w="16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523"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(137</w:t>
            </w:r>
          </w:p>
        </w:tc>
        <w:tc>
          <w:tcPr>
            <w:tcW w:w="16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34</w:t>
            </w:r>
          </w:p>
        </w:tc>
        <w:tc>
          <w:tcPr>
            <w:tcW w:w="33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bl>
    <w:p>
      <w:pPr>
        <w:pStyle w:val="TextBody"/>
        <w:bidi w:val="0"/>
        <w:jc w:val="left"/>
        <w:rPr/>
      </w:pPr>
      <w:r>
        <w:rPr/>
        <w:t> </w:t>
      </w:r>
    </w:p>
    <w:p>
      <w:pPr>
        <w:pStyle w:val="TextBody"/>
        <w:bidi w:val="0"/>
        <w:jc w:val="both"/>
        <w:rPr>
          <w:rFonts w:ascii="Arial" w:hAnsi="Arial"/>
          <w:b w:val="false"/>
          <w:color w:val="000000"/>
          <w:sz w:val="20"/>
        </w:rPr>
      </w:pPr>
      <w:r>
        <w:rPr>
          <w:rFonts w:ascii="Arial" w:hAnsi="Arial"/>
          <w:b w:val="false"/>
          <w:color w:val="000000"/>
          <w:sz w:val="20"/>
        </w:rPr>
        <w:t>Unrealized loss on equity securities increased by $0.1 million, or 34%, to $0.5 million for the three months ended September 30, 2023 as compared to $0.4 million for the three months ended September 30, 2022 primarily due to unfavorable market valuations in the third quarter of 2023 as compared to the third quarter of 2022.</w:t>
      </w:r>
    </w:p>
    <w:p>
      <w:pPr>
        <w:pStyle w:val="TextBody"/>
        <w:bidi w:val="0"/>
        <w:spacing w:before="240" w:after="283"/>
        <w:jc w:val="both"/>
        <w:rPr>
          <w:rFonts w:ascii="Arial" w:hAnsi="Arial"/>
          <w:b w:val="false"/>
          <w:i/>
          <w:color w:val="000000"/>
          <w:sz w:val="20"/>
        </w:rPr>
      </w:pPr>
      <w:r>
        <w:rPr>
          <w:rFonts w:ascii="Arial" w:hAnsi="Arial"/>
          <w:b w:val="false"/>
          <w:i/>
          <w:color w:val="000000"/>
          <w:sz w:val="20"/>
        </w:rPr>
        <w:t>Other Expense, net</w:t>
      </w:r>
    </w:p>
    <w:p>
      <w:pPr>
        <w:pStyle w:val="TextBody"/>
        <w:bidi w:val="0"/>
        <w:jc w:val="left"/>
        <w:rPr/>
      </w:pPr>
      <w:r>
        <w:rPr/>
        <w:t> </w:t>
      </w:r>
    </w:p>
    <w:tbl>
      <w:tblPr>
        <w:tblW w:w="6617" w:type="dxa"/>
        <w:jc w:val="left"/>
        <w:tblInd w:w="0" w:type="dxa"/>
        <w:tblLayout w:type="fixed"/>
        <w:tblCellMar>
          <w:top w:w="28" w:type="dxa"/>
          <w:left w:w="28" w:type="dxa"/>
          <w:bottom w:w="28" w:type="dxa"/>
          <w:right w:w="28" w:type="dxa"/>
        </w:tblCellMar>
      </w:tblPr>
      <w:tblGrid>
        <w:gridCol w:w="1786"/>
        <w:gridCol w:w="146"/>
        <w:gridCol w:w="313"/>
        <w:gridCol w:w="714"/>
        <w:gridCol w:w="246"/>
        <w:gridCol w:w="217"/>
        <w:gridCol w:w="313"/>
        <w:gridCol w:w="714"/>
        <w:gridCol w:w="166"/>
        <w:gridCol w:w="146"/>
        <w:gridCol w:w="269"/>
        <w:gridCol w:w="482"/>
        <w:gridCol w:w="166"/>
        <w:gridCol w:w="146"/>
        <w:gridCol w:w="146"/>
        <w:gridCol w:w="316"/>
        <w:gridCol w:w="331"/>
      </w:tblGrid>
      <w:tr>
        <w:trPr/>
        <w:tc>
          <w:tcPr>
            <w:tcW w:w="1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78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251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Quarters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Change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86" w:type="dxa"/>
            <w:tcBorders/>
            <w:shd w:fill="FFFFFF" w:val="clear"/>
            <w:vAlign w:val="center"/>
          </w:tcPr>
          <w:p>
            <w:pPr>
              <w:pStyle w:val="TableContents"/>
              <w:bidi w:val="0"/>
              <w:spacing w:before="0" w:after="283"/>
              <w:jc w:val="left"/>
              <w:rPr>
                <w:rFonts w:ascii="Arial" w:hAnsi="Arial"/>
                <w:b w:val="false"/>
                <w:i/>
                <w:color w:val="000000"/>
                <w:sz w:val="16"/>
              </w:rPr>
            </w:pPr>
            <w:r>
              <w:rPr>
                <w:rFonts w:ascii="Arial" w:hAnsi="Arial"/>
                <w:b w:val="false"/>
                <w:i/>
                <w:color w:val="000000"/>
                <w:sz w:val="16"/>
              </w:rPr>
              <w:t>(In thousands)</w:t>
            </w:r>
          </w:p>
        </w:tc>
        <w:tc>
          <w:tcPr>
            <w:tcW w:w="146" w:type="dxa"/>
            <w:tcBorders/>
            <w:shd w:fill="FFFFFF" w:val="clear"/>
            <w:vAlign w:val="center"/>
          </w:tcPr>
          <w:p>
            <w:pPr>
              <w:pStyle w:val="TableContents"/>
              <w:bidi w:val="0"/>
              <w:spacing w:before="0" w:after="283"/>
              <w:jc w:val="center"/>
              <w:rPr/>
            </w:pPr>
            <w:r>
              <w:rPr/>
              <w:t> </w:t>
            </w:r>
          </w:p>
        </w:tc>
        <w:tc>
          <w:tcPr>
            <w:tcW w:w="10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7" w:type="dxa"/>
            <w:tcBorders/>
            <w:shd w:fill="FFFFFF" w:val="clear"/>
            <w:vAlign w:val="center"/>
          </w:tcPr>
          <w:p>
            <w:pPr>
              <w:pStyle w:val="TableContents"/>
              <w:bidi w:val="0"/>
              <w:spacing w:before="0" w:after="283"/>
              <w:jc w:val="center"/>
              <w:rPr/>
            </w:pPr>
            <w:r>
              <w:rPr/>
              <w:t> </w:t>
            </w:r>
          </w:p>
        </w:tc>
        <w:tc>
          <w:tcPr>
            <w:tcW w:w="10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8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Other expense, net</w:t>
            </w:r>
          </w:p>
        </w:tc>
        <w:tc>
          <w:tcPr>
            <w:tcW w:w="146" w:type="dxa"/>
            <w:tcBorders/>
            <w:shd w:fill="CFF0FC" w:val="clear"/>
            <w:vAlign w:val="center"/>
          </w:tcPr>
          <w:p>
            <w:pPr>
              <w:pStyle w:val="TableContents"/>
              <w:bidi w:val="0"/>
              <w:spacing w:before="0" w:after="283"/>
              <w:jc w:val="left"/>
              <w:rPr/>
            </w:pPr>
            <w:r>
              <w:rPr/>
              <w:t> </w:t>
            </w:r>
          </w:p>
        </w:tc>
        <w:tc>
          <w:tcPr>
            <w:tcW w:w="313"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14"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(135</w:t>
            </w:r>
          </w:p>
        </w:tc>
        <w:tc>
          <w:tcPr>
            <w:tcW w:w="24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217" w:type="dxa"/>
            <w:tcBorders/>
            <w:shd w:fill="CFF0FC" w:val="clear"/>
            <w:vAlign w:val="center"/>
          </w:tcPr>
          <w:p>
            <w:pPr>
              <w:pStyle w:val="TableContents"/>
              <w:bidi w:val="0"/>
              <w:spacing w:before="0" w:after="283"/>
              <w:jc w:val="left"/>
              <w:rPr/>
            </w:pPr>
            <w:r>
              <w:rPr/>
              <w:t> </w:t>
            </w:r>
          </w:p>
        </w:tc>
        <w:tc>
          <w:tcPr>
            <w:tcW w:w="313"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14"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(114</w:t>
            </w:r>
          </w:p>
        </w:tc>
        <w:tc>
          <w:tcPr>
            <w:tcW w:w="16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482"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(21</w:t>
            </w:r>
          </w:p>
        </w:tc>
        <w:tc>
          <w:tcPr>
            <w:tcW w:w="16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18</w:t>
            </w:r>
          </w:p>
        </w:tc>
        <w:tc>
          <w:tcPr>
            <w:tcW w:w="33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bl>
    <w:p>
      <w:pPr>
        <w:pStyle w:val="TextBody"/>
        <w:bidi w:val="0"/>
        <w:spacing w:before="240" w:after="283"/>
        <w:jc w:val="both"/>
        <w:rPr>
          <w:rFonts w:ascii="Times New Roman" w:hAnsi="Times New Roman"/>
          <w:sz w:val="20"/>
        </w:rPr>
      </w:pPr>
      <w:r>
        <w:rPr>
          <w:rFonts w:ascii="Arial" w:hAnsi="Arial"/>
          <w:b w:val="false"/>
          <w:color w:val="000000"/>
          <w:sz w:val="20"/>
        </w:rPr>
        <w:t>Other expense for the three months ended September 30, 2023 was $0.1 million, an increase of $21 thousand, or 18%, compared to the three months ended September 30, 2022. The increase was primarily due to transaction costs with no comparable activity in the third quarter of 2022.</w:t>
      </w:r>
      <w:r>
        <w:rPr>
          <w:rFonts w:ascii="Times New Roman" w:hAnsi="Times New Roman"/>
          <w:color w:val="000000"/>
          <w:sz w:val="20"/>
        </w:rPr>
        <w:t xml:space="preserve"> </w:t>
      </w:r>
    </w:p>
    <w:p>
      <w:pPr>
        <w:pStyle w:val="TextBody"/>
        <w:bidi w:val="0"/>
        <w:jc w:val="both"/>
        <w:rPr/>
      </w:pPr>
      <w:r>
        <w:rPr/>
        <w:t> </w:t>
      </w:r>
    </w:p>
    <w:p>
      <w:pPr>
        <w:pStyle w:val="TextBody"/>
        <w:bidi w:val="0"/>
        <w:jc w:val="both"/>
        <w:rPr/>
      </w:pPr>
      <w:r>
        <w:rPr/>
        <w:t> </w:t>
      </w:r>
    </w:p>
    <w:p>
      <w:pPr>
        <w:pStyle w:val="TextBody"/>
        <w:bidi w:val="0"/>
        <w:jc w:val="both"/>
        <w:rPr>
          <w:rFonts w:ascii="Arial" w:hAnsi="Arial"/>
          <w:b/>
          <w:i/>
          <w:color w:val="000000"/>
          <w:sz w:val="20"/>
        </w:rPr>
      </w:pPr>
      <w:r>
        <w:rPr>
          <w:rFonts w:ascii="Arial" w:hAnsi="Arial"/>
          <w:b/>
          <w:i/>
          <w:color w:val="000000"/>
          <w:sz w:val="20"/>
        </w:rPr>
        <w:t>Comparison of the Nine Months Ended September 30, 2023 and 2022</w:t>
      </w:r>
    </w:p>
    <w:p>
      <w:pPr>
        <w:pStyle w:val="TextBody"/>
        <w:bidi w:val="0"/>
        <w:spacing w:before="240" w:after="283"/>
        <w:jc w:val="both"/>
        <w:rPr>
          <w:rFonts w:ascii="Arial" w:hAnsi="Arial"/>
          <w:b/>
          <w:i/>
          <w:color w:val="000000"/>
          <w:sz w:val="20"/>
        </w:rPr>
      </w:pPr>
      <w:r>
        <w:rPr>
          <w:rFonts w:ascii="Arial" w:hAnsi="Arial"/>
          <w:b/>
          <w:i/>
          <w:color w:val="000000"/>
          <w:sz w:val="20"/>
        </w:rPr>
        <w:t>Revenue, net</w:t>
      </w:r>
    </w:p>
    <w:p>
      <w:pPr>
        <w:pStyle w:val="TextBody"/>
        <w:bidi w:val="0"/>
        <w:spacing w:before="240" w:after="283"/>
        <w:jc w:val="both"/>
        <w:rPr>
          <w:rFonts w:ascii="Arial" w:hAnsi="Arial"/>
          <w:b w:val="false"/>
          <w:color w:val="000000"/>
          <w:sz w:val="20"/>
        </w:rPr>
      </w:pPr>
      <w:r>
        <w:rPr>
          <w:rFonts w:ascii="Arial" w:hAnsi="Arial"/>
          <w:b w:val="false"/>
          <w:color w:val="000000"/>
          <w:sz w:val="20"/>
        </w:rPr>
        <w:t>Our revenue, net consists of tool rental and product sale revenues.</w:t>
      </w:r>
    </w:p>
    <w:p>
      <w:pPr>
        <w:pStyle w:val="TextBody"/>
        <w:bidi w:val="0"/>
        <w:jc w:val="left"/>
        <w:rPr/>
      </w:pPr>
      <w:r>
        <w:rPr/>
        <w:t> </w:t>
      </w:r>
    </w:p>
    <w:tbl>
      <w:tblPr>
        <w:tblW w:w="6473" w:type="dxa"/>
        <w:jc w:val="left"/>
        <w:tblInd w:w="0" w:type="dxa"/>
        <w:tblLayout w:type="fixed"/>
        <w:tblCellMar>
          <w:top w:w="28" w:type="dxa"/>
          <w:left w:w="28" w:type="dxa"/>
          <w:bottom w:w="28" w:type="dxa"/>
          <w:right w:w="28" w:type="dxa"/>
        </w:tblCellMar>
      </w:tblPr>
      <w:tblGrid>
        <w:gridCol w:w="1216"/>
        <w:gridCol w:w="146"/>
        <w:gridCol w:w="285"/>
        <w:gridCol w:w="934"/>
        <w:gridCol w:w="197"/>
        <w:gridCol w:w="197"/>
        <w:gridCol w:w="285"/>
        <w:gridCol w:w="934"/>
        <w:gridCol w:w="146"/>
        <w:gridCol w:w="146"/>
        <w:gridCol w:w="211"/>
        <w:gridCol w:w="691"/>
        <w:gridCol w:w="146"/>
        <w:gridCol w:w="146"/>
        <w:gridCol w:w="146"/>
        <w:gridCol w:w="316"/>
        <w:gridCol w:w="331"/>
      </w:tblGrid>
      <w:tr>
        <w:trPr/>
        <w:tc>
          <w:tcPr>
            <w:tcW w:w="1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21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28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Change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16" w:type="dxa"/>
            <w:tcBorders/>
            <w:shd w:fill="FFFFFF" w:val="clear"/>
            <w:vAlign w:val="center"/>
          </w:tcPr>
          <w:p>
            <w:pPr>
              <w:pStyle w:val="TableContents"/>
              <w:bidi w:val="0"/>
              <w:spacing w:before="0" w:after="283"/>
              <w:jc w:val="left"/>
              <w:rPr>
                <w:rFonts w:ascii="Arial" w:hAnsi="Arial"/>
                <w:b w:val="false"/>
                <w:i/>
                <w:color w:val="000000"/>
                <w:sz w:val="16"/>
              </w:rPr>
            </w:pPr>
            <w:r>
              <w:rPr>
                <w:rFonts w:ascii="Arial" w:hAnsi="Arial"/>
                <w:b w:val="false"/>
                <w:i/>
                <w:color w:val="000000"/>
                <w:sz w:val="16"/>
              </w:rPr>
              <w:t>(In thousands)</w:t>
            </w:r>
          </w:p>
        </w:tc>
        <w:tc>
          <w:tcPr>
            <w:tcW w:w="146" w:type="dxa"/>
            <w:tcBorders/>
            <w:shd w:fill="FFFFFF" w:val="clear"/>
            <w:vAlign w:val="center"/>
          </w:tcPr>
          <w:p>
            <w:pPr>
              <w:pStyle w:val="TableContents"/>
              <w:bidi w:val="0"/>
              <w:spacing w:before="0" w:after="283"/>
              <w:jc w:val="center"/>
              <w:rPr/>
            </w:pPr>
            <w:r>
              <w:rPr/>
              <w:t> </w:t>
            </w:r>
          </w:p>
        </w:tc>
        <w:tc>
          <w:tcPr>
            <w:tcW w:w="12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7" w:type="dxa"/>
            <w:tcBorders/>
            <w:shd w:fill="FFFFFF" w:val="clear"/>
            <w:vAlign w:val="center"/>
          </w:tcPr>
          <w:p>
            <w:pPr>
              <w:pStyle w:val="TableContents"/>
              <w:bidi w:val="0"/>
              <w:spacing w:before="0" w:after="283"/>
              <w:jc w:val="center"/>
              <w:rPr/>
            </w:pPr>
            <w:r>
              <w:rPr/>
              <w:t> </w:t>
            </w:r>
          </w:p>
        </w:tc>
        <w:tc>
          <w:tcPr>
            <w:tcW w:w="12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1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Tool rental</w:t>
            </w:r>
          </w:p>
        </w:tc>
        <w:tc>
          <w:tcPr>
            <w:tcW w:w="146" w:type="dxa"/>
            <w:tcBorders/>
            <w:shd w:fill="CFF0FC" w:val="clear"/>
            <w:vAlign w:val="center"/>
          </w:tcPr>
          <w:p>
            <w:pPr>
              <w:pStyle w:val="TableContents"/>
              <w:bidi w:val="0"/>
              <w:spacing w:before="0" w:after="283"/>
              <w:jc w:val="left"/>
              <w:rPr/>
            </w:pPr>
            <w:r>
              <w:rPr/>
              <w:t> </w:t>
            </w:r>
          </w:p>
        </w:tc>
        <w:tc>
          <w:tcPr>
            <w:tcW w:w="285"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34"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90,639</w:t>
            </w:r>
          </w:p>
        </w:tc>
        <w:tc>
          <w:tcPr>
            <w:tcW w:w="197" w:type="dxa"/>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pPr>
            <w:r>
              <w:rPr/>
              <w:t> </w:t>
            </w:r>
          </w:p>
        </w:tc>
        <w:tc>
          <w:tcPr>
            <w:tcW w:w="285"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34"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70,277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69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20,362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29</w:t>
            </w:r>
          </w:p>
        </w:tc>
        <w:tc>
          <w:tcPr>
            <w:tcW w:w="33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121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Product sale</w:t>
            </w:r>
          </w:p>
        </w:tc>
        <w:tc>
          <w:tcPr>
            <w:tcW w:w="146"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34"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26,206</w:t>
            </w:r>
          </w:p>
        </w:tc>
        <w:tc>
          <w:tcPr>
            <w:tcW w:w="197"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34"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22,619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691"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3,587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16</w:t>
            </w:r>
          </w:p>
        </w:tc>
        <w:tc>
          <w:tcPr>
            <w:tcW w:w="33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bl>
    <w:p>
      <w:pPr>
        <w:pStyle w:val="TextBody"/>
        <w:bidi w:val="0"/>
        <w:jc w:val="both"/>
        <w:rPr/>
      </w:pPr>
      <w:r>
        <w:rPr/>
        <w:t> </w:t>
      </w:r>
    </w:p>
    <w:p>
      <w:pPr>
        <w:pStyle w:val="TextBody"/>
        <w:bidi w:val="0"/>
        <w:jc w:val="both"/>
        <w:rPr>
          <w:rFonts w:ascii="Times New Roman" w:hAnsi="Times New Roman"/>
          <w:sz w:val="20"/>
        </w:rPr>
      </w:pPr>
      <w:r>
        <w:rPr>
          <w:rFonts w:ascii="Arial" w:hAnsi="Arial"/>
          <w:b w:val="false"/>
          <w:color w:val="000000"/>
          <w:sz w:val="20"/>
        </w:rPr>
        <w:t>Tool rental revenue increased $20.4 million, or 29%, to $90.6 million for the nine months ended September 30, 2023 as compared to $70.3 million for the nine months ended September 30, 2022. The increase was primarily driven by increased market activity and customer pricing across all divisions, especially in relation to our WOT division, the revenue of which increased $15.0 million and our Premium Tools ("PTD") division, the revenue of which increased $6.5 million.</w:t>
      </w:r>
      <w:r>
        <w:rPr>
          <w:rFonts w:ascii="Times New Roman" w:hAnsi="Times New Roman"/>
          <w:color w:val="000000"/>
          <w:sz w:val="20"/>
        </w:rPr>
        <w:t xml:space="preserve"> </w:t>
      </w:r>
    </w:p>
    <w:p>
      <w:pPr>
        <w:pStyle w:val="TextBody"/>
        <w:bidi w:val="0"/>
        <w:spacing w:before="240" w:after="283"/>
        <w:jc w:val="both"/>
        <w:rPr>
          <w:rFonts w:ascii="Arial" w:hAnsi="Arial"/>
          <w:b w:val="false"/>
          <w:color w:val="000000"/>
          <w:sz w:val="20"/>
        </w:rPr>
      </w:pPr>
      <w:r>
        <w:rPr>
          <w:rFonts w:ascii="Arial" w:hAnsi="Arial"/>
          <w:b w:val="false"/>
          <w:color w:val="000000"/>
          <w:sz w:val="20"/>
        </w:rPr>
        <w:t>Product sale revenue increased $3.6 million, or 16%, to $26.2 million for the nine months ended September 30, 2023 as compared to $22.6 million for the nine months ended September 30, 2022. The increase was primarily driven by increased market activity and customer pricing across all divisions, which collectively increased other products and services by $2.0 million. The increased market activity and customer pricing also impacted our rental tool recovery sales revenue, which collectively increased $1.3 million.</w:t>
      </w:r>
    </w:p>
    <w:p>
      <w:pPr>
        <w:pStyle w:val="TextBody"/>
        <w:bidi w:val="0"/>
        <w:jc w:val="center"/>
        <w:rPr/>
      </w:pPr>
      <w:r>
        <w:rPr/>
        <w:t> </w:t>
      </w:r>
    </w:p>
    <w:p>
      <w:pPr>
        <w:pStyle w:val="TextBody"/>
        <w:bidi w:val="0"/>
        <w:jc w:val="center"/>
        <w:rPr>
          <w:rFonts w:ascii="Arial" w:hAnsi="Arial"/>
          <w:b w:val="false"/>
          <w:color w:val="000000"/>
          <w:sz w:val="20"/>
        </w:rPr>
      </w:pPr>
      <w:r>
        <w:rPr>
          <w:rFonts w:ascii="Arial" w:hAnsi="Arial"/>
          <w:b w:val="false"/>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b/>
          <w:i/>
          <w:color w:val="000000"/>
          <w:sz w:val="20"/>
        </w:rPr>
      </w:pPr>
      <w:r>
        <w:rPr>
          <w:rFonts w:ascii="Arial" w:hAnsi="Arial"/>
          <w:b/>
          <w:i/>
          <w:color w:val="000000"/>
          <w:sz w:val="20"/>
        </w:rPr>
        <w:t>Costs and Expenses</w:t>
      </w:r>
    </w:p>
    <w:p>
      <w:pPr>
        <w:pStyle w:val="TextBody"/>
        <w:bidi w:val="0"/>
        <w:spacing w:before="240" w:after="283"/>
        <w:jc w:val="both"/>
        <w:rPr>
          <w:rFonts w:ascii="Arial" w:hAnsi="Arial"/>
          <w:b w:val="false"/>
          <w:i/>
          <w:color w:val="000000"/>
          <w:sz w:val="20"/>
        </w:rPr>
      </w:pPr>
      <w:r>
        <w:rPr>
          <w:rFonts w:ascii="Arial" w:hAnsi="Arial"/>
          <w:b w:val="false"/>
          <w:i/>
          <w:color w:val="000000"/>
          <w:sz w:val="20"/>
        </w:rPr>
        <w:t>Cost of revenue</w:t>
      </w:r>
    </w:p>
    <w:p>
      <w:pPr>
        <w:pStyle w:val="TextBody"/>
        <w:bidi w:val="0"/>
        <w:spacing w:before="240" w:after="283"/>
        <w:jc w:val="both"/>
        <w:rPr>
          <w:rFonts w:ascii="Arial" w:hAnsi="Arial"/>
          <w:b w:val="false"/>
          <w:color w:val="000000"/>
          <w:sz w:val="20"/>
        </w:rPr>
      </w:pPr>
      <w:r>
        <w:rPr>
          <w:rFonts w:ascii="Arial" w:hAnsi="Arial"/>
          <w:b w:val="false"/>
          <w:color w:val="000000"/>
          <w:sz w:val="20"/>
        </w:rPr>
        <w:t>Our cost of revenue consists of cost of tool rental revenue and cost of product sale revenue.</w:t>
      </w:r>
    </w:p>
    <w:p>
      <w:pPr>
        <w:pStyle w:val="TextBody"/>
        <w:bidi w:val="0"/>
        <w:jc w:val="left"/>
        <w:rPr/>
      </w:pPr>
      <w:r>
        <w:rPr/>
        <w:t> </w:t>
      </w:r>
    </w:p>
    <w:tbl>
      <w:tblPr>
        <w:tblW w:w="7858" w:type="dxa"/>
        <w:jc w:val="left"/>
        <w:tblInd w:w="0" w:type="dxa"/>
        <w:tblLayout w:type="fixed"/>
        <w:tblCellMar>
          <w:top w:w="28" w:type="dxa"/>
          <w:left w:w="28" w:type="dxa"/>
          <w:bottom w:w="28" w:type="dxa"/>
          <w:right w:w="28" w:type="dxa"/>
        </w:tblCellMar>
      </w:tblPr>
      <w:tblGrid>
        <w:gridCol w:w="2626"/>
        <w:gridCol w:w="146"/>
        <w:gridCol w:w="285"/>
        <w:gridCol w:w="934"/>
        <w:gridCol w:w="197"/>
        <w:gridCol w:w="197"/>
        <w:gridCol w:w="285"/>
        <w:gridCol w:w="934"/>
        <w:gridCol w:w="146"/>
        <w:gridCol w:w="146"/>
        <w:gridCol w:w="211"/>
        <w:gridCol w:w="586"/>
        <w:gridCol w:w="166"/>
        <w:gridCol w:w="146"/>
        <w:gridCol w:w="146"/>
        <w:gridCol w:w="316"/>
        <w:gridCol w:w="391"/>
      </w:tblGrid>
      <w:tr>
        <w:trPr/>
        <w:tc>
          <w:tcPr>
            <w:tcW w:w="2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2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28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Change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26" w:type="dxa"/>
            <w:tcBorders/>
            <w:shd w:fill="FFFFFF" w:val="clear"/>
            <w:vAlign w:val="center"/>
          </w:tcPr>
          <w:p>
            <w:pPr>
              <w:pStyle w:val="TableContents"/>
              <w:bidi w:val="0"/>
              <w:spacing w:before="0" w:after="283"/>
              <w:jc w:val="left"/>
              <w:rPr>
                <w:rFonts w:ascii="Arial" w:hAnsi="Arial"/>
                <w:b w:val="false"/>
                <w:i/>
                <w:color w:val="000000"/>
                <w:sz w:val="16"/>
              </w:rPr>
            </w:pPr>
            <w:r>
              <w:rPr>
                <w:rFonts w:ascii="Arial" w:hAnsi="Arial"/>
                <w:b w:val="false"/>
                <w:i/>
                <w:color w:val="000000"/>
                <w:sz w:val="16"/>
              </w:rPr>
              <w:t>(In thousands)</w:t>
            </w:r>
          </w:p>
        </w:tc>
        <w:tc>
          <w:tcPr>
            <w:tcW w:w="146" w:type="dxa"/>
            <w:tcBorders/>
            <w:shd w:fill="FFFFFF" w:val="clear"/>
            <w:vAlign w:val="center"/>
          </w:tcPr>
          <w:p>
            <w:pPr>
              <w:pStyle w:val="TableContents"/>
              <w:bidi w:val="0"/>
              <w:spacing w:before="0" w:after="283"/>
              <w:jc w:val="center"/>
              <w:rPr/>
            </w:pPr>
            <w:r>
              <w:rPr/>
              <w:t> </w:t>
            </w:r>
          </w:p>
        </w:tc>
        <w:tc>
          <w:tcPr>
            <w:tcW w:w="12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7" w:type="dxa"/>
            <w:tcBorders/>
            <w:shd w:fill="FFFFFF" w:val="clear"/>
            <w:vAlign w:val="center"/>
          </w:tcPr>
          <w:p>
            <w:pPr>
              <w:pStyle w:val="TableContents"/>
              <w:bidi w:val="0"/>
              <w:spacing w:before="0" w:after="283"/>
              <w:jc w:val="center"/>
              <w:rPr/>
            </w:pPr>
            <w:r>
              <w:rPr/>
              <w:t> </w:t>
            </w:r>
          </w:p>
        </w:tc>
        <w:tc>
          <w:tcPr>
            <w:tcW w:w="12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2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Cost of tool rental revenue</w:t>
            </w:r>
          </w:p>
        </w:tc>
        <w:tc>
          <w:tcPr>
            <w:tcW w:w="146" w:type="dxa"/>
            <w:tcBorders/>
            <w:shd w:fill="CFF0FC" w:val="clear"/>
            <w:vAlign w:val="center"/>
          </w:tcPr>
          <w:p>
            <w:pPr>
              <w:pStyle w:val="TableContents"/>
              <w:bidi w:val="0"/>
              <w:spacing w:before="0" w:after="283"/>
              <w:jc w:val="left"/>
              <w:rPr/>
            </w:pPr>
            <w:r>
              <w:rPr/>
              <w:t> </w:t>
            </w:r>
          </w:p>
        </w:tc>
        <w:tc>
          <w:tcPr>
            <w:tcW w:w="285"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34"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23,785</w:t>
            </w:r>
          </w:p>
        </w:tc>
        <w:tc>
          <w:tcPr>
            <w:tcW w:w="197" w:type="dxa"/>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pPr>
            <w:r>
              <w:rPr/>
              <w:t> </w:t>
            </w:r>
          </w:p>
        </w:tc>
        <w:tc>
          <w:tcPr>
            <w:tcW w:w="285"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34"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20,578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58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3,207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16</w:t>
            </w:r>
          </w:p>
        </w:tc>
        <w:tc>
          <w:tcPr>
            <w:tcW w:w="39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262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Cost of product sale revenue</w:t>
            </w:r>
          </w:p>
        </w:tc>
        <w:tc>
          <w:tcPr>
            <w:tcW w:w="146"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34"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3,655</w:t>
            </w:r>
          </w:p>
        </w:tc>
        <w:tc>
          <w:tcPr>
            <w:tcW w:w="197"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34"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3,785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58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(130</w:t>
            </w:r>
          </w:p>
        </w:tc>
        <w:tc>
          <w:tcPr>
            <w:tcW w:w="16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w:t>
            </w:r>
          </w:p>
        </w:tc>
        <w:tc>
          <w:tcPr>
            <w:tcW w:w="39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bl>
    <w:p>
      <w:pPr>
        <w:pStyle w:val="TextBody"/>
        <w:bidi w:val="0"/>
        <w:jc w:val="both"/>
        <w:rPr/>
      </w:pPr>
      <w:r>
        <w:rPr/>
        <w:t> </w:t>
      </w:r>
    </w:p>
    <w:p>
      <w:pPr>
        <w:pStyle w:val="TextBody"/>
        <w:bidi w:val="0"/>
        <w:jc w:val="both"/>
        <w:rPr>
          <w:rFonts w:ascii="Times New Roman" w:hAnsi="Times New Roman"/>
          <w:sz w:val="20"/>
        </w:rPr>
      </w:pPr>
      <w:r>
        <w:rPr>
          <w:rFonts w:ascii="Arial" w:hAnsi="Arial"/>
          <w:b w:val="false"/>
          <w:color w:val="000000"/>
          <w:sz w:val="20"/>
        </w:rPr>
        <w:t>Cost of tool rental revenue increased $3.2 million, or 16%, to $23.8 million for the nine months ended September 30, 2023 as compared to $20.6 million for the for the nine months ended September 30, 2022. Across all divisions, the increase in cost of tool rental revenue was primarily driven by increased labor costs as well as increased repair costs due to increased rental activity.</w:t>
      </w:r>
      <w:r>
        <w:rPr>
          <w:rFonts w:ascii="Times New Roman" w:hAnsi="Times New Roman"/>
          <w:color w:val="000000"/>
          <w:sz w:val="20"/>
        </w:rPr>
        <w:t xml:space="preserve"> </w:t>
      </w:r>
    </w:p>
    <w:p>
      <w:pPr>
        <w:pStyle w:val="TextBody"/>
        <w:bidi w:val="0"/>
        <w:spacing w:before="240" w:after="283"/>
        <w:jc w:val="both"/>
        <w:rPr>
          <w:rFonts w:ascii="Arial" w:hAnsi="Arial"/>
          <w:b w:val="false"/>
          <w:color w:val="000000"/>
          <w:sz w:val="20"/>
        </w:rPr>
      </w:pPr>
      <w:r>
        <w:rPr>
          <w:rFonts w:ascii="Arial" w:hAnsi="Arial"/>
          <w:b w:val="false"/>
          <w:color w:val="000000"/>
          <w:sz w:val="20"/>
        </w:rPr>
        <w:t>Cost of product sale revenue decreased $0.1 million, or 3%, to $3.7 million for the nine months ended September 30, 2023 as compared to $3.8 million for the for the nine months ended September 30, 2022. The decrease in cost of product sale revenue was primarily driven by a decrease in the average net book value of tools lost or damaged during the period.</w:t>
      </w:r>
    </w:p>
    <w:p>
      <w:pPr>
        <w:pStyle w:val="TextBody"/>
        <w:bidi w:val="0"/>
        <w:spacing w:before="240" w:after="283"/>
        <w:jc w:val="both"/>
        <w:rPr>
          <w:rFonts w:ascii="Arial" w:hAnsi="Arial"/>
          <w:b w:val="false"/>
          <w:i/>
          <w:color w:val="000000"/>
          <w:sz w:val="20"/>
        </w:rPr>
      </w:pPr>
      <w:r>
        <w:rPr>
          <w:rFonts w:ascii="Arial" w:hAnsi="Arial"/>
          <w:b w:val="false"/>
          <w:i/>
          <w:color w:val="000000"/>
          <w:sz w:val="20"/>
        </w:rPr>
        <w:t>Selling, General, and Administrative Expense</w:t>
      </w:r>
    </w:p>
    <w:p>
      <w:pPr>
        <w:pStyle w:val="TextBody"/>
        <w:bidi w:val="0"/>
        <w:jc w:val="left"/>
        <w:rPr/>
      </w:pPr>
      <w:r>
        <w:rPr/>
        <w:t> </w:t>
      </w:r>
    </w:p>
    <w:tbl>
      <w:tblPr>
        <w:tblW w:w="9218" w:type="dxa"/>
        <w:jc w:val="left"/>
        <w:tblInd w:w="0" w:type="dxa"/>
        <w:tblLayout w:type="fixed"/>
        <w:tblCellMar>
          <w:top w:w="28" w:type="dxa"/>
          <w:left w:w="28" w:type="dxa"/>
          <w:bottom w:w="28" w:type="dxa"/>
          <w:right w:w="28" w:type="dxa"/>
        </w:tblCellMar>
      </w:tblPr>
      <w:tblGrid>
        <w:gridCol w:w="3961"/>
        <w:gridCol w:w="146"/>
        <w:gridCol w:w="285"/>
        <w:gridCol w:w="934"/>
        <w:gridCol w:w="197"/>
        <w:gridCol w:w="197"/>
        <w:gridCol w:w="285"/>
        <w:gridCol w:w="934"/>
        <w:gridCol w:w="146"/>
        <w:gridCol w:w="146"/>
        <w:gridCol w:w="211"/>
        <w:gridCol w:w="691"/>
        <w:gridCol w:w="146"/>
        <w:gridCol w:w="146"/>
        <w:gridCol w:w="146"/>
        <w:gridCol w:w="316"/>
        <w:gridCol w:w="331"/>
      </w:tblGrid>
      <w:tr>
        <w:trPr/>
        <w:tc>
          <w:tcPr>
            <w:tcW w:w="3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96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28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Change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61" w:type="dxa"/>
            <w:tcBorders/>
            <w:shd w:fill="FFFFFF" w:val="clear"/>
            <w:vAlign w:val="center"/>
          </w:tcPr>
          <w:p>
            <w:pPr>
              <w:pStyle w:val="TableContents"/>
              <w:bidi w:val="0"/>
              <w:spacing w:before="0" w:after="283"/>
              <w:jc w:val="left"/>
              <w:rPr>
                <w:rFonts w:ascii="Arial" w:hAnsi="Arial"/>
                <w:b w:val="false"/>
                <w:i/>
                <w:color w:val="000000"/>
                <w:sz w:val="16"/>
              </w:rPr>
            </w:pPr>
            <w:r>
              <w:rPr>
                <w:rFonts w:ascii="Arial" w:hAnsi="Arial"/>
                <w:b w:val="false"/>
                <w:i/>
                <w:color w:val="000000"/>
                <w:sz w:val="16"/>
              </w:rPr>
              <w:t>(In thousands)</w:t>
            </w:r>
          </w:p>
        </w:tc>
        <w:tc>
          <w:tcPr>
            <w:tcW w:w="146" w:type="dxa"/>
            <w:tcBorders/>
            <w:shd w:fill="FFFFFF" w:val="clear"/>
            <w:vAlign w:val="center"/>
          </w:tcPr>
          <w:p>
            <w:pPr>
              <w:pStyle w:val="TableContents"/>
              <w:bidi w:val="0"/>
              <w:spacing w:before="0" w:after="283"/>
              <w:jc w:val="center"/>
              <w:rPr/>
            </w:pPr>
            <w:r>
              <w:rPr/>
              <w:t> </w:t>
            </w:r>
          </w:p>
        </w:tc>
        <w:tc>
          <w:tcPr>
            <w:tcW w:w="12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7" w:type="dxa"/>
            <w:tcBorders/>
            <w:shd w:fill="FFFFFF" w:val="clear"/>
            <w:vAlign w:val="center"/>
          </w:tcPr>
          <w:p>
            <w:pPr>
              <w:pStyle w:val="TableContents"/>
              <w:bidi w:val="0"/>
              <w:spacing w:before="0" w:after="283"/>
              <w:jc w:val="center"/>
              <w:rPr/>
            </w:pPr>
            <w:r>
              <w:rPr/>
              <w:t> </w:t>
            </w:r>
          </w:p>
        </w:tc>
        <w:tc>
          <w:tcPr>
            <w:tcW w:w="12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6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Selling, general, and administrative expense</w:t>
            </w:r>
          </w:p>
        </w:tc>
        <w:tc>
          <w:tcPr>
            <w:tcW w:w="146" w:type="dxa"/>
            <w:tcBorders/>
            <w:shd w:fill="CFF0FC" w:val="clear"/>
            <w:vAlign w:val="center"/>
          </w:tcPr>
          <w:p>
            <w:pPr>
              <w:pStyle w:val="TableContents"/>
              <w:bidi w:val="0"/>
              <w:spacing w:before="0" w:after="283"/>
              <w:jc w:val="left"/>
              <w:rPr/>
            </w:pPr>
            <w:r>
              <w:rPr/>
              <w:t> </w:t>
            </w:r>
          </w:p>
        </w:tc>
        <w:tc>
          <w:tcPr>
            <w:tcW w:w="285"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34"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50,999</w:t>
            </w:r>
          </w:p>
        </w:tc>
        <w:tc>
          <w:tcPr>
            <w:tcW w:w="197" w:type="dxa"/>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pPr>
            <w:r>
              <w:rPr/>
              <w:t> </w:t>
            </w:r>
          </w:p>
        </w:tc>
        <w:tc>
          <w:tcPr>
            <w:tcW w:w="285"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34"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36,424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69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14,575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40</w:t>
            </w:r>
          </w:p>
        </w:tc>
        <w:tc>
          <w:tcPr>
            <w:tcW w:w="33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bl>
    <w:p>
      <w:pPr>
        <w:pStyle w:val="TextBody"/>
        <w:bidi w:val="0"/>
        <w:jc w:val="both"/>
        <w:rPr/>
      </w:pPr>
      <w:r>
        <w:rPr/>
        <w:t> </w:t>
      </w:r>
    </w:p>
    <w:p>
      <w:pPr>
        <w:pStyle w:val="TextBody"/>
        <w:bidi w:val="0"/>
        <w:jc w:val="both"/>
        <w:rPr>
          <w:rFonts w:ascii="Arial" w:hAnsi="Arial"/>
          <w:b w:val="false"/>
          <w:color w:val="000000"/>
          <w:sz w:val="20"/>
        </w:rPr>
      </w:pPr>
      <w:r>
        <w:rPr>
          <w:rFonts w:ascii="Arial" w:hAnsi="Arial"/>
          <w:b w:val="false"/>
          <w:color w:val="000000"/>
          <w:sz w:val="20"/>
        </w:rPr>
        <w:t>Selling, general, and administrative expense increased $14.6 million, or 40%, to $51.0 million for the nine months ended September 30, 2023 as compared to $36.4 million for the nine months ended September 30, 2022. This increase was primarily driven by a:</w:t>
      </w:r>
    </w:p>
    <w:p>
      <w:pPr>
        <w:pStyle w:val="TextBody"/>
        <w:bidi w:val="0"/>
        <w:jc w:val="both"/>
        <w:rPr/>
      </w:pPr>
      <w:r>
        <w:rPr/>
        <w:t> </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w:t>
      </w:r>
    </w:p>
    <w:p>
      <w:pPr>
        <w:pStyle w:val="TextBody"/>
        <w:bidi w:val="0"/>
        <w:spacing w:before="0" w:after="0"/>
        <w:jc w:val="both"/>
        <w:rPr>
          <w:rFonts w:ascii="Arial" w:hAnsi="Arial"/>
          <w:b w:val="false"/>
          <w:color w:val="000000"/>
          <w:sz w:val="20"/>
        </w:rPr>
      </w:pPr>
      <w:r>
        <w:rPr>
          <w:rFonts w:ascii="Arial" w:hAnsi="Arial"/>
          <w:b w:val="false"/>
          <w:color w:val="000000"/>
          <w:sz w:val="20"/>
        </w:rPr>
        <w:t>$5.0 million increase in personnel-related expenses,</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w:t>
      </w:r>
    </w:p>
    <w:p>
      <w:pPr>
        <w:pStyle w:val="TextBody"/>
        <w:bidi w:val="0"/>
        <w:spacing w:before="0" w:after="0"/>
        <w:jc w:val="both"/>
        <w:rPr>
          <w:rFonts w:ascii="Arial" w:hAnsi="Arial"/>
          <w:b w:val="false"/>
          <w:color w:val="000000"/>
          <w:sz w:val="20"/>
        </w:rPr>
      </w:pPr>
      <w:r>
        <w:rPr>
          <w:rFonts w:ascii="Arial" w:hAnsi="Arial"/>
          <w:b w:val="false"/>
          <w:color w:val="000000"/>
          <w:sz w:val="20"/>
        </w:rPr>
        <w:t>$4.3 million related to ERC Benefits we qualified for during the nine months ended September 30, 2022 related to the COVID-19 Coronavirus Aid, Relief, and Economic Security Act. These ERC Benefits were included in selling, general, and administrative expense as an offset to the related compensation expenses,</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w:t>
      </w:r>
    </w:p>
    <w:p>
      <w:pPr>
        <w:pStyle w:val="TextBody"/>
        <w:bidi w:val="0"/>
        <w:spacing w:before="0" w:after="0"/>
        <w:jc w:val="both"/>
        <w:rPr>
          <w:rFonts w:ascii="Arial" w:hAnsi="Arial"/>
          <w:b w:val="false"/>
          <w:color w:val="000000"/>
          <w:sz w:val="20"/>
        </w:rPr>
      </w:pPr>
      <w:r>
        <w:rPr>
          <w:rFonts w:ascii="Arial" w:hAnsi="Arial"/>
          <w:b w:val="false"/>
          <w:color w:val="000000"/>
          <w:sz w:val="20"/>
        </w:rPr>
        <w:t xml:space="preserve">$1.7 million increase in stock-based compensation expense as a result of the Merger. </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w:t>
      </w:r>
    </w:p>
    <w:p>
      <w:pPr>
        <w:pStyle w:val="TextBody"/>
        <w:bidi w:val="0"/>
        <w:spacing w:before="0" w:after="0"/>
        <w:jc w:val="both"/>
        <w:rPr>
          <w:rFonts w:ascii="Arial" w:hAnsi="Arial"/>
          <w:b w:val="false"/>
          <w:color w:val="000000"/>
          <w:sz w:val="20"/>
        </w:rPr>
      </w:pPr>
      <w:r>
        <w:rPr>
          <w:rFonts w:ascii="Arial" w:hAnsi="Arial"/>
          <w:b w:val="false"/>
          <w:color w:val="000000"/>
          <w:sz w:val="20"/>
        </w:rPr>
        <w:t>$0.5 million increase in monitoring fees,</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w:t>
      </w:r>
    </w:p>
    <w:p>
      <w:pPr>
        <w:pStyle w:val="TextBody"/>
        <w:bidi w:val="0"/>
        <w:spacing w:before="0" w:after="0"/>
        <w:jc w:val="both"/>
        <w:rPr>
          <w:rFonts w:ascii="Arial" w:hAnsi="Arial"/>
          <w:b w:val="false"/>
          <w:color w:val="000000"/>
          <w:sz w:val="20"/>
        </w:rPr>
      </w:pPr>
      <w:r>
        <w:rPr>
          <w:rFonts w:ascii="Arial" w:hAnsi="Arial"/>
          <w:b w:val="false"/>
          <w:color w:val="000000"/>
          <w:sz w:val="20"/>
        </w:rPr>
        <w:t>$0.5 million increase in insurance expense,</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w:t>
      </w:r>
    </w:p>
    <w:p>
      <w:pPr>
        <w:pStyle w:val="TextBody"/>
        <w:bidi w:val="0"/>
        <w:spacing w:before="0" w:after="0"/>
        <w:jc w:val="both"/>
        <w:rPr>
          <w:rFonts w:ascii="Arial" w:hAnsi="Arial"/>
          <w:b w:val="false"/>
          <w:color w:val="000000"/>
          <w:sz w:val="20"/>
        </w:rPr>
      </w:pPr>
      <w:r>
        <w:rPr>
          <w:rFonts w:ascii="Arial" w:hAnsi="Arial"/>
          <w:b w:val="false"/>
          <w:color w:val="000000"/>
          <w:sz w:val="20"/>
        </w:rPr>
        <w:t>$0.4 million increase in professional services,</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w:t>
      </w:r>
    </w:p>
    <w:p>
      <w:pPr>
        <w:pStyle w:val="TextBody"/>
        <w:bidi w:val="0"/>
        <w:spacing w:before="0" w:after="0"/>
        <w:jc w:val="both"/>
        <w:rPr>
          <w:rFonts w:ascii="Arial" w:hAnsi="Arial"/>
          <w:b w:val="false"/>
          <w:color w:val="000000"/>
          <w:sz w:val="20"/>
        </w:rPr>
      </w:pPr>
      <w:r>
        <w:rPr>
          <w:rFonts w:ascii="Arial" w:hAnsi="Arial"/>
          <w:b w:val="false"/>
          <w:color w:val="000000"/>
          <w:sz w:val="20"/>
        </w:rPr>
        <w:t>$0.4 million increase in rent expense</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w:t>
      </w:r>
    </w:p>
    <w:p>
      <w:pPr>
        <w:pStyle w:val="TextBody"/>
        <w:bidi w:val="0"/>
        <w:spacing w:before="0" w:after="0"/>
        <w:jc w:val="both"/>
        <w:rPr>
          <w:rFonts w:ascii="Arial" w:hAnsi="Arial"/>
          <w:b w:val="false"/>
          <w:color w:val="000000"/>
          <w:sz w:val="20"/>
        </w:rPr>
      </w:pPr>
      <w:r>
        <w:rPr>
          <w:rFonts w:ascii="Arial" w:hAnsi="Arial"/>
          <w:b w:val="false"/>
          <w:color w:val="000000"/>
          <w:sz w:val="20"/>
        </w:rPr>
        <w:t>$0.4 million increase in expenses for repairs,</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w:t>
      </w:r>
    </w:p>
    <w:p>
      <w:pPr>
        <w:pStyle w:val="TextBody"/>
        <w:bidi w:val="0"/>
        <w:spacing w:before="0" w:after="0"/>
        <w:jc w:val="both"/>
        <w:rPr>
          <w:rFonts w:ascii="Arial" w:hAnsi="Arial"/>
          <w:b w:val="false"/>
          <w:color w:val="000000"/>
          <w:sz w:val="20"/>
        </w:rPr>
      </w:pPr>
      <w:r>
        <w:rPr>
          <w:rFonts w:ascii="Arial" w:hAnsi="Arial"/>
          <w:b w:val="false"/>
          <w:color w:val="000000"/>
          <w:sz w:val="20"/>
        </w:rPr>
        <w:t>$0.3 million increase in bad debt expense,</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w:t>
      </w:r>
    </w:p>
    <w:p>
      <w:pPr>
        <w:pStyle w:val="TextBody"/>
        <w:bidi w:val="0"/>
        <w:spacing w:before="0" w:after="0"/>
        <w:jc w:val="both"/>
        <w:rPr>
          <w:rFonts w:ascii="Arial" w:hAnsi="Arial"/>
          <w:b w:val="false"/>
          <w:color w:val="000000"/>
          <w:sz w:val="20"/>
        </w:rPr>
      </w:pPr>
      <w:r>
        <w:rPr>
          <w:rFonts w:ascii="Arial" w:hAnsi="Arial"/>
          <w:b w:val="false"/>
          <w:color w:val="000000"/>
          <w:sz w:val="20"/>
        </w:rPr>
        <w:t>$0.3 million increase in freight expense</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w:t>
      </w:r>
    </w:p>
    <w:p>
      <w:pPr>
        <w:pStyle w:val="TextBody"/>
        <w:bidi w:val="0"/>
        <w:spacing w:before="0" w:after="0"/>
        <w:jc w:val="both"/>
        <w:rPr>
          <w:rFonts w:ascii="Arial" w:hAnsi="Arial"/>
          <w:b w:val="false"/>
          <w:color w:val="000000"/>
          <w:sz w:val="20"/>
        </w:rPr>
      </w:pPr>
      <w:r>
        <w:rPr>
          <w:rFonts w:ascii="Arial" w:hAnsi="Arial"/>
          <w:b w:val="false"/>
          <w:color w:val="000000"/>
          <w:sz w:val="20"/>
        </w:rPr>
        <w:t>$0.3 million increase in credit card transaction fees, and</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w:t>
      </w:r>
    </w:p>
    <w:p>
      <w:pPr>
        <w:pStyle w:val="TextBody"/>
        <w:bidi w:val="0"/>
        <w:jc w:val="both"/>
        <w:rPr>
          <w:rFonts w:ascii="Arial" w:hAnsi="Arial"/>
          <w:b w:val="false"/>
          <w:color w:val="000000"/>
          <w:sz w:val="20"/>
        </w:rPr>
      </w:pPr>
      <w:r>
        <w:rPr>
          <w:rFonts w:ascii="Arial" w:hAnsi="Arial"/>
          <w:b w:val="false"/>
          <w:color w:val="000000"/>
          <w:sz w:val="20"/>
        </w:rPr>
        <w:t>$0.3 million increase in expenses for supplies, equipment, licenses and vehicles</w:t>
      </w:r>
    </w:p>
    <w:p>
      <w:pPr>
        <w:pStyle w:val="TextBody"/>
        <w:bidi w:val="0"/>
        <w:jc w:val="both"/>
        <w:rPr/>
      </w:pPr>
      <w:r>
        <w:rPr/>
        <w:t> </w:t>
      </w:r>
    </w:p>
    <w:p>
      <w:pPr>
        <w:pStyle w:val="TextBody"/>
        <w:bidi w:val="0"/>
        <w:jc w:val="both"/>
        <w:rPr>
          <w:rFonts w:ascii="Arial" w:hAnsi="Arial"/>
          <w:b w:val="false"/>
          <w:color w:val="000000"/>
          <w:sz w:val="20"/>
        </w:rPr>
      </w:pPr>
      <w:r>
        <w:rPr>
          <w:rFonts w:ascii="Arial" w:hAnsi="Arial"/>
          <w:b w:val="false"/>
          <w:color w:val="000000"/>
          <w:sz w:val="20"/>
        </w:rPr>
        <w:t>No other driver of this increase was individually significant.</w:t>
      </w:r>
    </w:p>
    <w:p>
      <w:pPr>
        <w:pStyle w:val="TextBody"/>
        <w:bidi w:val="0"/>
        <w:spacing w:before="240" w:after="283"/>
        <w:jc w:val="both"/>
        <w:rPr>
          <w:rFonts w:ascii="Arial" w:hAnsi="Arial"/>
          <w:b w:val="false"/>
          <w:i/>
          <w:color w:val="000000"/>
          <w:sz w:val="20"/>
        </w:rPr>
      </w:pPr>
      <w:r>
        <w:rPr>
          <w:rFonts w:ascii="Arial" w:hAnsi="Arial"/>
          <w:b w:val="false"/>
          <w:i/>
          <w:color w:val="000000"/>
          <w:sz w:val="20"/>
        </w:rPr>
        <w:t>Depreciation and Amortization expense</w:t>
      </w:r>
    </w:p>
    <w:p>
      <w:pPr>
        <w:pStyle w:val="TextBody"/>
        <w:bidi w:val="0"/>
        <w:jc w:val="left"/>
        <w:rPr/>
      </w:pPr>
      <w:r>
        <w:rPr/>
        <w:t> </w:t>
      </w:r>
    </w:p>
    <w:tbl>
      <w:tblPr>
        <w:tblW w:w="8497" w:type="dxa"/>
        <w:jc w:val="left"/>
        <w:tblInd w:w="0" w:type="dxa"/>
        <w:tblLayout w:type="fixed"/>
        <w:tblCellMar>
          <w:top w:w="28" w:type="dxa"/>
          <w:left w:w="28" w:type="dxa"/>
          <w:bottom w:w="28" w:type="dxa"/>
          <w:right w:w="28" w:type="dxa"/>
        </w:tblCellMar>
      </w:tblPr>
      <w:tblGrid>
        <w:gridCol w:w="3496"/>
        <w:gridCol w:w="146"/>
        <w:gridCol w:w="285"/>
        <w:gridCol w:w="934"/>
        <w:gridCol w:w="197"/>
        <w:gridCol w:w="197"/>
        <w:gridCol w:w="285"/>
        <w:gridCol w:w="934"/>
        <w:gridCol w:w="146"/>
        <w:gridCol w:w="146"/>
        <w:gridCol w:w="250"/>
        <w:gridCol w:w="501"/>
        <w:gridCol w:w="146"/>
        <w:gridCol w:w="146"/>
        <w:gridCol w:w="146"/>
        <w:gridCol w:w="211"/>
        <w:gridCol w:w="331"/>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49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28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Change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FFFFFF" w:val="clear"/>
            <w:vAlign w:val="center"/>
          </w:tcPr>
          <w:p>
            <w:pPr>
              <w:pStyle w:val="TableContents"/>
              <w:bidi w:val="0"/>
              <w:spacing w:before="0" w:after="283"/>
              <w:jc w:val="left"/>
              <w:rPr>
                <w:rFonts w:ascii="Arial" w:hAnsi="Arial"/>
                <w:b w:val="false"/>
                <w:i/>
                <w:color w:val="000000"/>
                <w:sz w:val="16"/>
              </w:rPr>
            </w:pPr>
            <w:r>
              <w:rPr>
                <w:rFonts w:ascii="Arial" w:hAnsi="Arial"/>
                <w:b w:val="false"/>
                <w:i/>
                <w:color w:val="000000"/>
                <w:sz w:val="16"/>
              </w:rPr>
              <w:t>(In thousands)</w:t>
            </w:r>
          </w:p>
        </w:tc>
        <w:tc>
          <w:tcPr>
            <w:tcW w:w="146" w:type="dxa"/>
            <w:tcBorders/>
            <w:shd w:fill="FFFFFF" w:val="clear"/>
            <w:vAlign w:val="center"/>
          </w:tcPr>
          <w:p>
            <w:pPr>
              <w:pStyle w:val="TableContents"/>
              <w:bidi w:val="0"/>
              <w:spacing w:before="0" w:after="283"/>
              <w:jc w:val="center"/>
              <w:rPr/>
            </w:pPr>
            <w:r>
              <w:rPr/>
              <w:t> </w:t>
            </w:r>
          </w:p>
        </w:tc>
        <w:tc>
          <w:tcPr>
            <w:tcW w:w="12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7" w:type="dxa"/>
            <w:tcBorders/>
            <w:shd w:fill="FFFFFF" w:val="clear"/>
            <w:vAlign w:val="center"/>
          </w:tcPr>
          <w:p>
            <w:pPr>
              <w:pStyle w:val="TableContents"/>
              <w:bidi w:val="0"/>
              <w:spacing w:before="0" w:after="283"/>
              <w:jc w:val="center"/>
              <w:rPr/>
            </w:pPr>
            <w:r>
              <w:rPr/>
              <w:t> </w:t>
            </w:r>
          </w:p>
        </w:tc>
        <w:tc>
          <w:tcPr>
            <w:tcW w:w="12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Depreciation and amortization expense</w:t>
            </w:r>
          </w:p>
        </w:tc>
        <w:tc>
          <w:tcPr>
            <w:tcW w:w="146" w:type="dxa"/>
            <w:tcBorders/>
            <w:shd w:fill="CFF0FC" w:val="clear"/>
            <w:vAlign w:val="center"/>
          </w:tcPr>
          <w:p>
            <w:pPr>
              <w:pStyle w:val="TableContents"/>
              <w:bidi w:val="0"/>
              <w:spacing w:before="0" w:after="283"/>
              <w:jc w:val="left"/>
              <w:rPr/>
            </w:pPr>
            <w:r>
              <w:rPr/>
              <w:t> </w:t>
            </w:r>
          </w:p>
        </w:tc>
        <w:tc>
          <w:tcPr>
            <w:tcW w:w="285"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34"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15,035</w:t>
            </w:r>
          </w:p>
        </w:tc>
        <w:tc>
          <w:tcPr>
            <w:tcW w:w="197" w:type="dxa"/>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pPr>
            <w:r>
              <w:rPr/>
              <w:t> </w:t>
            </w:r>
          </w:p>
        </w:tc>
        <w:tc>
          <w:tcPr>
            <w:tcW w:w="285"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34"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14,782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50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253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w:t>
            </w:r>
          </w:p>
        </w:tc>
        <w:tc>
          <w:tcPr>
            <w:tcW w:w="33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bl>
    <w:p>
      <w:pPr>
        <w:pStyle w:val="TextBody"/>
        <w:bidi w:val="0"/>
        <w:jc w:val="both"/>
        <w:rPr/>
      </w:pPr>
      <w:r>
        <w:rPr/>
        <w:t> </w:t>
      </w:r>
    </w:p>
    <w:p>
      <w:pPr>
        <w:pStyle w:val="TextBody"/>
        <w:bidi w:val="0"/>
        <w:jc w:val="center"/>
        <w:rPr/>
      </w:pPr>
      <w:r>
        <w:rPr/>
        <w:t> </w:t>
      </w:r>
    </w:p>
    <w:p>
      <w:pPr>
        <w:pStyle w:val="TextBody"/>
        <w:bidi w:val="0"/>
        <w:jc w:val="center"/>
        <w:rPr>
          <w:rFonts w:ascii="Arial" w:hAnsi="Arial"/>
          <w:b w:val="false"/>
          <w:color w:val="000000"/>
          <w:sz w:val="20"/>
        </w:rPr>
      </w:pPr>
      <w:r>
        <w:rPr>
          <w:rFonts w:ascii="Arial" w:hAnsi="Arial"/>
          <w:b w:val="false"/>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Arial" w:hAnsi="Arial"/>
          <w:b w:val="false"/>
          <w:color w:val="000000"/>
          <w:sz w:val="20"/>
        </w:rPr>
      </w:pPr>
      <w:r>
        <w:rPr>
          <w:rFonts w:ascii="Arial" w:hAnsi="Arial"/>
          <w:b w:val="false"/>
          <w:color w:val="000000"/>
          <w:sz w:val="20"/>
        </w:rPr>
        <w:t>Depreciation and amortization expenses increased $0.3 million, or 2%, to $15.0 million for the nine months ended September 30, 2023 as compared to $14.8 million for the nine months ended September 30, 2022. The increase was primarily due to an increase in depreciation expense resulting from a higher property, plant and equipment balance as of September 30, 2023.</w:t>
      </w:r>
    </w:p>
    <w:p>
      <w:pPr>
        <w:pStyle w:val="TextBody"/>
        <w:bidi w:val="0"/>
        <w:spacing w:before="240" w:after="283"/>
        <w:jc w:val="both"/>
        <w:rPr>
          <w:rFonts w:ascii="Arial" w:hAnsi="Arial"/>
          <w:b/>
          <w:i/>
          <w:color w:val="000000"/>
          <w:sz w:val="20"/>
        </w:rPr>
      </w:pPr>
      <w:r>
        <w:rPr>
          <w:rFonts w:ascii="Arial" w:hAnsi="Arial"/>
          <w:b/>
          <w:i/>
          <w:color w:val="000000"/>
          <w:sz w:val="20"/>
        </w:rPr>
        <w:t>Other (expense) income</w:t>
      </w:r>
    </w:p>
    <w:p>
      <w:pPr>
        <w:pStyle w:val="TextBody"/>
        <w:bidi w:val="0"/>
        <w:spacing w:before="240" w:after="283"/>
        <w:jc w:val="both"/>
        <w:rPr>
          <w:rFonts w:ascii="Arial" w:hAnsi="Arial"/>
          <w:b w:val="false"/>
          <w:i/>
          <w:color w:val="000000"/>
          <w:sz w:val="20"/>
        </w:rPr>
      </w:pPr>
      <w:r>
        <w:rPr>
          <w:rFonts w:ascii="Arial" w:hAnsi="Arial"/>
          <w:b w:val="false"/>
          <w:i/>
          <w:color w:val="000000"/>
          <w:sz w:val="20"/>
        </w:rPr>
        <w:t>Interest Expense, net</w:t>
      </w:r>
    </w:p>
    <w:p>
      <w:pPr>
        <w:pStyle w:val="TextBody"/>
        <w:bidi w:val="0"/>
        <w:jc w:val="left"/>
        <w:rPr/>
      </w:pPr>
      <w:r>
        <w:rPr/>
        <w:t> </w:t>
      </w:r>
    </w:p>
    <w:tbl>
      <w:tblPr>
        <w:tblW w:w="7444" w:type="dxa"/>
        <w:jc w:val="left"/>
        <w:tblInd w:w="0" w:type="dxa"/>
        <w:tblLayout w:type="fixed"/>
        <w:tblCellMar>
          <w:top w:w="28" w:type="dxa"/>
          <w:left w:w="28" w:type="dxa"/>
          <w:bottom w:w="28" w:type="dxa"/>
          <w:right w:w="28" w:type="dxa"/>
        </w:tblCellMar>
      </w:tblPr>
      <w:tblGrid>
        <w:gridCol w:w="1966"/>
        <w:gridCol w:w="146"/>
        <w:gridCol w:w="376"/>
        <w:gridCol w:w="857"/>
        <w:gridCol w:w="295"/>
        <w:gridCol w:w="260"/>
        <w:gridCol w:w="376"/>
        <w:gridCol w:w="670"/>
        <w:gridCol w:w="166"/>
        <w:gridCol w:w="146"/>
        <w:gridCol w:w="228"/>
        <w:gridCol w:w="523"/>
        <w:gridCol w:w="166"/>
        <w:gridCol w:w="146"/>
        <w:gridCol w:w="146"/>
        <w:gridCol w:w="586"/>
        <w:gridCol w:w="391"/>
      </w:tblGrid>
      <w:tr>
        <w:trPr/>
        <w:tc>
          <w:tcPr>
            <w:tcW w:w="1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9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28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9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Change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66" w:type="dxa"/>
            <w:tcBorders/>
            <w:shd w:fill="FFFFFF" w:val="clear"/>
            <w:vAlign w:val="center"/>
          </w:tcPr>
          <w:p>
            <w:pPr>
              <w:pStyle w:val="TableContents"/>
              <w:bidi w:val="0"/>
              <w:spacing w:before="0" w:after="283"/>
              <w:jc w:val="left"/>
              <w:rPr>
                <w:rFonts w:ascii="Arial" w:hAnsi="Arial"/>
                <w:b w:val="false"/>
                <w:i/>
                <w:color w:val="000000"/>
                <w:sz w:val="16"/>
              </w:rPr>
            </w:pPr>
            <w:r>
              <w:rPr>
                <w:rFonts w:ascii="Arial" w:hAnsi="Arial"/>
                <w:b w:val="false"/>
                <w:i/>
                <w:color w:val="000000"/>
                <w:sz w:val="16"/>
              </w:rPr>
              <w:t>(In thousands)</w:t>
            </w:r>
          </w:p>
        </w:tc>
        <w:tc>
          <w:tcPr>
            <w:tcW w:w="146" w:type="dxa"/>
            <w:tcBorders/>
            <w:shd w:fill="FFFFFF" w:val="clear"/>
            <w:vAlign w:val="center"/>
          </w:tcPr>
          <w:p>
            <w:pPr>
              <w:pStyle w:val="TableContents"/>
              <w:bidi w:val="0"/>
              <w:spacing w:before="0" w:after="283"/>
              <w:jc w:val="center"/>
              <w:rPr/>
            </w:pPr>
            <w:r>
              <w:rPr/>
              <w:t> </w:t>
            </w:r>
          </w:p>
        </w:tc>
        <w:tc>
          <w:tcPr>
            <w:tcW w:w="12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0" w:type="dxa"/>
            <w:tcBorders/>
            <w:shd w:fill="FFFFFF" w:val="clear"/>
            <w:vAlign w:val="center"/>
          </w:tcPr>
          <w:p>
            <w:pPr>
              <w:pStyle w:val="TableContents"/>
              <w:bidi w:val="0"/>
              <w:spacing w:before="0" w:after="283"/>
              <w:jc w:val="center"/>
              <w:rPr/>
            </w:pPr>
            <w:r>
              <w:rPr/>
              <w:t> </w:t>
            </w:r>
          </w:p>
        </w:tc>
        <w:tc>
          <w:tcPr>
            <w:tcW w:w="10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6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Interest expense, net</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57"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(995</w:t>
            </w:r>
          </w:p>
        </w:tc>
        <w:tc>
          <w:tcPr>
            <w:tcW w:w="295"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260"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670"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(41</w:t>
            </w:r>
          </w:p>
        </w:tc>
        <w:tc>
          <w:tcPr>
            <w:tcW w:w="16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523"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(954</w:t>
            </w:r>
          </w:p>
        </w:tc>
        <w:tc>
          <w:tcPr>
            <w:tcW w:w="16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(2327</w:t>
            </w:r>
          </w:p>
        </w:tc>
        <w:tc>
          <w:tcPr>
            <w:tcW w:w="39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bl>
    <w:p>
      <w:pPr>
        <w:pStyle w:val="TextBody"/>
        <w:bidi w:val="0"/>
        <w:spacing w:before="240" w:after="283"/>
        <w:jc w:val="both"/>
        <w:rPr>
          <w:rFonts w:ascii="Arial" w:hAnsi="Arial"/>
          <w:b w:val="false"/>
          <w:color w:val="000000"/>
          <w:sz w:val="20"/>
        </w:rPr>
      </w:pPr>
      <w:r>
        <w:rPr>
          <w:rFonts w:ascii="Arial" w:hAnsi="Arial"/>
          <w:b w:val="false"/>
          <w:color w:val="000000"/>
          <w:sz w:val="20"/>
        </w:rPr>
        <w:t>For the nine months ended September 30, 2023 we had interest expense of $1.0 million as compared to interest expense of $41 thousand for the nine months ended September 30, 2022. This change of $1.0 million or 2327% was primarily due to the settlement of the interest rate swap on July 10, 2023 resulting in there being no unrealized gain on the interest rate swap for the nine months ended September 30, 2023 whereas there was an unrealized gain on the interest rate swap of $0.9 million for the nine months ended September 30, 2022.</w:t>
      </w:r>
    </w:p>
    <w:p>
      <w:pPr>
        <w:pStyle w:val="TextBody"/>
        <w:bidi w:val="0"/>
        <w:spacing w:before="240" w:after="283"/>
        <w:jc w:val="both"/>
        <w:rPr>
          <w:rFonts w:ascii="Arial" w:hAnsi="Arial"/>
          <w:b w:val="false"/>
          <w:i/>
          <w:color w:val="000000"/>
          <w:sz w:val="20"/>
        </w:rPr>
      </w:pPr>
      <w:r>
        <w:rPr>
          <w:rFonts w:ascii="Arial" w:hAnsi="Arial"/>
          <w:b w:val="false"/>
          <w:i/>
          <w:color w:val="000000"/>
          <w:sz w:val="20"/>
        </w:rPr>
        <w:t>Gain on Sale of Property</w:t>
      </w:r>
    </w:p>
    <w:p>
      <w:pPr>
        <w:pStyle w:val="TextBody"/>
        <w:bidi w:val="0"/>
        <w:jc w:val="left"/>
        <w:rPr/>
      </w:pPr>
      <w:r>
        <w:rPr/>
        <w:t> </w:t>
      </w:r>
    </w:p>
    <w:tbl>
      <w:tblPr>
        <w:tblW w:w="7453" w:type="dxa"/>
        <w:jc w:val="left"/>
        <w:tblInd w:w="0" w:type="dxa"/>
        <w:tblLayout w:type="fixed"/>
        <w:tblCellMar>
          <w:top w:w="28" w:type="dxa"/>
          <w:left w:w="28" w:type="dxa"/>
          <w:bottom w:w="28" w:type="dxa"/>
          <w:right w:w="28" w:type="dxa"/>
        </w:tblCellMar>
      </w:tblPr>
      <w:tblGrid>
        <w:gridCol w:w="2206"/>
        <w:gridCol w:w="146"/>
        <w:gridCol w:w="412"/>
        <w:gridCol w:w="617"/>
        <w:gridCol w:w="285"/>
        <w:gridCol w:w="285"/>
        <w:gridCol w:w="412"/>
        <w:gridCol w:w="822"/>
        <w:gridCol w:w="146"/>
        <w:gridCol w:w="146"/>
        <w:gridCol w:w="269"/>
        <w:gridCol w:w="482"/>
        <w:gridCol w:w="166"/>
        <w:gridCol w:w="146"/>
        <w:gridCol w:w="146"/>
        <w:gridCol w:w="376"/>
        <w:gridCol w:w="391"/>
      </w:tblGrid>
      <w:tr>
        <w:trPr/>
        <w:tc>
          <w:tcPr>
            <w:tcW w:w="2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283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8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Change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6" w:type="dxa"/>
            <w:tcBorders/>
            <w:shd w:fill="FFFFFF" w:val="clear"/>
            <w:vAlign w:val="center"/>
          </w:tcPr>
          <w:p>
            <w:pPr>
              <w:pStyle w:val="TableContents"/>
              <w:bidi w:val="0"/>
              <w:spacing w:before="0" w:after="283"/>
              <w:jc w:val="left"/>
              <w:rPr>
                <w:rFonts w:ascii="Arial" w:hAnsi="Arial"/>
                <w:b w:val="false"/>
                <w:i/>
                <w:color w:val="000000"/>
                <w:sz w:val="16"/>
              </w:rPr>
            </w:pPr>
            <w:r>
              <w:rPr>
                <w:rFonts w:ascii="Arial" w:hAnsi="Arial"/>
                <w:b w:val="false"/>
                <w:i/>
                <w:color w:val="000000"/>
                <w:sz w:val="16"/>
              </w:rPr>
              <w:t>(In thousands)</w:t>
            </w:r>
          </w:p>
        </w:tc>
        <w:tc>
          <w:tcPr>
            <w:tcW w:w="146" w:type="dxa"/>
            <w:tcBorders/>
            <w:shd w:fill="FFFFFF" w:val="clear"/>
            <w:vAlign w:val="center"/>
          </w:tcPr>
          <w:p>
            <w:pPr>
              <w:pStyle w:val="TableContents"/>
              <w:bidi w:val="0"/>
              <w:spacing w:before="0" w:after="283"/>
              <w:jc w:val="center"/>
              <w:rPr/>
            </w:pPr>
            <w:r>
              <w:rPr/>
              <w:t> </w:t>
            </w:r>
          </w:p>
        </w:tc>
        <w:tc>
          <w:tcPr>
            <w:tcW w:w="10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5" w:type="dxa"/>
            <w:tcBorders/>
            <w:shd w:fill="FFFFFF" w:val="clear"/>
            <w:vAlign w:val="center"/>
          </w:tcPr>
          <w:p>
            <w:pPr>
              <w:pStyle w:val="TableContents"/>
              <w:bidi w:val="0"/>
              <w:spacing w:before="0" w:after="283"/>
              <w:jc w:val="center"/>
              <w:rPr/>
            </w:pPr>
            <w:r>
              <w:rPr/>
              <w:t> </w:t>
            </w:r>
          </w:p>
        </w:tc>
        <w:tc>
          <w:tcPr>
            <w:tcW w:w="12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Gain on sale of property</w:t>
            </w:r>
          </w:p>
        </w:tc>
        <w:tc>
          <w:tcPr>
            <w:tcW w:w="146" w:type="dxa"/>
            <w:tcBorders/>
            <w:shd w:fill="CFF0FC" w:val="clear"/>
            <w:vAlign w:val="center"/>
          </w:tcPr>
          <w:p>
            <w:pPr>
              <w:pStyle w:val="TableContents"/>
              <w:bidi w:val="0"/>
              <w:spacing w:before="0" w:after="283"/>
              <w:jc w:val="left"/>
              <w:rPr/>
            </w:pPr>
            <w:r>
              <w:rPr/>
              <w:t> </w:t>
            </w:r>
          </w:p>
        </w:tc>
        <w:tc>
          <w:tcPr>
            <w:tcW w:w="412"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617"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68</w:t>
            </w:r>
          </w:p>
        </w:tc>
        <w:tc>
          <w:tcPr>
            <w:tcW w:w="285" w:type="dxa"/>
            <w:tcBorders/>
            <w:shd w:fill="CFF0FC" w:val="clear"/>
            <w:vAlign w:val="center"/>
          </w:tcPr>
          <w:p>
            <w:pPr>
              <w:pStyle w:val="TableContents"/>
              <w:bidi w:val="0"/>
              <w:spacing w:before="0" w:after="283"/>
              <w:jc w:val="left"/>
              <w:rPr/>
            </w:pPr>
            <w:r>
              <w:rPr/>
              <w:t> </w:t>
            </w:r>
          </w:p>
        </w:tc>
        <w:tc>
          <w:tcPr>
            <w:tcW w:w="285" w:type="dxa"/>
            <w:tcBorders/>
            <w:shd w:fill="CFF0FC" w:val="clear"/>
            <w:vAlign w:val="center"/>
          </w:tcPr>
          <w:p>
            <w:pPr>
              <w:pStyle w:val="TableContents"/>
              <w:bidi w:val="0"/>
              <w:spacing w:before="0" w:after="283"/>
              <w:jc w:val="left"/>
              <w:rPr/>
            </w:pPr>
            <w:r>
              <w:rPr/>
              <w:t> </w:t>
            </w:r>
          </w:p>
        </w:tc>
        <w:tc>
          <w:tcPr>
            <w:tcW w:w="412"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22"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107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482"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(39</w:t>
            </w:r>
          </w:p>
        </w:tc>
        <w:tc>
          <w:tcPr>
            <w:tcW w:w="16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(36</w:t>
            </w:r>
          </w:p>
        </w:tc>
        <w:tc>
          <w:tcPr>
            <w:tcW w:w="39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bl>
    <w:p>
      <w:pPr>
        <w:pStyle w:val="TextBody"/>
        <w:bidi w:val="0"/>
        <w:jc w:val="both"/>
        <w:rPr/>
      </w:pPr>
      <w:r>
        <w:rPr/>
        <w:t> </w:t>
      </w:r>
    </w:p>
    <w:p>
      <w:pPr>
        <w:pStyle w:val="TextBody"/>
        <w:bidi w:val="0"/>
        <w:jc w:val="both"/>
        <w:rPr>
          <w:rFonts w:ascii="Arial" w:hAnsi="Arial"/>
          <w:b w:val="false"/>
          <w:color w:val="000000"/>
          <w:sz w:val="20"/>
        </w:rPr>
      </w:pPr>
      <w:r>
        <w:rPr>
          <w:rFonts w:ascii="Arial" w:hAnsi="Arial"/>
          <w:b w:val="false"/>
          <w:color w:val="000000"/>
          <w:sz w:val="20"/>
        </w:rPr>
        <w:t>Gain on the sale of property decreased $39 thousand, or 36%, to $68 thousand for the nine months ended September 30, 2023 as compared to $0.1 million for the nine months ended September 30, 2022. The immaterial decrease is driven by an increase in the selling price of the property sold compared to its net book value in 2022 that was less significant in 2023.</w:t>
      </w:r>
    </w:p>
    <w:p>
      <w:pPr>
        <w:pStyle w:val="TextBody"/>
        <w:bidi w:val="0"/>
        <w:spacing w:before="240" w:after="283"/>
        <w:jc w:val="both"/>
        <w:rPr>
          <w:rFonts w:ascii="Arial" w:hAnsi="Arial"/>
          <w:b w:val="false"/>
          <w:i/>
          <w:color w:val="000000"/>
          <w:sz w:val="20"/>
        </w:rPr>
      </w:pPr>
      <w:r>
        <w:rPr>
          <w:rFonts w:ascii="Arial" w:hAnsi="Arial"/>
          <w:b w:val="false"/>
          <w:i/>
          <w:color w:val="000000"/>
          <w:sz w:val="20"/>
        </w:rPr>
        <w:t>Unrealized Loss on Equity Securities</w:t>
      </w:r>
    </w:p>
    <w:p>
      <w:pPr>
        <w:pStyle w:val="TextBody"/>
        <w:bidi w:val="0"/>
        <w:jc w:val="left"/>
        <w:rPr/>
      </w:pPr>
      <w:r>
        <w:rPr/>
        <w:t> </w:t>
      </w:r>
    </w:p>
    <w:tbl>
      <w:tblPr>
        <w:tblW w:w="8359" w:type="dxa"/>
        <w:jc w:val="left"/>
        <w:tblInd w:w="0" w:type="dxa"/>
        <w:tblLayout w:type="fixed"/>
        <w:tblCellMar>
          <w:top w:w="28" w:type="dxa"/>
          <w:left w:w="28" w:type="dxa"/>
          <w:bottom w:w="28" w:type="dxa"/>
          <w:right w:w="28" w:type="dxa"/>
        </w:tblCellMar>
      </w:tblPr>
      <w:tblGrid>
        <w:gridCol w:w="3211"/>
        <w:gridCol w:w="146"/>
        <w:gridCol w:w="376"/>
        <w:gridCol w:w="857"/>
        <w:gridCol w:w="295"/>
        <w:gridCol w:w="260"/>
        <w:gridCol w:w="376"/>
        <w:gridCol w:w="670"/>
        <w:gridCol w:w="166"/>
        <w:gridCol w:w="146"/>
        <w:gridCol w:w="269"/>
        <w:gridCol w:w="482"/>
        <w:gridCol w:w="166"/>
        <w:gridCol w:w="146"/>
        <w:gridCol w:w="146"/>
        <w:gridCol w:w="316"/>
        <w:gridCol w:w="331"/>
      </w:tblGrid>
      <w:tr>
        <w:trPr/>
        <w:tc>
          <w:tcPr>
            <w:tcW w:w="3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2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28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Change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1" w:type="dxa"/>
            <w:tcBorders/>
            <w:shd w:fill="FFFFFF" w:val="clear"/>
            <w:vAlign w:val="center"/>
          </w:tcPr>
          <w:p>
            <w:pPr>
              <w:pStyle w:val="TableContents"/>
              <w:bidi w:val="0"/>
              <w:spacing w:before="0" w:after="283"/>
              <w:jc w:val="left"/>
              <w:rPr>
                <w:rFonts w:ascii="Arial" w:hAnsi="Arial"/>
                <w:b w:val="false"/>
                <w:i/>
                <w:color w:val="000000"/>
                <w:sz w:val="16"/>
              </w:rPr>
            </w:pPr>
            <w:r>
              <w:rPr>
                <w:rFonts w:ascii="Arial" w:hAnsi="Arial"/>
                <w:b w:val="false"/>
                <w:i/>
                <w:color w:val="000000"/>
                <w:sz w:val="16"/>
              </w:rPr>
              <w:t>(In thousands)</w:t>
            </w:r>
          </w:p>
        </w:tc>
        <w:tc>
          <w:tcPr>
            <w:tcW w:w="146" w:type="dxa"/>
            <w:tcBorders/>
            <w:shd w:fill="FFFFFF" w:val="clear"/>
            <w:vAlign w:val="center"/>
          </w:tcPr>
          <w:p>
            <w:pPr>
              <w:pStyle w:val="TableContents"/>
              <w:bidi w:val="0"/>
              <w:spacing w:before="0" w:after="283"/>
              <w:jc w:val="center"/>
              <w:rPr/>
            </w:pPr>
            <w:r>
              <w:rPr/>
              <w:t> </w:t>
            </w:r>
          </w:p>
        </w:tc>
        <w:tc>
          <w:tcPr>
            <w:tcW w:w="12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0" w:type="dxa"/>
            <w:tcBorders/>
            <w:shd w:fill="FFFFFF" w:val="clear"/>
            <w:vAlign w:val="center"/>
          </w:tcPr>
          <w:p>
            <w:pPr>
              <w:pStyle w:val="TableContents"/>
              <w:bidi w:val="0"/>
              <w:spacing w:before="0" w:after="283"/>
              <w:jc w:val="center"/>
              <w:rPr/>
            </w:pPr>
            <w:r>
              <w:rPr/>
              <w:t> </w:t>
            </w:r>
          </w:p>
        </w:tc>
        <w:tc>
          <w:tcPr>
            <w:tcW w:w="10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Unrealized loss on equity securities</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57"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(148</w:t>
            </w:r>
          </w:p>
        </w:tc>
        <w:tc>
          <w:tcPr>
            <w:tcW w:w="295"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260"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670"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(75</w:t>
            </w:r>
          </w:p>
        </w:tc>
        <w:tc>
          <w:tcPr>
            <w:tcW w:w="16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482"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(73</w:t>
            </w:r>
          </w:p>
        </w:tc>
        <w:tc>
          <w:tcPr>
            <w:tcW w:w="16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97</w:t>
            </w:r>
          </w:p>
        </w:tc>
        <w:tc>
          <w:tcPr>
            <w:tcW w:w="33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bl>
    <w:p>
      <w:pPr>
        <w:pStyle w:val="TextBody"/>
        <w:bidi w:val="0"/>
        <w:jc w:val="both"/>
        <w:rPr/>
      </w:pPr>
      <w:r>
        <w:rPr/>
        <w:t> </w:t>
      </w:r>
    </w:p>
    <w:p>
      <w:pPr>
        <w:pStyle w:val="TextBody"/>
        <w:bidi w:val="0"/>
        <w:jc w:val="both"/>
        <w:rPr>
          <w:rFonts w:ascii="Arial" w:hAnsi="Arial"/>
          <w:b w:val="false"/>
          <w:color w:val="000000"/>
          <w:sz w:val="20"/>
        </w:rPr>
      </w:pPr>
      <w:r>
        <w:rPr>
          <w:rFonts w:ascii="Arial" w:hAnsi="Arial"/>
          <w:b w:val="false"/>
          <w:color w:val="000000"/>
          <w:sz w:val="20"/>
        </w:rPr>
        <w:t>Unrealized loss on equity securities increased by $73 thousand, or 97%, to $148 thousand for the nine months ended September 30, 2023 as compared to $75 thousand for the nine months ended September 30, 2022 primarily due to unfavorable market valuations through the first three quarters of 2023 as compared to the first three quarters of 2022.</w:t>
      </w:r>
    </w:p>
    <w:p>
      <w:pPr>
        <w:pStyle w:val="TextBody"/>
        <w:bidi w:val="0"/>
        <w:spacing w:before="240" w:after="283"/>
        <w:jc w:val="both"/>
        <w:rPr>
          <w:rFonts w:ascii="Times New Roman" w:hAnsi="Times New Roman"/>
          <w:sz w:val="20"/>
        </w:rPr>
      </w:pPr>
      <w:r>
        <w:rPr>
          <w:rFonts w:ascii="Arial" w:hAnsi="Arial"/>
          <w:b w:val="false"/>
          <w:i/>
          <w:color w:val="000000"/>
          <w:sz w:val="20"/>
        </w:rPr>
        <w:t>Other Expense</w:t>
      </w:r>
      <w:r>
        <w:rPr>
          <w:rFonts w:ascii="Times New Roman" w:hAnsi="Times New Roman"/>
          <w:color w:val="000000"/>
          <w:sz w:val="20"/>
        </w:rPr>
        <w:t xml:space="preserve"> </w:t>
      </w:r>
    </w:p>
    <w:p>
      <w:pPr>
        <w:pStyle w:val="TextBody"/>
        <w:bidi w:val="0"/>
        <w:jc w:val="left"/>
        <w:rPr/>
      </w:pPr>
      <w:r>
        <w:rPr/>
        <w:t> </w:t>
      </w:r>
    </w:p>
    <w:tbl>
      <w:tblPr>
        <w:tblW w:w="7249" w:type="dxa"/>
        <w:jc w:val="left"/>
        <w:tblInd w:w="0" w:type="dxa"/>
        <w:tblLayout w:type="fixed"/>
        <w:tblCellMar>
          <w:top w:w="28" w:type="dxa"/>
          <w:left w:w="28" w:type="dxa"/>
          <w:bottom w:w="28" w:type="dxa"/>
          <w:right w:w="28" w:type="dxa"/>
        </w:tblCellMar>
      </w:tblPr>
      <w:tblGrid>
        <w:gridCol w:w="1786"/>
        <w:gridCol w:w="146"/>
        <w:gridCol w:w="321"/>
        <w:gridCol w:w="984"/>
        <w:gridCol w:w="252"/>
        <w:gridCol w:w="222"/>
        <w:gridCol w:w="321"/>
        <w:gridCol w:w="733"/>
        <w:gridCol w:w="166"/>
        <w:gridCol w:w="146"/>
        <w:gridCol w:w="211"/>
        <w:gridCol w:w="646"/>
        <w:gridCol w:w="166"/>
        <w:gridCol w:w="146"/>
        <w:gridCol w:w="146"/>
        <w:gridCol w:w="526"/>
        <w:gridCol w:w="331"/>
      </w:tblGrid>
      <w:tr>
        <w:trPr/>
        <w:tc>
          <w:tcPr>
            <w:tcW w:w="1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78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283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Change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86" w:type="dxa"/>
            <w:tcBorders/>
            <w:shd w:fill="FFFFFF" w:val="clear"/>
            <w:vAlign w:val="center"/>
          </w:tcPr>
          <w:p>
            <w:pPr>
              <w:pStyle w:val="TableContents"/>
              <w:bidi w:val="0"/>
              <w:spacing w:before="0" w:after="283"/>
              <w:jc w:val="left"/>
              <w:rPr>
                <w:rFonts w:ascii="Arial" w:hAnsi="Arial"/>
                <w:b w:val="false"/>
                <w:i/>
                <w:color w:val="000000"/>
                <w:sz w:val="16"/>
              </w:rPr>
            </w:pPr>
            <w:r>
              <w:rPr>
                <w:rFonts w:ascii="Arial" w:hAnsi="Arial"/>
                <w:b w:val="false"/>
                <w:i/>
                <w:color w:val="000000"/>
                <w:sz w:val="16"/>
              </w:rPr>
              <w:t>(In thousands)</w:t>
            </w:r>
          </w:p>
        </w:tc>
        <w:tc>
          <w:tcPr>
            <w:tcW w:w="146" w:type="dxa"/>
            <w:tcBorders/>
            <w:shd w:fill="FFFFFF" w:val="clear"/>
            <w:vAlign w:val="center"/>
          </w:tcPr>
          <w:p>
            <w:pPr>
              <w:pStyle w:val="TableContents"/>
              <w:bidi w:val="0"/>
              <w:spacing w:before="0" w:after="283"/>
              <w:jc w:val="center"/>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2" w:type="dxa"/>
            <w:tcBorders/>
            <w:shd w:fill="FFFFFF" w:val="clear"/>
            <w:vAlign w:val="center"/>
          </w:tcPr>
          <w:p>
            <w:pPr>
              <w:pStyle w:val="TableContents"/>
              <w:bidi w:val="0"/>
              <w:spacing w:before="0" w:after="283"/>
              <w:jc w:val="center"/>
              <w:rPr/>
            </w:pPr>
            <w:r>
              <w:rPr/>
              <w:t> </w:t>
            </w:r>
          </w:p>
        </w:tc>
        <w:tc>
          <w:tcPr>
            <w:tcW w:w="10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8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Other expense, net</w:t>
            </w:r>
          </w:p>
        </w:tc>
        <w:tc>
          <w:tcPr>
            <w:tcW w:w="146" w:type="dxa"/>
            <w:tcBorders/>
            <w:shd w:fill="CFF0FC" w:val="clear"/>
            <w:vAlign w:val="center"/>
          </w:tcPr>
          <w:p>
            <w:pPr>
              <w:pStyle w:val="TableContents"/>
              <w:bidi w:val="0"/>
              <w:spacing w:before="0" w:after="283"/>
              <w:jc w:val="left"/>
              <w:rPr/>
            </w:pPr>
            <w:r>
              <w:rPr/>
              <w:t> </w:t>
            </w:r>
          </w:p>
        </w:tc>
        <w:tc>
          <w:tcPr>
            <w:tcW w:w="32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84"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(6,170</w:t>
            </w:r>
          </w:p>
        </w:tc>
        <w:tc>
          <w:tcPr>
            <w:tcW w:w="252"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222" w:type="dxa"/>
            <w:tcBorders/>
            <w:shd w:fill="CFF0FC" w:val="clear"/>
            <w:vAlign w:val="center"/>
          </w:tcPr>
          <w:p>
            <w:pPr>
              <w:pStyle w:val="TableContents"/>
              <w:bidi w:val="0"/>
              <w:spacing w:before="0" w:after="283"/>
              <w:jc w:val="left"/>
              <w:rPr/>
            </w:pPr>
            <w:r>
              <w:rPr/>
              <w:t> </w:t>
            </w:r>
          </w:p>
        </w:tc>
        <w:tc>
          <w:tcPr>
            <w:tcW w:w="32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33"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(209</w:t>
            </w:r>
          </w:p>
        </w:tc>
        <w:tc>
          <w:tcPr>
            <w:tcW w:w="16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64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(5,961</w:t>
            </w:r>
          </w:p>
        </w:tc>
        <w:tc>
          <w:tcPr>
            <w:tcW w:w="16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2852</w:t>
            </w:r>
          </w:p>
        </w:tc>
        <w:tc>
          <w:tcPr>
            <w:tcW w:w="33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bl>
    <w:p>
      <w:pPr>
        <w:pStyle w:val="TextBody"/>
        <w:bidi w:val="0"/>
        <w:spacing w:before="240" w:after="283"/>
        <w:jc w:val="both"/>
        <w:rPr>
          <w:rFonts w:ascii="Arial" w:hAnsi="Arial"/>
          <w:b w:val="false"/>
          <w:color w:val="000000"/>
          <w:sz w:val="20"/>
        </w:rPr>
      </w:pPr>
      <w:r>
        <w:rPr>
          <w:rFonts w:ascii="Arial" w:hAnsi="Arial"/>
          <w:b w:val="false"/>
          <w:color w:val="000000"/>
          <w:sz w:val="20"/>
        </w:rPr>
        <w:t>Other expense for the nine months ended September 30, 2023 was $6.2 million, an increase of $6.0 million, or 2852%, compared to the nine months ended September 30, 2022. The increase was primarily due to $6.0 million of transaction fees that were incurred with the Business Combination for which we had no comparative activity during the nine months ended September 30, 2022.</w:t>
      </w:r>
    </w:p>
    <w:p>
      <w:pPr>
        <w:pStyle w:val="TextBody"/>
        <w:bidi w:val="0"/>
        <w:spacing w:before="240" w:after="283"/>
        <w:jc w:val="both"/>
        <w:rPr>
          <w:rFonts w:ascii="Times New Roman" w:hAnsi="Times New Roman"/>
          <w:sz w:val="20"/>
        </w:rPr>
      </w:pPr>
      <w:r>
        <w:rPr>
          <w:rFonts w:ascii="Arial" w:hAnsi="Arial"/>
          <w:b/>
          <w:color w:val="000000"/>
          <w:sz w:val="20"/>
        </w:rPr>
        <w:t>Non-GAAP Financial Measures</w:t>
      </w:r>
      <w:r>
        <w:rPr>
          <w:rFonts w:ascii="Times New Roman" w:hAnsi="Times New Roman"/>
          <w:color w:val="000000"/>
          <w:sz w:val="20"/>
        </w:rPr>
        <w:t xml:space="preserve"> </w:t>
      </w:r>
    </w:p>
    <w:p>
      <w:pPr>
        <w:pStyle w:val="TextBody"/>
        <w:bidi w:val="0"/>
        <w:jc w:val="both"/>
        <w:rPr>
          <w:rFonts w:ascii="Arial" w:hAnsi="Arial"/>
          <w:b w:val="false"/>
          <w:color w:val="000000"/>
          <w:sz w:val="20"/>
        </w:rPr>
      </w:pPr>
      <w:r>
        <w:rPr>
          <w:rFonts w:ascii="Arial" w:hAnsi="Arial"/>
          <w:b w:val="false"/>
          <w:color w:val="000000"/>
          <w:sz w:val="20"/>
        </w:rPr>
        <w:t>To supplement our unaudited interim consolidated financial statements, which are prepared and presented in accordance with GAAP, we use certain non-GAAP financial measures, as described below, to understand and evaluate our core operating performance. These non-GAAP financial measures, which may be different than similarly titled measures used by other companies, are presented to enhance investors’ overall understanding of our financial performance and should not be considered a substitute for, or superior to, the financial information prepared and presented in accordance with GAAP.</w:t>
      </w:r>
    </w:p>
    <w:p>
      <w:pPr>
        <w:pStyle w:val="TextBody"/>
        <w:bidi w:val="0"/>
        <w:spacing w:before="240" w:after="283"/>
        <w:jc w:val="both"/>
        <w:rPr>
          <w:rFonts w:ascii="Times New Roman" w:hAnsi="Times New Roman"/>
          <w:sz w:val="20"/>
        </w:rPr>
      </w:pPr>
      <w:r>
        <w:rPr>
          <w:rFonts w:ascii="Arial" w:hAnsi="Arial"/>
          <w:b w:val="false"/>
          <w:color w:val="000000"/>
          <w:sz w:val="20"/>
        </w:rPr>
        <w:t>We use the non-GAAP financial measure Free Cash Flow, which is defined as net cash provided by (used in) operating activities, reduced by purchases of property, plant and equipment. We believe Free Cash Flow is an important liquidity measure of the cash that is available, after capital expenditures, for operational expenses and investment in our business</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b w:val="false"/>
          <w:color w:val="000000"/>
          <w:sz w:val="20"/>
        </w:rPr>
      </w:pPr>
      <w:r>
        <w:rPr>
          <w:rFonts w:ascii="Arial" w:hAnsi="Arial"/>
          <w:b w:val="false"/>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b w:val="false"/>
          <w:color w:val="000000"/>
          <w:sz w:val="20"/>
        </w:rPr>
      </w:pPr>
      <w:r>
        <w:rPr>
          <w:rFonts w:ascii="Arial" w:hAnsi="Arial"/>
          <w:b w:val="false"/>
          <w:color w:val="000000"/>
          <w:sz w:val="20"/>
        </w:rPr>
        <w:t>and is a key financial indicator used by management. Free Cash Flow is useful to investors as a liquidity measure because it measures our ability to generate or use cash. Once our business needs and obligations are met, cash can be used to maintain a strong balance sheet and invest in future growth.</w:t>
      </w:r>
    </w:p>
    <w:p>
      <w:pPr>
        <w:pStyle w:val="TextBody"/>
        <w:bidi w:val="0"/>
        <w:spacing w:before="240" w:after="283"/>
        <w:jc w:val="both"/>
        <w:rPr>
          <w:rFonts w:ascii="Arial" w:hAnsi="Arial"/>
          <w:b w:val="false"/>
          <w:color w:val="000000"/>
          <w:sz w:val="20"/>
        </w:rPr>
      </w:pPr>
      <w:r>
        <w:rPr>
          <w:rFonts w:ascii="Arial" w:hAnsi="Arial"/>
          <w:b w:val="false"/>
          <w:color w:val="000000"/>
          <w:sz w:val="20"/>
        </w:rPr>
        <w:t>We use the non-GAAP financial measure Adjusted EBITDA, which is defined as net income (loss); excluding interest income; interest expense; other income (expense), net; income tax benefit (expense); depreciation and amortization; and certain other non-cash or non-recurring items impacting net income (loss) from time to time. We believe that Adjusted EBITDA helps identify underlying trends in our business that could otherwise be masked by the effect of the expenses that we exclude in Adjusted EBITDA.</w:t>
      </w:r>
    </w:p>
    <w:p>
      <w:pPr>
        <w:pStyle w:val="TextBody"/>
        <w:bidi w:val="0"/>
        <w:spacing w:before="240" w:after="283"/>
        <w:jc w:val="both"/>
        <w:rPr>
          <w:rFonts w:ascii="Arial" w:hAnsi="Arial"/>
          <w:b w:val="false"/>
          <w:color w:val="000000"/>
          <w:sz w:val="20"/>
        </w:rPr>
      </w:pPr>
      <w:r>
        <w:rPr>
          <w:rFonts w:ascii="Arial" w:hAnsi="Arial"/>
          <w:b w:val="false"/>
          <w:color w:val="000000"/>
          <w:sz w:val="20"/>
        </w:rPr>
        <w:t>These non-GAAP financial measures should not be considered in isolation from, or as substitutes for, financial information prepared in accordance with GAAP. There are a number of limitations related to the use of these non-GAAP financial measures compared to the closest comparable GAAP measure. Some of these limitations are that:</w:t>
      </w:r>
    </w:p>
    <w:p>
      <w:pPr>
        <w:pStyle w:val="TextBody"/>
        <w:bidi w:val="0"/>
        <w:spacing w:before="240" w:after="283"/>
        <w:jc w:val="both"/>
        <w:rPr>
          <w:color w:val="000000"/>
        </w:rPr>
      </w:pPr>
      <w:r>
        <w:rPr>
          <w:color w:val="000000"/>
        </w:rPr>
        <w:t>•</w:t>
      </w:r>
    </w:p>
    <w:p>
      <w:pPr>
        <w:pStyle w:val="TextBody"/>
        <w:bidi w:val="0"/>
        <w:spacing w:before="240" w:after="283"/>
        <w:jc w:val="both"/>
        <w:rPr>
          <w:rFonts w:ascii="Arial" w:hAnsi="Arial"/>
          <w:b w:val="false"/>
          <w:color w:val="000000"/>
          <w:sz w:val="20"/>
        </w:rPr>
      </w:pPr>
      <w:r>
        <w:rPr>
          <w:rFonts w:ascii="Arial" w:hAnsi="Arial"/>
          <w:b w:val="false"/>
          <w:color w:val="000000"/>
          <w:sz w:val="20"/>
        </w:rPr>
        <w:t xml:space="preserve">Free Cash Flow does not reflect our future contractual commitments; </w:t>
      </w:r>
    </w:p>
    <w:p>
      <w:pPr>
        <w:pStyle w:val="TextBody"/>
        <w:bidi w:val="0"/>
        <w:spacing w:before="240" w:after="283"/>
        <w:jc w:val="both"/>
        <w:rPr>
          <w:color w:val="000000"/>
        </w:rPr>
      </w:pPr>
      <w:r>
        <w:rPr>
          <w:color w:val="000000"/>
        </w:rPr>
        <w:t>•</w:t>
      </w:r>
    </w:p>
    <w:p>
      <w:pPr>
        <w:pStyle w:val="TextBody"/>
        <w:bidi w:val="0"/>
        <w:spacing w:before="240" w:after="283"/>
        <w:jc w:val="both"/>
        <w:rPr>
          <w:rFonts w:ascii="Arial" w:hAnsi="Arial"/>
          <w:b w:val="false"/>
          <w:color w:val="000000"/>
          <w:sz w:val="20"/>
        </w:rPr>
      </w:pPr>
      <w:r>
        <w:rPr>
          <w:rFonts w:ascii="Arial" w:hAnsi="Arial"/>
          <w:b w:val="false"/>
          <w:color w:val="000000"/>
          <w:sz w:val="20"/>
        </w:rPr>
        <w:t>Adjusted EBITDA excludes certain recurring, non-cash charges such as depreciation of fixed assets and amortization of acquired intangible assets and, although these are non-cash charges, the assets being depreciated and amortized may have to be replaced in the future;</w:t>
      </w:r>
    </w:p>
    <w:p>
      <w:pPr>
        <w:pStyle w:val="TextBody"/>
        <w:bidi w:val="0"/>
        <w:spacing w:before="240" w:after="283"/>
        <w:jc w:val="both"/>
        <w:rPr>
          <w:color w:val="000000"/>
        </w:rPr>
      </w:pPr>
      <w:r>
        <w:rPr>
          <w:color w:val="000000"/>
        </w:rPr>
        <w:t>•</w:t>
      </w:r>
    </w:p>
    <w:p>
      <w:pPr>
        <w:pStyle w:val="TextBody"/>
        <w:bidi w:val="0"/>
        <w:spacing w:before="240" w:after="283"/>
        <w:jc w:val="both"/>
        <w:rPr>
          <w:rFonts w:ascii="Arial" w:hAnsi="Arial"/>
          <w:b w:val="false"/>
          <w:color w:val="000000"/>
          <w:sz w:val="20"/>
        </w:rPr>
      </w:pPr>
      <w:r>
        <w:rPr>
          <w:rFonts w:ascii="Arial" w:hAnsi="Arial"/>
          <w:b w:val="false"/>
          <w:color w:val="000000"/>
          <w:sz w:val="20"/>
        </w:rPr>
        <w:t xml:space="preserve">Adjusted EBITDA excludes income tax benefit (expense). </w:t>
      </w:r>
    </w:p>
    <w:p>
      <w:pPr>
        <w:pStyle w:val="TextBody"/>
        <w:bidi w:val="0"/>
        <w:spacing w:before="240" w:after="283"/>
        <w:jc w:val="both"/>
        <w:rPr>
          <w:rFonts w:ascii="Arial" w:hAnsi="Arial"/>
          <w:b w:val="false"/>
          <w:color w:val="000000"/>
          <w:sz w:val="20"/>
        </w:rPr>
      </w:pPr>
      <w:r>
        <w:rPr>
          <w:rFonts w:ascii="Arial" w:hAnsi="Arial"/>
          <w:b w:val="false"/>
          <w:color w:val="000000"/>
          <w:sz w:val="20"/>
        </w:rPr>
        <w:t>The following table presents a reconciliation of Free Cash Flow to net cash provided by (used in) operating activities for the nine months ended September 30, 2023 and 2022:</w:t>
      </w:r>
    </w:p>
    <w:p>
      <w:pPr>
        <w:pStyle w:val="TextBody"/>
        <w:bidi w:val="0"/>
        <w:jc w:val="both"/>
        <w:rPr/>
      </w:pPr>
      <w:r>
        <w:rPr/>
        <w:t> </w:t>
      </w:r>
    </w:p>
    <w:tbl>
      <w:tblPr>
        <w:tblW w:w="7646" w:type="dxa"/>
        <w:jc w:val="left"/>
        <w:tblInd w:w="0" w:type="dxa"/>
        <w:tblLayout w:type="fixed"/>
        <w:tblCellMar>
          <w:top w:w="28" w:type="dxa"/>
          <w:left w:w="28" w:type="dxa"/>
          <w:bottom w:w="28" w:type="dxa"/>
          <w:right w:w="28" w:type="dxa"/>
        </w:tblCellMar>
      </w:tblPr>
      <w:tblGrid>
        <w:gridCol w:w="4196"/>
        <w:gridCol w:w="146"/>
        <w:gridCol w:w="267"/>
        <w:gridCol w:w="952"/>
        <w:gridCol w:w="210"/>
        <w:gridCol w:w="185"/>
        <w:gridCol w:w="267"/>
        <w:gridCol w:w="952"/>
        <w:gridCol w:w="471"/>
      </w:tblGrid>
      <w:tr>
        <w:trPr/>
        <w:tc>
          <w:tcPr>
            <w:tcW w:w="4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419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283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 September 30,</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i/>
                <w:color w:val="000000"/>
                <w:sz w:val="16"/>
              </w:rPr>
            </w:pPr>
            <w:r>
              <w:rPr>
                <w:rFonts w:ascii="Arial" w:hAnsi="Arial"/>
                <w:b w:val="false"/>
                <w:i/>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center"/>
              <w:rPr/>
            </w:pPr>
            <w:r>
              <w:rPr/>
              <w:t> </w:t>
            </w:r>
          </w:p>
        </w:tc>
        <w:tc>
          <w:tcPr>
            <w:tcW w:w="12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2022</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9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Net cash from operating activities</w:t>
            </w:r>
          </w:p>
        </w:tc>
        <w:tc>
          <w:tcPr>
            <w:tcW w:w="1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52"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17,484</w:t>
            </w:r>
          </w:p>
        </w:tc>
        <w:tc>
          <w:tcPr>
            <w:tcW w:w="210"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52"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5,641</w:t>
            </w:r>
          </w:p>
        </w:tc>
        <w:tc>
          <w:tcPr>
            <w:tcW w:w="471" w:type="dxa"/>
            <w:tcBorders/>
            <w:shd w:fill="CFF0FC" w:val="clear"/>
            <w:vAlign w:val="center"/>
          </w:tcPr>
          <w:p>
            <w:pPr>
              <w:pStyle w:val="TableContents"/>
              <w:bidi w:val="0"/>
              <w:spacing w:before="0" w:after="283"/>
              <w:jc w:val="left"/>
              <w:rPr/>
            </w:pPr>
            <w:r>
              <w:rPr/>
              <w:t> </w:t>
            </w:r>
          </w:p>
        </w:tc>
      </w:tr>
      <w:tr>
        <w:trPr/>
        <w:tc>
          <w:tcPr>
            <w:tcW w:w="419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Less:</w:t>
            </w:r>
          </w:p>
        </w:tc>
        <w:tc>
          <w:tcPr>
            <w:tcW w:w="146" w:type="dxa"/>
            <w:tcBorders/>
            <w:shd w:fill="FFFFFF" w:val="clear"/>
            <w:vAlign w:val="center"/>
          </w:tcPr>
          <w:p>
            <w:pPr>
              <w:pStyle w:val="TableContents"/>
              <w:bidi w:val="0"/>
              <w:spacing w:before="0" w:after="283"/>
              <w:jc w:val="left"/>
              <w:rPr/>
            </w:pPr>
            <w:r>
              <w:rPr/>
              <w:t> </w:t>
            </w:r>
          </w:p>
        </w:tc>
        <w:tc>
          <w:tcPr>
            <w:tcW w:w="1219" w:type="dxa"/>
            <w:gridSpan w:val="2"/>
            <w:tcBorders/>
            <w:shd w:fill="FFFFFF" w:val="clear"/>
            <w:vAlign w:val="center"/>
          </w:tcPr>
          <w:p>
            <w:pPr>
              <w:pStyle w:val="TableContents"/>
              <w:bidi w:val="0"/>
              <w:spacing w:before="0" w:after="283"/>
              <w:jc w:val="right"/>
              <w:rPr/>
            </w:pPr>
            <w:r>
              <w:rPr/>
              <w:t> </w:t>
            </w:r>
          </w:p>
        </w:tc>
        <w:tc>
          <w:tcPr>
            <w:tcW w:w="210"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1219" w:type="dxa"/>
            <w:gridSpan w:val="2"/>
            <w:tcBorders/>
            <w:shd w:fill="FFFFFF" w:val="clear"/>
            <w:vAlign w:val="center"/>
          </w:tcPr>
          <w:p>
            <w:pPr>
              <w:pStyle w:val="TableContents"/>
              <w:bidi w:val="0"/>
              <w:spacing w:before="0" w:after="283"/>
              <w:jc w:val="right"/>
              <w:rPr/>
            </w:pPr>
            <w:r>
              <w:rPr/>
              <w:t> </w:t>
            </w:r>
          </w:p>
        </w:tc>
        <w:tc>
          <w:tcPr>
            <w:tcW w:w="471" w:type="dxa"/>
            <w:tcBorders/>
            <w:shd w:fill="FFFFFF" w:val="clear"/>
            <w:vAlign w:val="center"/>
          </w:tcPr>
          <w:p>
            <w:pPr>
              <w:pStyle w:val="TableContents"/>
              <w:bidi w:val="0"/>
              <w:spacing w:before="0" w:after="283"/>
              <w:ind w:left="0" w:right="0" w:firstLine="280"/>
              <w:jc w:val="right"/>
              <w:rPr/>
            </w:pPr>
            <w:r>
              <w:rPr/>
              <w:t> </w:t>
            </w:r>
          </w:p>
        </w:tc>
      </w:tr>
      <w:tr>
        <w:trPr/>
        <w:tc>
          <w:tcPr>
            <w:tcW w:w="4196" w:type="dxa"/>
            <w:tcBorders/>
            <w:shd w:fill="CFF0FC"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Purchases of property, plant and equipment</w:t>
            </w:r>
          </w:p>
        </w:tc>
        <w:tc>
          <w:tcPr>
            <w:tcW w:w="146" w:type="dxa"/>
            <w:tcBorders/>
            <w:shd w:fill="CFF0FC" w:val="cle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(36,776</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85" w:type="dxa"/>
            <w:tcBorders/>
            <w:shd w:fill="CFF0FC" w:val="cle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(16,235</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419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Free Cash Flow</w:t>
            </w:r>
          </w:p>
        </w:tc>
        <w:tc>
          <w:tcPr>
            <w:tcW w:w="146" w:type="dxa"/>
            <w:tcBorders/>
            <w:shd w:fill="FFFFFF" w:val="cle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(19,292</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85" w:type="dxa"/>
            <w:tcBorders/>
            <w:shd w:fill="FFFFFF" w:val="cle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(10,594</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bl>
    <w:p>
      <w:pPr>
        <w:pStyle w:val="TextBody"/>
        <w:bidi w:val="0"/>
        <w:jc w:val="both"/>
        <w:rPr/>
      </w:pPr>
      <w:r>
        <w:rPr/>
        <w:t> </w:t>
      </w:r>
    </w:p>
    <w:p>
      <w:pPr>
        <w:pStyle w:val="TextBody"/>
        <w:bidi w:val="0"/>
        <w:jc w:val="both"/>
        <w:rPr>
          <w:rFonts w:ascii="Times New Roman" w:hAnsi="Times New Roman"/>
          <w:sz w:val="20"/>
        </w:rPr>
      </w:pPr>
      <w:r>
        <w:rPr>
          <w:rFonts w:ascii="Arial" w:hAnsi="Arial"/>
          <w:b w:val="false"/>
          <w:color w:val="000000"/>
          <w:sz w:val="20"/>
        </w:rPr>
        <w:t>The following tables present a reconciliation of Adjusted EBITDA to net income (loss) for the three and nine months ended September 30, 2023 and 2022 (non-recurring transaction expenses recorded to other (income) expense are presented separately within Adjusted EBITDA):</w:t>
      </w:r>
      <w:r>
        <w:rPr>
          <w:rFonts w:ascii="Times New Roman" w:hAnsi="Times New Roman"/>
          <w:color w:val="000000"/>
          <w:sz w:val="20"/>
        </w:rPr>
        <w:t xml:space="preserve"> </w:t>
      </w:r>
    </w:p>
    <w:p>
      <w:pPr>
        <w:pStyle w:val="TextBody"/>
        <w:bidi w:val="0"/>
        <w:jc w:val="both"/>
        <w:rPr/>
      </w:pPr>
      <w:r>
        <w:rPr/>
        <w:t> </w:t>
      </w:r>
    </w:p>
    <w:tbl>
      <w:tblPr>
        <w:tblW w:w="7590" w:type="dxa"/>
        <w:jc w:val="left"/>
        <w:tblInd w:w="0" w:type="dxa"/>
        <w:tblLayout w:type="fixed"/>
        <w:tblCellMar>
          <w:top w:w="28" w:type="dxa"/>
          <w:left w:w="28" w:type="dxa"/>
          <w:bottom w:w="28" w:type="dxa"/>
          <w:right w:w="28" w:type="dxa"/>
        </w:tblCellMar>
      </w:tblPr>
      <w:tblGrid>
        <w:gridCol w:w="4031"/>
        <w:gridCol w:w="146"/>
        <w:gridCol w:w="294"/>
        <w:gridCol w:w="964"/>
        <w:gridCol w:w="203"/>
        <w:gridCol w:w="203"/>
        <w:gridCol w:w="294"/>
        <w:gridCol w:w="964"/>
        <w:gridCol w:w="491"/>
      </w:tblGrid>
      <w:tr>
        <w:trPr/>
        <w:tc>
          <w:tcPr>
            <w:tcW w:w="4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03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29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September 30,</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i/>
                <w:color w:val="000000"/>
                <w:sz w:val="16"/>
              </w:rPr>
            </w:pPr>
            <w:r>
              <w:rPr>
                <w:rFonts w:ascii="Arial" w:hAnsi="Arial"/>
                <w:b w:val="false"/>
                <w:i/>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3" w:type="dxa"/>
            <w:tcBorders/>
            <w:shd w:fill="FFFFFF" w:val="clear"/>
            <w:vAlign w:val="center"/>
          </w:tcPr>
          <w:p>
            <w:pPr>
              <w:pStyle w:val="TableContents"/>
              <w:bidi w:val="0"/>
              <w:spacing w:before="0" w:after="283"/>
              <w:jc w:val="center"/>
              <w:rPr/>
            </w:pPr>
            <w:r>
              <w:rPr/>
              <w:t> </w:t>
            </w:r>
          </w:p>
        </w:tc>
        <w:tc>
          <w:tcPr>
            <w:tcW w:w="12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2022</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3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Net income (loss)</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64"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4,287</w:t>
            </w:r>
          </w:p>
        </w:tc>
        <w:tc>
          <w:tcPr>
            <w:tcW w:w="203"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64"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6,996</w:t>
            </w:r>
          </w:p>
        </w:tc>
        <w:tc>
          <w:tcPr>
            <w:tcW w:w="491" w:type="dxa"/>
            <w:tcBorders/>
            <w:shd w:fill="CFF0FC" w:val="clear"/>
            <w:vAlign w:val="center"/>
          </w:tcPr>
          <w:p>
            <w:pPr>
              <w:pStyle w:val="TableContents"/>
              <w:bidi w:val="0"/>
              <w:spacing w:before="0" w:after="283"/>
              <w:jc w:val="left"/>
              <w:rPr/>
            </w:pPr>
            <w:r>
              <w:rPr/>
              <w:t> </w:t>
            </w:r>
          </w:p>
        </w:tc>
      </w:tr>
      <w:tr>
        <w:trPr/>
        <w:tc>
          <w:tcPr>
            <w:tcW w:w="403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Add (deduct):</w:t>
            </w:r>
          </w:p>
        </w:tc>
        <w:tc>
          <w:tcPr>
            <w:tcW w:w="146" w:type="dxa"/>
            <w:tcBorders/>
            <w:shd w:fill="FFFFFF" w:val="clear"/>
            <w:vAlign w:val="center"/>
          </w:tcPr>
          <w:p>
            <w:pPr>
              <w:pStyle w:val="TableContents"/>
              <w:bidi w:val="0"/>
              <w:spacing w:before="0" w:after="283"/>
              <w:jc w:val="left"/>
              <w:rPr/>
            </w:pPr>
            <w:r>
              <w:rPr/>
              <w:t> </w:t>
            </w:r>
          </w:p>
        </w:tc>
        <w:tc>
          <w:tcPr>
            <w:tcW w:w="1258" w:type="dxa"/>
            <w:gridSpan w:val="2"/>
            <w:tcBorders/>
            <w:shd w:fill="FFFFFF" w:val="clear"/>
            <w:vAlign w:val="center"/>
          </w:tcPr>
          <w:p>
            <w:pPr>
              <w:pStyle w:val="TableContents"/>
              <w:bidi w:val="0"/>
              <w:spacing w:before="0" w:after="283"/>
              <w:jc w:val="right"/>
              <w:rPr/>
            </w:pPr>
            <w:r>
              <w:rPr/>
              <w:t> </w:t>
            </w:r>
          </w:p>
        </w:tc>
        <w:tc>
          <w:tcPr>
            <w:tcW w:w="203" w:type="dxa"/>
            <w:tcBorders/>
            <w:shd w:fill="FFFFFF" w:val="clear"/>
            <w:vAlign w:val="center"/>
          </w:tcPr>
          <w:p>
            <w:pPr>
              <w:pStyle w:val="TableContents"/>
              <w:bidi w:val="0"/>
              <w:spacing w:before="0" w:after="283"/>
              <w:jc w:val="right"/>
              <w:rPr/>
            </w:pPr>
            <w:r>
              <w:rPr/>
              <w:t> </w:t>
            </w:r>
          </w:p>
        </w:tc>
        <w:tc>
          <w:tcPr>
            <w:tcW w:w="203" w:type="dxa"/>
            <w:tcBorders/>
            <w:shd w:fill="FFFFFF" w:val="clear"/>
            <w:vAlign w:val="center"/>
          </w:tcPr>
          <w:p>
            <w:pPr>
              <w:pStyle w:val="TableContents"/>
              <w:bidi w:val="0"/>
              <w:spacing w:before="0" w:after="283"/>
              <w:jc w:val="left"/>
              <w:rPr/>
            </w:pPr>
            <w:r>
              <w:rPr/>
              <w:t> </w:t>
            </w:r>
          </w:p>
        </w:tc>
        <w:tc>
          <w:tcPr>
            <w:tcW w:w="1258" w:type="dxa"/>
            <w:gridSpan w:val="2"/>
            <w:tcBorders/>
            <w:shd w:fill="FFFFFF" w:val="clear"/>
            <w:vAlign w:val="center"/>
          </w:tcPr>
          <w:p>
            <w:pPr>
              <w:pStyle w:val="TableContents"/>
              <w:bidi w:val="0"/>
              <w:spacing w:before="0" w:after="283"/>
              <w:jc w:val="right"/>
              <w:rPr/>
            </w:pPr>
            <w:r>
              <w:rPr/>
              <w:t> </w:t>
            </w:r>
          </w:p>
        </w:tc>
        <w:tc>
          <w:tcPr>
            <w:tcW w:w="491" w:type="dxa"/>
            <w:tcBorders/>
            <w:shd w:fill="FFFFFF" w:val="clear"/>
            <w:vAlign w:val="center"/>
          </w:tcPr>
          <w:p>
            <w:pPr>
              <w:pStyle w:val="TableContents"/>
              <w:bidi w:val="0"/>
              <w:spacing w:before="0" w:after="283"/>
              <w:ind w:left="0" w:right="0" w:firstLine="280"/>
              <w:jc w:val="right"/>
              <w:rPr/>
            </w:pPr>
            <w:r>
              <w:rPr/>
              <w:t> </w:t>
            </w:r>
          </w:p>
        </w:tc>
      </w:tr>
      <w:tr>
        <w:trPr/>
        <w:tc>
          <w:tcPr>
            <w:tcW w:w="4031" w:type="dxa"/>
            <w:tcBorders/>
            <w:shd w:fill="CFF0FC"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Income tax expense</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pPr>
            <w:r>
              <w:rPr/>
              <w:t> </w:t>
            </w:r>
          </w:p>
        </w:tc>
        <w:tc>
          <w:tcPr>
            <w:tcW w:w="964"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2,102</w:t>
            </w:r>
          </w:p>
        </w:tc>
        <w:tc>
          <w:tcPr>
            <w:tcW w:w="203"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pPr>
            <w:r>
              <w:rPr/>
              <w:t> </w:t>
            </w:r>
          </w:p>
        </w:tc>
        <w:tc>
          <w:tcPr>
            <w:tcW w:w="964"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626</w:t>
            </w:r>
          </w:p>
        </w:tc>
        <w:tc>
          <w:tcPr>
            <w:tcW w:w="491" w:type="dxa"/>
            <w:tcBorders/>
            <w:shd w:fill="CFF0FC" w:val="clear"/>
            <w:vAlign w:val="center"/>
          </w:tcPr>
          <w:p>
            <w:pPr>
              <w:pStyle w:val="TableContents"/>
              <w:bidi w:val="0"/>
              <w:spacing w:before="0" w:after="283"/>
              <w:ind w:left="0" w:right="0" w:firstLine="280"/>
              <w:jc w:val="left"/>
              <w:rPr/>
            </w:pPr>
            <w:r>
              <w:rPr/>
              <w:t> </w:t>
            </w:r>
          </w:p>
        </w:tc>
      </w:tr>
      <w:tr>
        <w:trPr/>
        <w:tc>
          <w:tcPr>
            <w:tcW w:w="4031" w:type="dxa"/>
            <w:tcBorders/>
            <w:shd w:fill="FFFFFF"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Depreciation and amortization</w:t>
            </w:r>
          </w:p>
        </w:tc>
        <w:tc>
          <w:tcPr>
            <w:tcW w:w="14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5,303</w:t>
            </w:r>
          </w:p>
        </w:tc>
        <w:tc>
          <w:tcPr>
            <w:tcW w:w="203"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4,820</w:t>
            </w:r>
          </w:p>
        </w:tc>
        <w:tc>
          <w:tcPr>
            <w:tcW w:w="491" w:type="dxa"/>
            <w:tcBorders/>
            <w:shd w:fill="FFFFFF" w:val="clear"/>
            <w:vAlign w:val="center"/>
          </w:tcPr>
          <w:p>
            <w:pPr>
              <w:pStyle w:val="TableContents"/>
              <w:bidi w:val="0"/>
              <w:spacing w:before="0" w:after="283"/>
              <w:ind w:left="0" w:right="0" w:firstLine="280"/>
              <w:jc w:val="left"/>
              <w:rPr/>
            </w:pPr>
            <w:r>
              <w:rPr/>
              <w:t> </w:t>
            </w:r>
          </w:p>
        </w:tc>
      </w:tr>
      <w:tr>
        <w:trPr/>
        <w:tc>
          <w:tcPr>
            <w:tcW w:w="4031" w:type="dxa"/>
            <w:tcBorders/>
            <w:shd w:fill="CFF0FC"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Interest expense, net</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pPr>
            <w:r>
              <w:rPr/>
              <w:t> </w:t>
            </w:r>
          </w:p>
        </w:tc>
        <w:tc>
          <w:tcPr>
            <w:tcW w:w="964"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73</w:t>
            </w:r>
          </w:p>
        </w:tc>
        <w:tc>
          <w:tcPr>
            <w:tcW w:w="203"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pPr>
            <w:r>
              <w:rPr/>
              <w:t> </w:t>
            </w:r>
          </w:p>
        </w:tc>
        <w:tc>
          <w:tcPr>
            <w:tcW w:w="964"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45</w:t>
            </w:r>
          </w:p>
        </w:tc>
        <w:tc>
          <w:tcPr>
            <w:tcW w:w="491" w:type="dxa"/>
            <w:tcBorders/>
            <w:shd w:fill="CFF0FC" w:val="clear"/>
            <w:vAlign w:val="center"/>
          </w:tcPr>
          <w:p>
            <w:pPr>
              <w:pStyle w:val="TableContents"/>
              <w:bidi w:val="0"/>
              <w:spacing w:before="0" w:after="283"/>
              <w:ind w:left="0" w:right="0" w:firstLine="280"/>
              <w:jc w:val="left"/>
              <w:rPr/>
            </w:pPr>
            <w:r>
              <w:rPr/>
              <w:t> </w:t>
            </w:r>
          </w:p>
        </w:tc>
      </w:tr>
      <w:tr>
        <w:trPr/>
        <w:tc>
          <w:tcPr>
            <w:tcW w:w="4031" w:type="dxa"/>
            <w:tcBorders/>
            <w:shd w:fill="FFFFFF"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Monitoring fees</w:t>
            </w:r>
          </w:p>
        </w:tc>
        <w:tc>
          <w:tcPr>
            <w:tcW w:w="14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295</w:t>
            </w:r>
          </w:p>
        </w:tc>
        <w:tc>
          <w:tcPr>
            <w:tcW w:w="203"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123</w:t>
            </w:r>
          </w:p>
        </w:tc>
        <w:tc>
          <w:tcPr>
            <w:tcW w:w="491" w:type="dxa"/>
            <w:tcBorders/>
            <w:shd w:fill="FFFFFF" w:val="clear"/>
            <w:vAlign w:val="center"/>
          </w:tcPr>
          <w:p>
            <w:pPr>
              <w:pStyle w:val="TableContents"/>
              <w:bidi w:val="0"/>
              <w:spacing w:before="0" w:after="283"/>
              <w:ind w:left="0" w:right="0" w:firstLine="280"/>
              <w:jc w:val="left"/>
              <w:rPr/>
            </w:pPr>
            <w:r>
              <w:rPr/>
              <w:t> </w:t>
            </w:r>
          </w:p>
        </w:tc>
      </w:tr>
      <w:tr>
        <w:trPr/>
        <w:tc>
          <w:tcPr>
            <w:tcW w:w="4031" w:type="dxa"/>
            <w:tcBorders/>
            <w:shd w:fill="CFF0FC"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Gain on sale of property</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pPr>
            <w:r>
              <w:rPr/>
              <w:t> </w:t>
            </w:r>
          </w:p>
        </w:tc>
        <w:tc>
          <w:tcPr>
            <w:tcW w:w="964" w:type="dxa"/>
            <w:tcBorders/>
            <w:shd w:fill="CFF0FC" w:val="clear"/>
            <w:vAlign w:val="center"/>
          </w:tcPr>
          <w:p>
            <w:pPr>
              <w:pStyle w:val="TableContents"/>
              <w:bidi w:val="0"/>
              <w:spacing w:before="0" w:after="283"/>
              <w:jc w:val="right"/>
              <w:rPr>
                <w:color w:val="000000"/>
              </w:rPr>
            </w:pPr>
            <w:r>
              <w:rPr>
                <w:color w:val="000000"/>
              </w:rPr>
              <w:t>—</w:t>
            </w:r>
          </w:p>
        </w:tc>
        <w:tc>
          <w:tcPr>
            <w:tcW w:w="203"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pPr>
            <w:r>
              <w:rPr/>
              <w:t> </w:t>
            </w:r>
          </w:p>
        </w:tc>
        <w:tc>
          <w:tcPr>
            <w:tcW w:w="964"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(102</w:t>
            </w:r>
          </w:p>
        </w:tc>
        <w:tc>
          <w:tcPr>
            <w:tcW w:w="491" w:type="dxa"/>
            <w:tcBorders/>
            <w:shd w:fill="CFF0FC" w:val="clear"/>
            <w:vAlign w:val="center"/>
          </w:tcPr>
          <w:p>
            <w:pPr>
              <w:pStyle w:val="TableContents"/>
              <w:bidi w:val="0"/>
              <w:spacing w:before="0" w:after="283"/>
              <w:ind w:left="0" w:right="0" w:firstLine="280"/>
              <w:jc w:val="left"/>
              <w:rPr>
                <w:rFonts w:ascii="Arial" w:hAnsi="Arial"/>
                <w:b w:val="false"/>
                <w:color w:val="000000"/>
                <w:sz w:val="20"/>
              </w:rPr>
            </w:pPr>
            <w:r>
              <w:rPr>
                <w:rFonts w:ascii="Arial" w:hAnsi="Arial"/>
                <w:b w:val="false"/>
                <w:color w:val="000000"/>
                <w:sz w:val="20"/>
              </w:rPr>
              <w:t>)</w:t>
            </w:r>
          </w:p>
        </w:tc>
      </w:tr>
      <w:tr>
        <w:trPr/>
        <w:tc>
          <w:tcPr>
            <w:tcW w:w="4031" w:type="dxa"/>
            <w:tcBorders/>
            <w:shd w:fill="FFFFFF"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Unrealized (gain) loss on equity securities</w:t>
            </w:r>
          </w:p>
        </w:tc>
        <w:tc>
          <w:tcPr>
            <w:tcW w:w="14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535</w:t>
            </w:r>
          </w:p>
        </w:tc>
        <w:tc>
          <w:tcPr>
            <w:tcW w:w="203"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398</w:t>
            </w:r>
          </w:p>
        </w:tc>
        <w:tc>
          <w:tcPr>
            <w:tcW w:w="491" w:type="dxa"/>
            <w:tcBorders/>
            <w:shd w:fill="FFFFFF" w:val="clear"/>
            <w:vAlign w:val="center"/>
          </w:tcPr>
          <w:p>
            <w:pPr>
              <w:pStyle w:val="TableContents"/>
              <w:bidi w:val="0"/>
              <w:spacing w:before="0" w:after="283"/>
              <w:ind w:left="0" w:right="0" w:firstLine="280"/>
              <w:jc w:val="left"/>
              <w:rPr/>
            </w:pPr>
            <w:r>
              <w:rPr/>
              <w:t> </w:t>
            </w:r>
          </w:p>
        </w:tc>
      </w:tr>
      <w:tr>
        <w:trPr/>
        <w:tc>
          <w:tcPr>
            <w:tcW w:w="4031" w:type="dxa"/>
            <w:tcBorders/>
            <w:shd w:fill="CFF0FC"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Transaction expense</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pPr>
            <w:r>
              <w:rPr/>
              <w:t> </w:t>
            </w:r>
          </w:p>
        </w:tc>
        <w:tc>
          <w:tcPr>
            <w:tcW w:w="964"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124</w:t>
            </w:r>
          </w:p>
        </w:tc>
        <w:tc>
          <w:tcPr>
            <w:tcW w:w="203"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pPr>
            <w:r>
              <w:rPr/>
              <w:t> </w:t>
            </w:r>
          </w:p>
        </w:tc>
        <w:tc>
          <w:tcPr>
            <w:tcW w:w="964" w:type="dxa"/>
            <w:tcBorders/>
            <w:shd w:fill="CFF0FC" w:val="clear"/>
            <w:vAlign w:val="center"/>
          </w:tcPr>
          <w:p>
            <w:pPr>
              <w:pStyle w:val="TableContents"/>
              <w:bidi w:val="0"/>
              <w:spacing w:before="0" w:after="283"/>
              <w:jc w:val="right"/>
              <w:rPr>
                <w:color w:val="000000"/>
              </w:rPr>
            </w:pPr>
            <w:r>
              <w:rPr>
                <w:color w:val="000000"/>
              </w:rPr>
              <w:t>—</w:t>
            </w:r>
          </w:p>
        </w:tc>
        <w:tc>
          <w:tcPr>
            <w:tcW w:w="491" w:type="dxa"/>
            <w:tcBorders/>
            <w:shd w:fill="CFF0FC" w:val="clear"/>
            <w:vAlign w:val="center"/>
          </w:tcPr>
          <w:p>
            <w:pPr>
              <w:pStyle w:val="TableContents"/>
              <w:bidi w:val="0"/>
              <w:spacing w:before="0" w:after="283"/>
              <w:ind w:left="0" w:right="0" w:firstLine="280"/>
              <w:jc w:val="left"/>
              <w:rPr/>
            </w:pPr>
            <w:r>
              <w:rPr/>
              <w:t> </w:t>
            </w:r>
          </w:p>
        </w:tc>
      </w:tr>
      <w:tr>
        <w:trPr/>
        <w:tc>
          <w:tcPr>
            <w:tcW w:w="4031" w:type="dxa"/>
            <w:tcBorders/>
            <w:shd w:fill="FFFFFF"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Other expense, net</w:t>
            </w:r>
          </w:p>
        </w:tc>
        <w:tc>
          <w:tcPr>
            <w:tcW w:w="146" w:type="dxa"/>
            <w:tcBorders/>
            <w:shd w:fill="FFFFFF" w:val="cle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10</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114</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3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Adjusted EBITDA</w:t>
            </w:r>
          </w:p>
        </w:tc>
        <w:tc>
          <w:tcPr>
            <w:tcW w:w="146" w:type="dxa"/>
            <w:tcBorders/>
            <w:shd w:fill="CFF0FC" w:val="clear"/>
            <w:vAlign w:val="center"/>
          </w:tcPr>
          <w:p>
            <w:pPr>
              <w:pStyle w:val="TableContents"/>
              <w:bidi w:val="0"/>
              <w:spacing w:before="0" w:after="283"/>
              <w:jc w:val="lef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12,729</w:t>
            </w:r>
          </w:p>
        </w:tc>
        <w:tc>
          <w:tcPr>
            <w:tcW w:w="2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13,020</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Arial" w:hAnsi="Arial"/>
          <w:b w:val="false"/>
          <w:color w:val="000000"/>
          <w:sz w:val="20"/>
        </w:rPr>
      </w:pPr>
      <w:r>
        <w:rPr>
          <w:rFonts w:ascii="Arial" w:hAnsi="Arial"/>
          <w:b w:val="false"/>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tbl>
      <w:tblPr>
        <w:tblW w:w="6961" w:type="dxa"/>
        <w:jc w:val="left"/>
        <w:tblInd w:w="0" w:type="dxa"/>
        <w:tblLayout w:type="fixed"/>
        <w:tblCellMar>
          <w:top w:w="28" w:type="dxa"/>
          <w:left w:w="28" w:type="dxa"/>
          <w:bottom w:w="28" w:type="dxa"/>
          <w:right w:w="28" w:type="dxa"/>
        </w:tblCellMar>
      </w:tblPr>
      <w:tblGrid>
        <w:gridCol w:w="3491"/>
        <w:gridCol w:w="146"/>
        <w:gridCol w:w="282"/>
        <w:gridCol w:w="926"/>
        <w:gridCol w:w="222"/>
        <w:gridCol w:w="195"/>
        <w:gridCol w:w="282"/>
        <w:gridCol w:w="926"/>
        <w:gridCol w:w="491"/>
      </w:tblGrid>
      <w:tr>
        <w:trPr/>
        <w:tc>
          <w:tcPr>
            <w:tcW w:w="3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4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283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 September 30,</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i/>
                <w:color w:val="000000"/>
                <w:sz w:val="16"/>
              </w:rPr>
            </w:pPr>
            <w:r>
              <w:rPr>
                <w:rFonts w:ascii="Arial" w:hAnsi="Arial"/>
                <w:b w:val="false"/>
                <w:i/>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5" w:type="dxa"/>
            <w:tcBorders/>
            <w:shd w:fill="FFFFFF" w:val="clear"/>
            <w:vAlign w:val="center"/>
          </w:tcPr>
          <w:p>
            <w:pPr>
              <w:pStyle w:val="TableContents"/>
              <w:bidi w:val="0"/>
              <w:spacing w:before="0" w:after="283"/>
              <w:jc w:val="center"/>
              <w:rPr/>
            </w:pPr>
            <w:r>
              <w:rPr/>
              <w:t> </w:t>
            </w:r>
          </w:p>
        </w:tc>
        <w:tc>
          <w:tcPr>
            <w:tcW w:w="12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2022</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Net income (loss)</w:t>
            </w:r>
          </w:p>
        </w:tc>
        <w:tc>
          <w:tcPr>
            <w:tcW w:w="146" w:type="dxa"/>
            <w:tcBorders/>
            <w:shd w:fill="CFF0FC" w:val="clear"/>
            <w:vAlign w:val="center"/>
          </w:tcPr>
          <w:p>
            <w:pPr>
              <w:pStyle w:val="TableContents"/>
              <w:bidi w:val="0"/>
              <w:spacing w:before="0" w:after="283"/>
              <w:jc w:val="left"/>
              <w:rPr/>
            </w:pPr>
            <w:r>
              <w:rPr/>
              <w:t> </w:t>
            </w:r>
          </w:p>
        </w:tc>
        <w:tc>
          <w:tcPr>
            <w:tcW w:w="282"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2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10,925</w:t>
            </w:r>
          </w:p>
        </w:tc>
        <w:tc>
          <w:tcPr>
            <w:tcW w:w="222" w:type="dxa"/>
            <w:tcBorders/>
            <w:shd w:fill="CFF0FC" w:val="clear"/>
            <w:vAlign w:val="center"/>
          </w:tcPr>
          <w:p>
            <w:pPr>
              <w:pStyle w:val="TableContents"/>
              <w:bidi w:val="0"/>
              <w:spacing w:before="0" w:after="283"/>
              <w:jc w:val="left"/>
              <w:rPr/>
            </w:pPr>
            <w:r>
              <w:rPr/>
              <w:t> </w:t>
            </w:r>
          </w:p>
        </w:tc>
        <w:tc>
          <w:tcPr>
            <w:tcW w:w="195" w:type="dxa"/>
            <w:tcBorders/>
            <w:shd w:fill="CFF0FC" w:val="clear"/>
            <w:vAlign w:val="center"/>
          </w:tcPr>
          <w:p>
            <w:pPr>
              <w:pStyle w:val="TableContents"/>
              <w:bidi w:val="0"/>
              <w:spacing w:before="0" w:after="283"/>
              <w:jc w:val="left"/>
              <w:rPr/>
            </w:pPr>
            <w:r>
              <w:rPr/>
              <w:t> </w:t>
            </w:r>
          </w:p>
        </w:tc>
        <w:tc>
          <w:tcPr>
            <w:tcW w:w="282"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2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14,263</w:t>
            </w:r>
          </w:p>
        </w:tc>
        <w:tc>
          <w:tcPr>
            <w:tcW w:w="491" w:type="dxa"/>
            <w:tcBorders/>
            <w:shd w:fill="CFF0FC" w:val="clear"/>
            <w:vAlign w:val="center"/>
          </w:tcPr>
          <w:p>
            <w:pPr>
              <w:pStyle w:val="TableContents"/>
              <w:bidi w:val="0"/>
              <w:spacing w:before="0" w:after="283"/>
              <w:jc w:val="left"/>
              <w:rPr/>
            </w:pPr>
            <w:r>
              <w:rPr/>
              <w:t> </w:t>
            </w:r>
          </w:p>
        </w:tc>
      </w:tr>
      <w:tr>
        <w:trPr/>
        <w:tc>
          <w:tcPr>
            <w:tcW w:w="349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Add (deduct):</w:t>
            </w:r>
          </w:p>
        </w:tc>
        <w:tc>
          <w:tcPr>
            <w:tcW w:w="146" w:type="dxa"/>
            <w:tcBorders/>
            <w:shd w:fill="FFFFFF" w:val="clear"/>
            <w:vAlign w:val="center"/>
          </w:tcPr>
          <w:p>
            <w:pPr>
              <w:pStyle w:val="TableContents"/>
              <w:bidi w:val="0"/>
              <w:spacing w:before="0" w:after="283"/>
              <w:jc w:val="left"/>
              <w:rPr/>
            </w:pPr>
            <w:r>
              <w:rPr/>
              <w:t> </w:t>
            </w:r>
          </w:p>
        </w:tc>
        <w:tc>
          <w:tcPr>
            <w:tcW w:w="1208" w:type="dxa"/>
            <w:gridSpan w:val="2"/>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jc w:val="right"/>
              <w:rPr/>
            </w:pPr>
            <w:r>
              <w:rPr/>
              <w:t> </w:t>
            </w:r>
          </w:p>
        </w:tc>
        <w:tc>
          <w:tcPr>
            <w:tcW w:w="195" w:type="dxa"/>
            <w:tcBorders/>
            <w:shd w:fill="FFFFFF" w:val="clear"/>
            <w:vAlign w:val="center"/>
          </w:tcPr>
          <w:p>
            <w:pPr>
              <w:pStyle w:val="TableContents"/>
              <w:bidi w:val="0"/>
              <w:spacing w:before="0" w:after="283"/>
              <w:jc w:val="left"/>
              <w:rPr/>
            </w:pPr>
            <w:r>
              <w:rPr/>
              <w:t> </w:t>
            </w:r>
          </w:p>
        </w:tc>
        <w:tc>
          <w:tcPr>
            <w:tcW w:w="1208" w:type="dxa"/>
            <w:gridSpan w:val="2"/>
            <w:tcBorders/>
            <w:shd w:fill="FFFFFF" w:val="clear"/>
            <w:vAlign w:val="center"/>
          </w:tcPr>
          <w:p>
            <w:pPr>
              <w:pStyle w:val="TableContents"/>
              <w:bidi w:val="0"/>
              <w:spacing w:before="0" w:after="283"/>
              <w:jc w:val="right"/>
              <w:rPr/>
            </w:pPr>
            <w:r>
              <w:rPr/>
              <w:t> </w:t>
            </w:r>
          </w:p>
        </w:tc>
        <w:tc>
          <w:tcPr>
            <w:tcW w:w="491" w:type="dxa"/>
            <w:tcBorders/>
            <w:shd w:fill="FFFFFF" w:val="clear"/>
            <w:vAlign w:val="center"/>
          </w:tcPr>
          <w:p>
            <w:pPr>
              <w:pStyle w:val="TableContents"/>
              <w:bidi w:val="0"/>
              <w:spacing w:before="0" w:after="283"/>
              <w:ind w:left="0" w:right="0" w:firstLine="280"/>
              <w:jc w:val="right"/>
              <w:rPr/>
            </w:pPr>
            <w:r>
              <w:rPr/>
              <w:t> </w:t>
            </w:r>
          </w:p>
        </w:tc>
      </w:tr>
      <w:tr>
        <w:trPr/>
        <w:tc>
          <w:tcPr>
            <w:tcW w:w="3491" w:type="dxa"/>
            <w:tcBorders/>
            <w:shd w:fill="CFF0FC"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Income tax expense</w:t>
            </w:r>
          </w:p>
        </w:tc>
        <w:tc>
          <w:tcPr>
            <w:tcW w:w="146" w:type="dxa"/>
            <w:tcBorders/>
            <w:shd w:fill="CFF0FC" w:val="clear"/>
            <w:vAlign w:val="center"/>
          </w:tcPr>
          <w:p>
            <w:pPr>
              <w:pStyle w:val="TableContents"/>
              <w:bidi w:val="0"/>
              <w:spacing w:before="0" w:after="283"/>
              <w:jc w:val="left"/>
              <w:rPr/>
            </w:pPr>
            <w:r>
              <w:rPr/>
              <w:t> </w:t>
            </w:r>
          </w:p>
        </w:tc>
        <w:tc>
          <w:tcPr>
            <w:tcW w:w="282" w:type="dxa"/>
            <w:tcBorders/>
            <w:shd w:fill="CFF0FC" w:val="clear"/>
            <w:vAlign w:val="center"/>
          </w:tcPr>
          <w:p>
            <w:pPr>
              <w:pStyle w:val="TableContents"/>
              <w:bidi w:val="0"/>
              <w:spacing w:before="0" w:after="283"/>
              <w:jc w:val="left"/>
              <w:rPr/>
            </w:pPr>
            <w:r>
              <w:rPr/>
              <w:t> </w:t>
            </w:r>
          </w:p>
        </w:tc>
        <w:tc>
          <w:tcPr>
            <w:tcW w:w="92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5,201</w:t>
            </w:r>
          </w:p>
        </w:tc>
        <w:tc>
          <w:tcPr>
            <w:tcW w:w="222" w:type="dxa"/>
            <w:tcBorders/>
            <w:shd w:fill="CFF0FC" w:val="clear"/>
            <w:vAlign w:val="center"/>
          </w:tcPr>
          <w:p>
            <w:pPr>
              <w:pStyle w:val="TableContents"/>
              <w:bidi w:val="0"/>
              <w:spacing w:before="0" w:after="283"/>
              <w:jc w:val="left"/>
              <w:rPr/>
            </w:pPr>
            <w:r>
              <w:rPr/>
              <w:t> </w:t>
            </w:r>
          </w:p>
        </w:tc>
        <w:tc>
          <w:tcPr>
            <w:tcW w:w="195" w:type="dxa"/>
            <w:tcBorders/>
            <w:shd w:fill="CFF0FC" w:val="clear"/>
            <w:vAlign w:val="center"/>
          </w:tcPr>
          <w:p>
            <w:pPr>
              <w:pStyle w:val="TableContents"/>
              <w:bidi w:val="0"/>
              <w:spacing w:before="0" w:after="283"/>
              <w:jc w:val="left"/>
              <w:rPr/>
            </w:pPr>
            <w:r>
              <w:rPr/>
              <w:t> </w:t>
            </w:r>
          </w:p>
        </w:tc>
        <w:tc>
          <w:tcPr>
            <w:tcW w:w="282" w:type="dxa"/>
            <w:tcBorders/>
            <w:shd w:fill="CFF0FC" w:val="clear"/>
            <w:vAlign w:val="center"/>
          </w:tcPr>
          <w:p>
            <w:pPr>
              <w:pStyle w:val="TableContents"/>
              <w:bidi w:val="0"/>
              <w:spacing w:before="0" w:after="283"/>
              <w:jc w:val="left"/>
              <w:rPr/>
            </w:pPr>
            <w:r>
              <w:rPr/>
              <w:t> </w:t>
            </w:r>
          </w:p>
        </w:tc>
        <w:tc>
          <w:tcPr>
            <w:tcW w:w="92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2,846</w:t>
            </w:r>
          </w:p>
        </w:tc>
        <w:tc>
          <w:tcPr>
            <w:tcW w:w="491" w:type="dxa"/>
            <w:tcBorders/>
            <w:shd w:fill="CFF0FC" w:val="clear"/>
            <w:vAlign w:val="center"/>
          </w:tcPr>
          <w:p>
            <w:pPr>
              <w:pStyle w:val="TableContents"/>
              <w:bidi w:val="0"/>
              <w:spacing w:before="0" w:after="283"/>
              <w:ind w:left="0" w:right="0" w:firstLine="280"/>
              <w:jc w:val="left"/>
              <w:rPr/>
            </w:pPr>
            <w:r>
              <w:rPr/>
              <w:t> </w:t>
            </w:r>
          </w:p>
        </w:tc>
      </w:tr>
      <w:tr>
        <w:trPr/>
        <w:tc>
          <w:tcPr>
            <w:tcW w:w="3491" w:type="dxa"/>
            <w:tcBorders/>
            <w:shd w:fill="FFFFFF"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Depreciation and amortization</w:t>
            </w:r>
          </w:p>
        </w:tc>
        <w:tc>
          <w:tcPr>
            <w:tcW w:w="146"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15,035</w:t>
            </w:r>
          </w:p>
        </w:tc>
        <w:tc>
          <w:tcPr>
            <w:tcW w:w="222"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14,782</w:t>
            </w:r>
          </w:p>
        </w:tc>
        <w:tc>
          <w:tcPr>
            <w:tcW w:w="491" w:type="dxa"/>
            <w:tcBorders/>
            <w:shd w:fill="FFFFFF" w:val="clear"/>
            <w:vAlign w:val="center"/>
          </w:tcPr>
          <w:p>
            <w:pPr>
              <w:pStyle w:val="TableContents"/>
              <w:bidi w:val="0"/>
              <w:spacing w:before="0" w:after="283"/>
              <w:ind w:left="0" w:right="0" w:firstLine="280"/>
              <w:jc w:val="left"/>
              <w:rPr/>
            </w:pPr>
            <w:r>
              <w:rPr/>
              <w:t> </w:t>
            </w:r>
          </w:p>
        </w:tc>
      </w:tr>
      <w:tr>
        <w:trPr/>
        <w:tc>
          <w:tcPr>
            <w:tcW w:w="3491" w:type="dxa"/>
            <w:tcBorders/>
            <w:shd w:fill="CFF0FC"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Interest (income) expense, net</w:t>
            </w:r>
          </w:p>
        </w:tc>
        <w:tc>
          <w:tcPr>
            <w:tcW w:w="146" w:type="dxa"/>
            <w:tcBorders/>
            <w:shd w:fill="CFF0FC" w:val="clear"/>
            <w:vAlign w:val="center"/>
          </w:tcPr>
          <w:p>
            <w:pPr>
              <w:pStyle w:val="TableContents"/>
              <w:bidi w:val="0"/>
              <w:spacing w:before="0" w:after="283"/>
              <w:jc w:val="left"/>
              <w:rPr/>
            </w:pPr>
            <w:r>
              <w:rPr/>
              <w:t> </w:t>
            </w:r>
          </w:p>
        </w:tc>
        <w:tc>
          <w:tcPr>
            <w:tcW w:w="282" w:type="dxa"/>
            <w:tcBorders/>
            <w:shd w:fill="CFF0FC" w:val="clear"/>
            <w:vAlign w:val="center"/>
          </w:tcPr>
          <w:p>
            <w:pPr>
              <w:pStyle w:val="TableContents"/>
              <w:bidi w:val="0"/>
              <w:spacing w:before="0" w:after="283"/>
              <w:jc w:val="left"/>
              <w:rPr/>
            </w:pPr>
            <w:r>
              <w:rPr/>
              <w:t> </w:t>
            </w:r>
          </w:p>
        </w:tc>
        <w:tc>
          <w:tcPr>
            <w:tcW w:w="92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995</w:t>
            </w:r>
          </w:p>
        </w:tc>
        <w:tc>
          <w:tcPr>
            <w:tcW w:w="222" w:type="dxa"/>
            <w:tcBorders/>
            <w:shd w:fill="CFF0FC" w:val="clear"/>
            <w:vAlign w:val="center"/>
          </w:tcPr>
          <w:p>
            <w:pPr>
              <w:pStyle w:val="TableContents"/>
              <w:bidi w:val="0"/>
              <w:spacing w:before="0" w:after="283"/>
              <w:jc w:val="left"/>
              <w:rPr/>
            </w:pPr>
            <w:r>
              <w:rPr/>
              <w:t> </w:t>
            </w:r>
          </w:p>
        </w:tc>
        <w:tc>
          <w:tcPr>
            <w:tcW w:w="195" w:type="dxa"/>
            <w:tcBorders/>
            <w:shd w:fill="CFF0FC" w:val="clear"/>
            <w:vAlign w:val="center"/>
          </w:tcPr>
          <w:p>
            <w:pPr>
              <w:pStyle w:val="TableContents"/>
              <w:bidi w:val="0"/>
              <w:spacing w:before="0" w:after="283"/>
              <w:jc w:val="left"/>
              <w:rPr/>
            </w:pPr>
            <w:r>
              <w:rPr/>
              <w:t> </w:t>
            </w:r>
          </w:p>
        </w:tc>
        <w:tc>
          <w:tcPr>
            <w:tcW w:w="282" w:type="dxa"/>
            <w:tcBorders/>
            <w:shd w:fill="CFF0FC" w:val="clear"/>
            <w:vAlign w:val="center"/>
          </w:tcPr>
          <w:p>
            <w:pPr>
              <w:pStyle w:val="TableContents"/>
              <w:bidi w:val="0"/>
              <w:spacing w:before="0" w:after="283"/>
              <w:jc w:val="left"/>
              <w:rPr/>
            </w:pPr>
            <w:r>
              <w:rPr/>
              <w:t> </w:t>
            </w:r>
          </w:p>
        </w:tc>
        <w:tc>
          <w:tcPr>
            <w:tcW w:w="92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41</w:t>
            </w:r>
          </w:p>
        </w:tc>
        <w:tc>
          <w:tcPr>
            <w:tcW w:w="491" w:type="dxa"/>
            <w:tcBorders/>
            <w:shd w:fill="CFF0FC" w:val="clear"/>
            <w:vAlign w:val="center"/>
          </w:tcPr>
          <w:p>
            <w:pPr>
              <w:pStyle w:val="TableContents"/>
              <w:bidi w:val="0"/>
              <w:spacing w:before="0" w:after="283"/>
              <w:ind w:left="0" w:right="0" w:firstLine="280"/>
              <w:jc w:val="left"/>
              <w:rPr/>
            </w:pPr>
            <w:r>
              <w:rPr/>
              <w:t> </w:t>
            </w:r>
          </w:p>
        </w:tc>
      </w:tr>
      <w:tr>
        <w:trPr/>
        <w:tc>
          <w:tcPr>
            <w:tcW w:w="3491" w:type="dxa"/>
            <w:tcBorders/>
            <w:shd w:fill="FFFFFF"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Stock option expense</w:t>
            </w:r>
          </w:p>
        </w:tc>
        <w:tc>
          <w:tcPr>
            <w:tcW w:w="146"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1,661</w:t>
            </w:r>
          </w:p>
        </w:tc>
        <w:tc>
          <w:tcPr>
            <w:tcW w:w="222"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right"/>
              <w:rPr>
                <w:color w:val="000000"/>
              </w:rPr>
            </w:pPr>
            <w:r>
              <w:rPr>
                <w:color w:val="000000"/>
              </w:rPr>
              <w:t>—</w:t>
            </w:r>
          </w:p>
        </w:tc>
        <w:tc>
          <w:tcPr>
            <w:tcW w:w="491" w:type="dxa"/>
            <w:tcBorders/>
            <w:shd w:fill="FFFFFF" w:val="clear"/>
            <w:vAlign w:val="center"/>
          </w:tcPr>
          <w:p>
            <w:pPr>
              <w:pStyle w:val="TableContents"/>
              <w:bidi w:val="0"/>
              <w:spacing w:before="0" w:after="283"/>
              <w:ind w:left="0" w:right="0" w:firstLine="280"/>
              <w:jc w:val="left"/>
              <w:rPr/>
            </w:pPr>
            <w:r>
              <w:rPr/>
              <w:t> </w:t>
            </w:r>
          </w:p>
        </w:tc>
      </w:tr>
      <w:tr>
        <w:trPr/>
        <w:tc>
          <w:tcPr>
            <w:tcW w:w="3491" w:type="dxa"/>
            <w:tcBorders/>
            <w:shd w:fill="CFF0FC"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Monitoring fees</w:t>
            </w:r>
          </w:p>
        </w:tc>
        <w:tc>
          <w:tcPr>
            <w:tcW w:w="146" w:type="dxa"/>
            <w:tcBorders/>
            <w:shd w:fill="CFF0FC" w:val="clear"/>
            <w:vAlign w:val="center"/>
          </w:tcPr>
          <w:p>
            <w:pPr>
              <w:pStyle w:val="TableContents"/>
              <w:bidi w:val="0"/>
              <w:spacing w:before="0" w:after="283"/>
              <w:jc w:val="left"/>
              <w:rPr/>
            </w:pPr>
            <w:r>
              <w:rPr/>
              <w:t> </w:t>
            </w:r>
          </w:p>
        </w:tc>
        <w:tc>
          <w:tcPr>
            <w:tcW w:w="282" w:type="dxa"/>
            <w:tcBorders/>
            <w:shd w:fill="CFF0FC" w:val="clear"/>
            <w:vAlign w:val="center"/>
          </w:tcPr>
          <w:p>
            <w:pPr>
              <w:pStyle w:val="TableContents"/>
              <w:bidi w:val="0"/>
              <w:spacing w:before="0" w:after="283"/>
              <w:jc w:val="left"/>
              <w:rPr/>
            </w:pPr>
            <w:r>
              <w:rPr/>
              <w:t> </w:t>
            </w:r>
          </w:p>
        </w:tc>
        <w:tc>
          <w:tcPr>
            <w:tcW w:w="92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773</w:t>
            </w:r>
          </w:p>
        </w:tc>
        <w:tc>
          <w:tcPr>
            <w:tcW w:w="222" w:type="dxa"/>
            <w:tcBorders/>
            <w:shd w:fill="CFF0FC" w:val="clear"/>
            <w:vAlign w:val="center"/>
          </w:tcPr>
          <w:p>
            <w:pPr>
              <w:pStyle w:val="TableContents"/>
              <w:bidi w:val="0"/>
              <w:spacing w:before="0" w:after="283"/>
              <w:jc w:val="left"/>
              <w:rPr/>
            </w:pPr>
            <w:r>
              <w:rPr/>
              <w:t> </w:t>
            </w:r>
          </w:p>
        </w:tc>
        <w:tc>
          <w:tcPr>
            <w:tcW w:w="195" w:type="dxa"/>
            <w:tcBorders/>
            <w:shd w:fill="CFF0FC" w:val="clear"/>
            <w:vAlign w:val="center"/>
          </w:tcPr>
          <w:p>
            <w:pPr>
              <w:pStyle w:val="TableContents"/>
              <w:bidi w:val="0"/>
              <w:spacing w:before="0" w:after="283"/>
              <w:jc w:val="left"/>
              <w:rPr/>
            </w:pPr>
            <w:r>
              <w:rPr/>
              <w:t> </w:t>
            </w:r>
          </w:p>
        </w:tc>
        <w:tc>
          <w:tcPr>
            <w:tcW w:w="282" w:type="dxa"/>
            <w:tcBorders/>
            <w:shd w:fill="CFF0FC" w:val="clear"/>
            <w:vAlign w:val="center"/>
          </w:tcPr>
          <w:p>
            <w:pPr>
              <w:pStyle w:val="TableContents"/>
              <w:bidi w:val="0"/>
              <w:spacing w:before="0" w:after="283"/>
              <w:jc w:val="left"/>
              <w:rPr/>
            </w:pPr>
            <w:r>
              <w:rPr/>
              <w:t> </w:t>
            </w:r>
          </w:p>
        </w:tc>
        <w:tc>
          <w:tcPr>
            <w:tcW w:w="92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294</w:t>
            </w:r>
          </w:p>
        </w:tc>
        <w:tc>
          <w:tcPr>
            <w:tcW w:w="491" w:type="dxa"/>
            <w:tcBorders/>
            <w:shd w:fill="CFF0FC" w:val="clear"/>
            <w:vAlign w:val="center"/>
          </w:tcPr>
          <w:p>
            <w:pPr>
              <w:pStyle w:val="TableContents"/>
              <w:bidi w:val="0"/>
              <w:spacing w:before="0" w:after="283"/>
              <w:ind w:left="0" w:right="0" w:firstLine="280"/>
              <w:jc w:val="left"/>
              <w:rPr/>
            </w:pPr>
            <w:r>
              <w:rPr/>
              <w:t> </w:t>
            </w:r>
          </w:p>
        </w:tc>
      </w:tr>
      <w:tr>
        <w:trPr/>
        <w:tc>
          <w:tcPr>
            <w:tcW w:w="3491" w:type="dxa"/>
            <w:tcBorders/>
            <w:shd w:fill="FFFFFF"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Gain on sale of property</w:t>
            </w:r>
          </w:p>
        </w:tc>
        <w:tc>
          <w:tcPr>
            <w:tcW w:w="146"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(68</w:t>
            </w:r>
          </w:p>
        </w:tc>
        <w:tc>
          <w:tcPr>
            <w:tcW w:w="222"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95"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(107</w:t>
            </w:r>
          </w:p>
        </w:tc>
        <w:tc>
          <w:tcPr>
            <w:tcW w:w="491" w:type="dxa"/>
            <w:tcBorders/>
            <w:shd w:fill="FFFFFF" w:val="clear"/>
            <w:vAlign w:val="center"/>
          </w:tcPr>
          <w:p>
            <w:pPr>
              <w:pStyle w:val="TableContents"/>
              <w:bidi w:val="0"/>
              <w:spacing w:before="0" w:after="283"/>
              <w:ind w:left="0" w:right="0" w:firstLine="280"/>
              <w:jc w:val="left"/>
              <w:rPr>
                <w:rFonts w:ascii="Arial" w:hAnsi="Arial"/>
                <w:b w:val="false"/>
                <w:color w:val="000000"/>
                <w:sz w:val="20"/>
              </w:rPr>
            </w:pPr>
            <w:r>
              <w:rPr>
                <w:rFonts w:ascii="Arial" w:hAnsi="Arial"/>
                <w:b w:val="false"/>
                <w:color w:val="000000"/>
                <w:sz w:val="20"/>
              </w:rPr>
              <w:t>)</w:t>
            </w:r>
          </w:p>
        </w:tc>
      </w:tr>
      <w:tr>
        <w:trPr/>
        <w:tc>
          <w:tcPr>
            <w:tcW w:w="3491" w:type="dxa"/>
            <w:tcBorders/>
            <w:shd w:fill="CFF0FC"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Unrealized gain on equity securities</w:t>
            </w:r>
          </w:p>
        </w:tc>
        <w:tc>
          <w:tcPr>
            <w:tcW w:w="146" w:type="dxa"/>
            <w:tcBorders/>
            <w:shd w:fill="CFF0FC" w:val="clear"/>
            <w:vAlign w:val="center"/>
          </w:tcPr>
          <w:p>
            <w:pPr>
              <w:pStyle w:val="TableContents"/>
              <w:bidi w:val="0"/>
              <w:spacing w:before="0" w:after="283"/>
              <w:jc w:val="left"/>
              <w:rPr/>
            </w:pPr>
            <w:r>
              <w:rPr/>
              <w:t> </w:t>
            </w:r>
          </w:p>
        </w:tc>
        <w:tc>
          <w:tcPr>
            <w:tcW w:w="282" w:type="dxa"/>
            <w:tcBorders/>
            <w:shd w:fill="CFF0FC" w:val="clear"/>
            <w:vAlign w:val="center"/>
          </w:tcPr>
          <w:p>
            <w:pPr>
              <w:pStyle w:val="TableContents"/>
              <w:bidi w:val="0"/>
              <w:spacing w:before="0" w:after="283"/>
              <w:jc w:val="left"/>
              <w:rPr/>
            </w:pPr>
            <w:r>
              <w:rPr/>
              <w:t> </w:t>
            </w:r>
          </w:p>
        </w:tc>
        <w:tc>
          <w:tcPr>
            <w:tcW w:w="92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148</w:t>
            </w:r>
          </w:p>
        </w:tc>
        <w:tc>
          <w:tcPr>
            <w:tcW w:w="222" w:type="dxa"/>
            <w:tcBorders/>
            <w:shd w:fill="CFF0FC" w:val="clear"/>
            <w:vAlign w:val="center"/>
          </w:tcPr>
          <w:p>
            <w:pPr>
              <w:pStyle w:val="TableContents"/>
              <w:bidi w:val="0"/>
              <w:spacing w:before="0" w:after="283"/>
              <w:jc w:val="left"/>
              <w:rPr/>
            </w:pPr>
            <w:r>
              <w:rPr/>
              <w:t> </w:t>
            </w:r>
          </w:p>
        </w:tc>
        <w:tc>
          <w:tcPr>
            <w:tcW w:w="195" w:type="dxa"/>
            <w:tcBorders/>
            <w:shd w:fill="CFF0FC" w:val="clear"/>
            <w:vAlign w:val="center"/>
          </w:tcPr>
          <w:p>
            <w:pPr>
              <w:pStyle w:val="TableContents"/>
              <w:bidi w:val="0"/>
              <w:spacing w:before="0" w:after="283"/>
              <w:jc w:val="left"/>
              <w:rPr/>
            </w:pPr>
            <w:r>
              <w:rPr/>
              <w:t> </w:t>
            </w:r>
          </w:p>
        </w:tc>
        <w:tc>
          <w:tcPr>
            <w:tcW w:w="282" w:type="dxa"/>
            <w:tcBorders/>
            <w:shd w:fill="CFF0FC" w:val="clear"/>
            <w:vAlign w:val="center"/>
          </w:tcPr>
          <w:p>
            <w:pPr>
              <w:pStyle w:val="TableContents"/>
              <w:bidi w:val="0"/>
              <w:spacing w:before="0" w:after="283"/>
              <w:jc w:val="left"/>
              <w:rPr/>
            </w:pPr>
            <w:r>
              <w:rPr/>
              <w:t> </w:t>
            </w:r>
          </w:p>
        </w:tc>
        <w:tc>
          <w:tcPr>
            <w:tcW w:w="92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75</w:t>
            </w:r>
          </w:p>
        </w:tc>
        <w:tc>
          <w:tcPr>
            <w:tcW w:w="491" w:type="dxa"/>
            <w:tcBorders/>
            <w:shd w:fill="CFF0FC" w:val="clear"/>
            <w:vAlign w:val="center"/>
          </w:tcPr>
          <w:p>
            <w:pPr>
              <w:pStyle w:val="TableContents"/>
              <w:bidi w:val="0"/>
              <w:spacing w:before="0" w:after="283"/>
              <w:ind w:left="0" w:right="0" w:firstLine="280"/>
              <w:jc w:val="left"/>
              <w:rPr/>
            </w:pPr>
            <w:r>
              <w:rPr/>
              <w:t> </w:t>
            </w:r>
          </w:p>
        </w:tc>
      </w:tr>
      <w:tr>
        <w:trPr/>
        <w:tc>
          <w:tcPr>
            <w:tcW w:w="3491" w:type="dxa"/>
            <w:tcBorders/>
            <w:shd w:fill="FFFFFF"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Transaction expense</w:t>
            </w:r>
          </w:p>
        </w:tc>
        <w:tc>
          <w:tcPr>
            <w:tcW w:w="146"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5,963</w:t>
            </w:r>
          </w:p>
        </w:tc>
        <w:tc>
          <w:tcPr>
            <w:tcW w:w="222"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right"/>
              <w:rPr>
                <w:color w:val="000000"/>
              </w:rPr>
            </w:pPr>
            <w:r>
              <w:rPr>
                <w:color w:val="000000"/>
              </w:rPr>
              <w:t>—</w:t>
            </w:r>
          </w:p>
        </w:tc>
        <w:tc>
          <w:tcPr>
            <w:tcW w:w="491" w:type="dxa"/>
            <w:tcBorders/>
            <w:shd w:fill="FFFFFF" w:val="clear"/>
            <w:vAlign w:val="center"/>
          </w:tcPr>
          <w:p>
            <w:pPr>
              <w:pStyle w:val="TableContents"/>
              <w:bidi w:val="0"/>
              <w:spacing w:before="0" w:after="283"/>
              <w:ind w:left="0" w:right="0" w:firstLine="280"/>
              <w:jc w:val="left"/>
              <w:rPr/>
            </w:pPr>
            <w:r>
              <w:rPr/>
              <w:t> </w:t>
            </w:r>
          </w:p>
        </w:tc>
      </w:tr>
      <w:tr>
        <w:trPr/>
        <w:tc>
          <w:tcPr>
            <w:tcW w:w="3491" w:type="dxa"/>
            <w:tcBorders/>
            <w:shd w:fill="CFF0FC"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ERC credit received</w:t>
            </w:r>
          </w:p>
        </w:tc>
        <w:tc>
          <w:tcPr>
            <w:tcW w:w="146" w:type="dxa"/>
            <w:tcBorders/>
            <w:shd w:fill="CFF0FC" w:val="clear"/>
            <w:vAlign w:val="center"/>
          </w:tcPr>
          <w:p>
            <w:pPr>
              <w:pStyle w:val="TableContents"/>
              <w:bidi w:val="0"/>
              <w:spacing w:before="0" w:after="283"/>
              <w:jc w:val="left"/>
              <w:rPr/>
            </w:pPr>
            <w:r>
              <w:rPr/>
              <w:t> </w:t>
            </w:r>
          </w:p>
        </w:tc>
        <w:tc>
          <w:tcPr>
            <w:tcW w:w="282" w:type="dxa"/>
            <w:tcBorders/>
            <w:shd w:fill="CFF0FC" w:val="clear"/>
            <w:vAlign w:val="center"/>
          </w:tcPr>
          <w:p>
            <w:pPr>
              <w:pStyle w:val="TableContents"/>
              <w:bidi w:val="0"/>
              <w:spacing w:before="0" w:after="283"/>
              <w:jc w:val="left"/>
              <w:rPr/>
            </w:pPr>
            <w:r>
              <w:rPr/>
              <w:t> </w:t>
            </w:r>
          </w:p>
        </w:tc>
        <w:tc>
          <w:tcPr>
            <w:tcW w:w="926" w:type="dxa"/>
            <w:tcBorders/>
            <w:shd w:fill="CFF0FC" w:val="clear"/>
            <w:vAlign w:val="center"/>
          </w:tcPr>
          <w:p>
            <w:pPr>
              <w:pStyle w:val="TableContents"/>
              <w:bidi w:val="0"/>
              <w:spacing w:before="0" w:after="283"/>
              <w:jc w:val="right"/>
              <w:rPr>
                <w:color w:val="000000"/>
              </w:rPr>
            </w:pPr>
            <w:r>
              <w:rPr>
                <w:color w:val="000000"/>
              </w:rPr>
              <w:t>—</w:t>
            </w:r>
          </w:p>
        </w:tc>
        <w:tc>
          <w:tcPr>
            <w:tcW w:w="222" w:type="dxa"/>
            <w:tcBorders/>
            <w:shd w:fill="CFF0FC" w:val="clear"/>
            <w:vAlign w:val="center"/>
          </w:tcPr>
          <w:p>
            <w:pPr>
              <w:pStyle w:val="TableContents"/>
              <w:bidi w:val="0"/>
              <w:spacing w:before="0" w:after="283"/>
              <w:jc w:val="left"/>
              <w:rPr/>
            </w:pPr>
            <w:r>
              <w:rPr/>
              <w:t> </w:t>
            </w:r>
          </w:p>
        </w:tc>
        <w:tc>
          <w:tcPr>
            <w:tcW w:w="195" w:type="dxa"/>
            <w:tcBorders/>
            <w:shd w:fill="CFF0FC" w:val="clear"/>
            <w:vAlign w:val="center"/>
          </w:tcPr>
          <w:p>
            <w:pPr>
              <w:pStyle w:val="TableContents"/>
              <w:bidi w:val="0"/>
              <w:spacing w:before="0" w:after="283"/>
              <w:jc w:val="left"/>
              <w:rPr/>
            </w:pPr>
            <w:r>
              <w:rPr/>
              <w:t> </w:t>
            </w:r>
          </w:p>
        </w:tc>
        <w:tc>
          <w:tcPr>
            <w:tcW w:w="282" w:type="dxa"/>
            <w:tcBorders/>
            <w:shd w:fill="CFF0FC" w:val="clear"/>
            <w:vAlign w:val="center"/>
          </w:tcPr>
          <w:p>
            <w:pPr>
              <w:pStyle w:val="TableContents"/>
              <w:bidi w:val="0"/>
              <w:spacing w:before="0" w:after="283"/>
              <w:jc w:val="left"/>
              <w:rPr/>
            </w:pPr>
            <w:r>
              <w:rPr/>
              <w:t> </w:t>
            </w:r>
          </w:p>
        </w:tc>
        <w:tc>
          <w:tcPr>
            <w:tcW w:w="92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(4,272</w:t>
            </w:r>
          </w:p>
        </w:tc>
        <w:tc>
          <w:tcPr>
            <w:tcW w:w="491" w:type="dxa"/>
            <w:tcBorders/>
            <w:shd w:fill="CFF0FC" w:val="clear"/>
            <w:vAlign w:val="center"/>
          </w:tcPr>
          <w:p>
            <w:pPr>
              <w:pStyle w:val="TableContents"/>
              <w:bidi w:val="0"/>
              <w:spacing w:before="0" w:after="283"/>
              <w:ind w:left="0" w:right="0" w:firstLine="280"/>
              <w:jc w:val="left"/>
              <w:rPr>
                <w:rFonts w:ascii="Arial" w:hAnsi="Arial"/>
                <w:b w:val="false"/>
                <w:color w:val="000000"/>
                <w:sz w:val="20"/>
              </w:rPr>
            </w:pPr>
            <w:r>
              <w:rPr>
                <w:rFonts w:ascii="Arial" w:hAnsi="Arial"/>
                <w:b w:val="false"/>
                <w:color w:val="000000"/>
                <w:sz w:val="20"/>
              </w:rPr>
              <w:t>)</w:t>
            </w:r>
          </w:p>
        </w:tc>
      </w:tr>
      <w:tr>
        <w:trPr/>
        <w:tc>
          <w:tcPr>
            <w:tcW w:w="3491" w:type="dxa"/>
            <w:tcBorders/>
            <w:shd w:fill="FFFFFF"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Other expense, net</w:t>
            </w:r>
          </w:p>
        </w:tc>
        <w:tc>
          <w:tcPr>
            <w:tcW w:w="146" w:type="dxa"/>
            <w:tcBorders/>
            <w:shd w:fill="FFFFFF" w:val="cle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207</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209</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9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Adjusted EBITDA</w:t>
            </w:r>
          </w:p>
        </w:tc>
        <w:tc>
          <w:tcPr>
            <w:tcW w:w="146" w:type="dxa"/>
            <w:tcBorders/>
            <w:shd w:fill="CFF0FC" w:val="clear"/>
            <w:vAlign w:val="center"/>
          </w:tcPr>
          <w:p>
            <w:pPr>
              <w:pStyle w:val="TableContents"/>
              <w:bidi w:val="0"/>
              <w:spacing w:before="0" w:after="283"/>
              <w:jc w:val="left"/>
              <w:rPr/>
            </w:pPr>
            <w:r>
              <w:rPr/>
              <w:t> </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40,840</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5" w:type="dxa"/>
            <w:tcBorders/>
            <w:shd w:fill="CFF0FC" w:val="clear"/>
            <w:vAlign w:val="center"/>
          </w:tcPr>
          <w:p>
            <w:pPr>
              <w:pStyle w:val="TableContents"/>
              <w:bidi w:val="0"/>
              <w:spacing w:before="0" w:after="283"/>
              <w:jc w:val="left"/>
              <w:rPr/>
            </w:pPr>
            <w:r>
              <w:rPr/>
              <w:t> </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28,131</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sz w:val="20"/>
        </w:rPr>
      </w:pPr>
      <w:r>
        <w:rPr>
          <w:rFonts w:ascii="Arial" w:hAnsi="Arial"/>
          <w:b/>
          <w:color w:val="000000"/>
          <w:sz w:val="20"/>
        </w:rPr>
        <w:t>Liquidity and Capital Resources</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Arial" w:hAnsi="Arial"/>
          <w:b w:val="false"/>
          <w:color w:val="000000"/>
          <w:sz w:val="20"/>
        </w:rPr>
        <w:t>At September 30, 2023, we had $4.0 million of cash and cash equivalents. Our primary sources of liquidity and capital resources are cash on hand, cash flows generated by operating activities and, if necessary, borrowings under the Credit Facility Agreement. We may use additional cash generated to execute strategic acquisitions or for general corporate purposes. We believe that our existing cash on hand, cash generated from operations and available borrowings under the Credit Facility Agreement will be sufficient for at least the next 12 months to meet working capital requirements and anticipated capital expenditures.</w:t>
      </w:r>
      <w:r>
        <w:rPr>
          <w:rFonts w:ascii="Times New Roman" w:hAnsi="Times New Roman"/>
          <w:color w:val="000000"/>
          <w:sz w:val="20"/>
        </w:rPr>
        <w:t xml:space="preserve"> </w:t>
      </w:r>
    </w:p>
    <w:p>
      <w:pPr>
        <w:pStyle w:val="TextBody"/>
        <w:bidi w:val="0"/>
        <w:spacing w:before="240" w:after="283"/>
        <w:jc w:val="both"/>
        <w:rPr>
          <w:rFonts w:ascii="Arial" w:hAnsi="Arial"/>
          <w:b w:val="false"/>
          <w:i/>
          <w:color w:val="000000"/>
          <w:sz w:val="20"/>
        </w:rPr>
      </w:pPr>
      <w:r>
        <w:rPr>
          <w:rFonts w:ascii="Arial" w:hAnsi="Arial"/>
          <w:b w:val="false"/>
          <w:i/>
          <w:color w:val="000000"/>
          <w:sz w:val="20"/>
        </w:rPr>
        <w:t>Credit Facility Agreement</w:t>
      </w:r>
    </w:p>
    <w:p>
      <w:pPr>
        <w:pStyle w:val="TextBody"/>
        <w:bidi w:val="0"/>
        <w:spacing w:before="240" w:after="283"/>
        <w:jc w:val="both"/>
        <w:rPr>
          <w:rFonts w:ascii="Times New Roman" w:hAnsi="Times New Roman"/>
          <w:sz w:val="20"/>
        </w:rPr>
      </w:pPr>
      <w:r>
        <w:rPr>
          <w:rFonts w:ascii="Arial" w:hAnsi="Arial"/>
          <w:b w:val="false"/>
          <w:color w:val="000000"/>
          <w:sz w:val="20"/>
        </w:rPr>
        <w:t xml:space="preserve">Reference is made to the disclosure set forth under the heading “Revolving Credit Facility” in Note 7, </w:t>
      </w:r>
      <w:r>
        <w:rPr>
          <w:rFonts w:ascii="Arial" w:hAnsi="Arial"/>
          <w:b w:val="false"/>
          <w:i/>
          <w:color w:val="000000"/>
          <w:sz w:val="20"/>
        </w:rPr>
        <w:t>Revolving Credit Facility</w:t>
      </w:r>
      <w:r>
        <w:rPr>
          <w:rFonts w:ascii="Arial" w:hAnsi="Arial"/>
          <w:b w:val="false"/>
          <w:color w:val="000000"/>
          <w:sz w:val="20"/>
        </w:rPr>
        <w:t>, of the notes to the unaudited condensed consolidated financial statements included elsewhere in this Report (the ”Interim Financial Statements).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i/>
          <w:color w:val="000000"/>
          <w:sz w:val="20"/>
        </w:rPr>
        <w:t>Capital Expenditures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Our capital expenditure relates to capital additions or improvements that add to our rental or repair capacity or extend the useful life of our drilling tools and related infrastructure. Also, our capital expenditures replace tools that are lost or damaged by a customer and these are funded by a rental tool recovery sale amount from the customer. We regularly incur capital expenditures on an on-going basis in order to (i) increase or maintain our rental tool fleet and equipment, (ii) extend the useful life of our rental tools and equipment and (iii) acquire or upgrade computer hardware and software. The amount of our capital expenditures is influenced by, among other things, demand for our services, recovery of lost or damaged tools, schedules for refurbishing our various rental tools and equipment, cash flow generated by our operations, expected rates of return and cash required for other purposes.</w:t>
      </w:r>
      <w:r>
        <w:rPr>
          <w:rFonts w:ascii="Times New Roman" w:hAnsi="Times New Roman"/>
          <w:color w:val="000000"/>
          <w:sz w:val="20"/>
        </w:rPr>
        <w:t xml:space="preserve"> </w:t>
      </w:r>
    </w:p>
    <w:p>
      <w:pPr>
        <w:pStyle w:val="TextBody"/>
        <w:bidi w:val="0"/>
        <w:spacing w:before="240" w:after="283"/>
        <w:jc w:val="both"/>
        <w:rPr>
          <w:rFonts w:ascii="Arial" w:hAnsi="Arial"/>
          <w:b w:val="false"/>
          <w:i/>
          <w:color w:val="000000"/>
          <w:sz w:val="20"/>
        </w:rPr>
      </w:pPr>
      <w:r>
        <w:rPr>
          <w:rFonts w:ascii="Arial" w:hAnsi="Arial"/>
          <w:b w:val="false"/>
          <w:i/>
          <w:color w:val="000000"/>
          <w:sz w:val="20"/>
        </w:rPr>
        <w:t>Contractual Obligations and Commitments</w:t>
      </w:r>
    </w:p>
    <w:p>
      <w:pPr>
        <w:pStyle w:val="TextBody"/>
        <w:bidi w:val="0"/>
        <w:spacing w:before="240" w:after="283"/>
        <w:jc w:val="both"/>
        <w:rPr>
          <w:rFonts w:ascii="Times New Roman" w:hAnsi="Times New Roman"/>
          <w:sz w:val="20"/>
        </w:rPr>
      </w:pPr>
      <w:r>
        <w:rPr>
          <w:rFonts w:ascii="Arial" w:hAnsi="Arial"/>
          <w:b w:val="false"/>
          <w:color w:val="000000"/>
          <w:sz w:val="20"/>
        </w:rPr>
        <w:t xml:space="preserve">Our material contractual obligations arise from leases of facilities and vehicles under noncancelable operating leases agreements. See Note 14, </w:t>
      </w:r>
      <w:r>
        <w:rPr>
          <w:rFonts w:ascii="Arial" w:hAnsi="Arial"/>
          <w:b w:val="false"/>
          <w:i/>
          <w:color w:val="000000"/>
          <w:sz w:val="20"/>
        </w:rPr>
        <w:t xml:space="preserve">Commitments and contingencies, </w:t>
      </w:r>
      <w:r>
        <w:rPr>
          <w:rFonts w:ascii="Arial" w:hAnsi="Arial"/>
          <w:b w:val="false"/>
          <w:color w:val="000000"/>
          <w:sz w:val="20"/>
        </w:rPr>
        <w:t>of the notes to the Interim Financial Statements.</w:t>
      </w:r>
    </w:p>
    <w:p>
      <w:pPr>
        <w:pStyle w:val="TextBody"/>
        <w:bidi w:val="0"/>
        <w:spacing w:before="240" w:after="283"/>
        <w:jc w:val="both"/>
        <w:rPr>
          <w:rFonts w:ascii="Times New Roman" w:hAnsi="Times New Roman"/>
          <w:sz w:val="20"/>
        </w:rPr>
      </w:pPr>
      <w:r>
        <w:rPr>
          <w:rFonts w:ascii="Arial" w:hAnsi="Arial"/>
          <w:b w:val="false"/>
          <w:i/>
          <w:color w:val="000000"/>
          <w:sz w:val="20"/>
        </w:rPr>
        <w:t>Tax Obligations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 xml:space="preserve">We currently have available federal net operating loss carryforwards to offset our federal taxable income, and we expect that these carryforwards will substantially reduce our cash tax payments over the next several years. If we forfeit these carryforwards for any reason or deplete them faster than anticipated, our cash tax obligations could increase substantially. For additional information, see Note 8, </w:t>
      </w:r>
      <w:r>
        <w:rPr>
          <w:rFonts w:ascii="Arial" w:hAnsi="Arial"/>
          <w:b w:val="false"/>
          <w:i/>
          <w:color w:val="000000"/>
          <w:sz w:val="20"/>
        </w:rPr>
        <w:t xml:space="preserve">Income Taxes, </w:t>
      </w:r>
      <w:r>
        <w:rPr>
          <w:rFonts w:ascii="Arial" w:hAnsi="Arial"/>
          <w:b w:val="false"/>
          <w:color w:val="000000"/>
          <w:sz w:val="20"/>
        </w:rPr>
        <w:t>of the notes to the Interim Financial Statements.</w:t>
      </w:r>
    </w:p>
    <w:p>
      <w:pPr>
        <w:pStyle w:val="TextBody"/>
        <w:bidi w:val="0"/>
        <w:jc w:val="center"/>
        <w:rPr/>
      </w:pPr>
      <w:r>
        <w:rPr/>
        <w:t> </w:t>
      </w:r>
    </w:p>
    <w:p>
      <w:pPr>
        <w:pStyle w:val="TextBody"/>
        <w:bidi w:val="0"/>
        <w:jc w:val="center"/>
        <w:rPr>
          <w:rFonts w:ascii="Arial" w:hAnsi="Arial"/>
          <w:b w:val="false"/>
          <w:color w:val="000000"/>
          <w:sz w:val="20"/>
        </w:rPr>
      </w:pPr>
      <w:r>
        <w:rPr>
          <w:rFonts w:ascii="Arial" w:hAnsi="Arial"/>
          <w:b w:val="false"/>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b/>
          <w:color w:val="000000"/>
          <w:sz w:val="20"/>
        </w:rPr>
      </w:pPr>
      <w:r>
        <w:rPr>
          <w:rFonts w:ascii="Arial" w:hAnsi="Arial"/>
          <w:b/>
          <w:color w:val="000000"/>
          <w:sz w:val="20"/>
        </w:rPr>
        <w:t>Cash Flows</w:t>
      </w:r>
    </w:p>
    <w:p>
      <w:pPr>
        <w:pStyle w:val="TextBody"/>
        <w:bidi w:val="0"/>
        <w:jc w:val="both"/>
        <w:rPr>
          <w:rFonts w:ascii="Arial" w:hAnsi="Arial"/>
          <w:b w:val="false"/>
          <w:color w:val="000000"/>
          <w:sz w:val="20"/>
        </w:rPr>
      </w:pPr>
      <w:r>
        <w:rPr>
          <w:rFonts w:ascii="Arial" w:hAnsi="Arial"/>
          <w:b w:val="false"/>
          <w:color w:val="000000"/>
          <w:sz w:val="20"/>
        </w:rPr>
        <w:t>The following table sets forth our cash flows for the period indicated:</w:t>
      </w:r>
    </w:p>
    <w:p>
      <w:pPr>
        <w:pStyle w:val="TextBody"/>
        <w:bidi w:val="0"/>
        <w:jc w:val="both"/>
        <w:rPr/>
      </w:pPr>
      <w:r>
        <w:rPr/>
        <w:t> </w:t>
      </w:r>
    </w:p>
    <w:tbl>
      <w:tblPr>
        <w:tblW w:w="7000" w:type="dxa"/>
        <w:jc w:val="left"/>
        <w:tblInd w:w="0" w:type="dxa"/>
        <w:tblLayout w:type="fixed"/>
        <w:tblCellMar>
          <w:top w:w="28" w:type="dxa"/>
          <w:left w:w="28" w:type="dxa"/>
          <w:bottom w:w="28" w:type="dxa"/>
          <w:right w:w="28" w:type="dxa"/>
        </w:tblCellMar>
      </w:tblPr>
      <w:tblGrid>
        <w:gridCol w:w="3811"/>
        <w:gridCol w:w="146"/>
        <w:gridCol w:w="280"/>
        <w:gridCol w:w="999"/>
        <w:gridCol w:w="220"/>
        <w:gridCol w:w="194"/>
        <w:gridCol w:w="280"/>
        <w:gridCol w:w="859"/>
        <w:gridCol w:w="211"/>
      </w:tblGrid>
      <w:tr>
        <w:trPr/>
        <w:tc>
          <w:tcPr>
            <w:tcW w:w="3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8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28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 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i/>
                <w:color w:val="000000"/>
                <w:sz w:val="16"/>
              </w:rPr>
            </w:pPr>
            <w:r>
              <w:rPr>
                <w:rFonts w:ascii="Arial" w:hAnsi="Arial"/>
                <w:b w:val="false"/>
                <w:i/>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4" w:type="dxa"/>
            <w:tcBorders/>
            <w:shd w:fill="FFFFFF" w:val="clear"/>
            <w:vAlign w:val="center"/>
          </w:tcPr>
          <w:p>
            <w:pPr>
              <w:pStyle w:val="TableContents"/>
              <w:bidi w:val="0"/>
              <w:spacing w:before="0" w:after="283"/>
              <w:jc w:val="center"/>
              <w:rPr/>
            </w:pPr>
            <w:r>
              <w:rPr/>
              <w:t> </w:t>
            </w:r>
          </w:p>
        </w:tc>
        <w:tc>
          <w:tcPr>
            <w:tcW w:w="11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1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Net cash (used in) provided by:</w:t>
            </w:r>
          </w:p>
        </w:tc>
        <w:tc>
          <w:tcPr>
            <w:tcW w:w="146" w:type="dxa"/>
            <w:tcBorders/>
            <w:shd w:fill="CFF0FC" w:val="clear"/>
            <w:vAlign w:val="center"/>
          </w:tcPr>
          <w:p>
            <w:pPr>
              <w:pStyle w:val="TableContents"/>
              <w:bidi w:val="0"/>
              <w:spacing w:before="0" w:after="283"/>
              <w:jc w:val="left"/>
              <w:rPr/>
            </w:pPr>
            <w:r>
              <w:rPr/>
              <w:t> </w:t>
            </w:r>
          </w:p>
        </w:tc>
        <w:tc>
          <w:tcPr>
            <w:tcW w:w="1279" w:type="dxa"/>
            <w:gridSpan w:val="2"/>
            <w:tcBorders/>
            <w:shd w:fill="CFF0FC" w:val="clear"/>
            <w:vAlign w:val="center"/>
          </w:tcPr>
          <w:p>
            <w:pPr>
              <w:pStyle w:val="TableContents"/>
              <w:bidi w:val="0"/>
              <w:spacing w:before="0" w:after="283"/>
              <w:jc w:val="right"/>
              <w:rPr/>
            </w:pPr>
            <w:r>
              <w:rPr/>
              <w:t> </w:t>
            </w:r>
          </w:p>
        </w:tc>
        <w:tc>
          <w:tcPr>
            <w:tcW w:w="220" w:type="dxa"/>
            <w:tcBorders/>
            <w:shd w:fill="CFF0FC" w:val="clear"/>
            <w:vAlign w:val="center"/>
          </w:tcPr>
          <w:p>
            <w:pPr>
              <w:pStyle w:val="TableContents"/>
              <w:bidi w:val="0"/>
              <w:spacing w:before="0" w:after="283"/>
              <w:jc w:val="right"/>
              <w:rPr/>
            </w:pPr>
            <w:r>
              <w:rPr/>
              <w:t> </w:t>
            </w:r>
          </w:p>
        </w:tc>
        <w:tc>
          <w:tcPr>
            <w:tcW w:w="194" w:type="dxa"/>
            <w:tcBorders/>
            <w:shd w:fill="CFF0FC" w:val="clear"/>
            <w:vAlign w:val="center"/>
          </w:tcPr>
          <w:p>
            <w:pPr>
              <w:pStyle w:val="TableContents"/>
              <w:bidi w:val="0"/>
              <w:spacing w:before="0" w:after="283"/>
              <w:jc w:val="left"/>
              <w:rPr/>
            </w:pPr>
            <w:r>
              <w:rPr/>
              <w:t> </w:t>
            </w:r>
          </w:p>
        </w:tc>
        <w:tc>
          <w:tcPr>
            <w:tcW w:w="1139"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r>
      <w:tr>
        <w:trPr/>
        <w:tc>
          <w:tcPr>
            <w:tcW w:w="381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Operating activities</w:t>
            </w:r>
          </w:p>
        </w:tc>
        <w:tc>
          <w:tcPr>
            <w:tcW w:w="146"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99"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17,484</w:t>
            </w:r>
          </w:p>
        </w:tc>
        <w:tc>
          <w:tcPr>
            <w:tcW w:w="22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59"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5,641</w:t>
            </w:r>
          </w:p>
        </w:tc>
        <w:tc>
          <w:tcPr>
            <w:tcW w:w="211" w:type="dxa"/>
            <w:tcBorders/>
            <w:shd w:fill="FFFFFF" w:val="clear"/>
            <w:vAlign w:val="center"/>
          </w:tcPr>
          <w:p>
            <w:pPr>
              <w:pStyle w:val="TableContents"/>
              <w:bidi w:val="0"/>
              <w:spacing w:before="0" w:after="283"/>
              <w:jc w:val="left"/>
              <w:rPr/>
            </w:pPr>
            <w:r>
              <w:rPr/>
              <w:t> </w:t>
            </w:r>
          </w:p>
        </w:tc>
      </w:tr>
      <w:tr>
        <w:trPr/>
        <w:tc>
          <w:tcPr>
            <w:tcW w:w="381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Investing activities</w:t>
            </w:r>
          </w:p>
        </w:tc>
        <w:tc>
          <w:tcPr>
            <w:tcW w:w="146" w:type="dxa"/>
            <w:tcBorders/>
            <w:shd w:fill="CFF0FC" w:val="clear"/>
            <w:vAlign w:val="center"/>
          </w:tcPr>
          <w:p>
            <w:pPr>
              <w:pStyle w:val="TableContents"/>
              <w:bidi w:val="0"/>
              <w:spacing w:before="0" w:after="283"/>
              <w:jc w:val="left"/>
              <w:rPr/>
            </w:pPr>
            <w:r>
              <w:rPr/>
              <w:t> </w:t>
            </w:r>
          </w:p>
        </w:tc>
        <w:tc>
          <w:tcPr>
            <w:tcW w:w="280" w:type="dxa"/>
            <w:tcBorders/>
            <w:shd w:fill="CFF0FC" w:val="clear"/>
            <w:vAlign w:val="center"/>
          </w:tcPr>
          <w:p>
            <w:pPr>
              <w:pStyle w:val="TableContents"/>
              <w:bidi w:val="0"/>
              <w:spacing w:before="0" w:after="283"/>
              <w:jc w:val="left"/>
              <w:rPr/>
            </w:pPr>
            <w:r>
              <w:rPr/>
              <w:t> </w:t>
            </w:r>
          </w:p>
        </w:tc>
        <w:tc>
          <w:tcPr>
            <w:tcW w:w="999"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(20,027</w:t>
            </w:r>
          </w:p>
        </w:tc>
        <w:tc>
          <w:tcPr>
            <w:tcW w:w="220"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94" w:type="dxa"/>
            <w:tcBorders/>
            <w:shd w:fill="CFF0FC" w:val="clear"/>
            <w:vAlign w:val="center"/>
          </w:tcPr>
          <w:p>
            <w:pPr>
              <w:pStyle w:val="TableContents"/>
              <w:bidi w:val="0"/>
              <w:spacing w:before="0" w:after="283"/>
              <w:jc w:val="left"/>
              <w:rPr/>
            </w:pPr>
            <w:r>
              <w:rPr/>
              <w:t> </w:t>
            </w:r>
          </w:p>
        </w:tc>
        <w:tc>
          <w:tcPr>
            <w:tcW w:w="280" w:type="dxa"/>
            <w:tcBorders/>
            <w:shd w:fill="CFF0FC" w:val="clear"/>
            <w:vAlign w:val="center"/>
          </w:tcPr>
          <w:p>
            <w:pPr>
              <w:pStyle w:val="TableContents"/>
              <w:bidi w:val="0"/>
              <w:spacing w:before="0" w:after="283"/>
              <w:jc w:val="left"/>
              <w:rPr/>
            </w:pPr>
            <w:r>
              <w:rPr/>
              <w:t> </w:t>
            </w:r>
          </w:p>
        </w:tc>
        <w:tc>
          <w:tcPr>
            <w:tcW w:w="859"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1,073</w:t>
            </w:r>
          </w:p>
        </w:tc>
        <w:tc>
          <w:tcPr>
            <w:tcW w:w="211" w:type="dxa"/>
            <w:tcBorders/>
            <w:shd w:fill="CFF0FC" w:val="clear"/>
            <w:vAlign w:val="center"/>
          </w:tcPr>
          <w:p>
            <w:pPr>
              <w:pStyle w:val="TableContents"/>
              <w:bidi w:val="0"/>
              <w:spacing w:before="0" w:after="283"/>
              <w:jc w:val="left"/>
              <w:rPr/>
            </w:pPr>
            <w:r>
              <w:rPr/>
              <w:t> </w:t>
            </w:r>
          </w:p>
        </w:tc>
      </w:tr>
      <w:tr>
        <w:trPr/>
        <w:tc>
          <w:tcPr>
            <w:tcW w:w="381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Financing activities</w:t>
            </w:r>
          </w:p>
        </w:tc>
        <w:tc>
          <w:tcPr>
            <w:tcW w:w="146"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4,297</w:t>
            </w:r>
          </w:p>
        </w:tc>
        <w:tc>
          <w:tcPr>
            <w:tcW w:w="22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(5,927</w:t>
            </w:r>
          </w:p>
        </w:tc>
        <w:tc>
          <w:tcPr>
            <w:tcW w:w="21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381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Effect of changes in foreign exchange rate</w:t>
            </w:r>
          </w:p>
        </w:tc>
        <w:tc>
          <w:tcPr>
            <w:tcW w:w="146" w:type="dxa"/>
            <w:tcBorders/>
            <w:shd w:fill="CFF0FC" w:val="clear"/>
            <w:vAlign w:val="center"/>
          </w:tcPr>
          <w:p>
            <w:pPr>
              <w:pStyle w:val="TableContents"/>
              <w:bidi w:val="0"/>
              <w:spacing w:before="0" w:after="283"/>
              <w:jc w:val="left"/>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(117</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94" w:type="dxa"/>
            <w:tcBorders/>
            <w:shd w:fill="CFF0FC" w:val="clear"/>
            <w:vAlign w:val="center"/>
          </w:tcPr>
          <w:p>
            <w:pPr>
              <w:pStyle w:val="TableContents"/>
              <w:bidi w:val="0"/>
              <w:spacing w:before="0" w:after="283"/>
              <w:jc w:val="left"/>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381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Net increase in cash and cash equivalents</w:t>
            </w:r>
          </w:p>
        </w:tc>
        <w:tc>
          <w:tcPr>
            <w:tcW w:w="146" w:type="dxa"/>
            <w:tcBorders/>
            <w:shd w:fill="FFFFFF" w:val="clear"/>
            <w:vAlign w:val="center"/>
          </w:tcPr>
          <w:p>
            <w:pPr>
              <w:pStyle w:val="TableContents"/>
              <w:bidi w:val="0"/>
              <w:spacing w:before="0" w:after="283"/>
              <w:jc w:val="left"/>
              <w:rPr/>
            </w:pPr>
            <w:r>
              <w:rPr/>
              <w:t> </w:t>
            </w:r>
          </w:p>
        </w:tc>
        <w:tc>
          <w:tcPr>
            <w:tcW w:w="2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1,637</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2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701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Arial" w:hAnsi="Arial"/>
          <w:b/>
          <w:i/>
          <w:color w:val="000000"/>
          <w:sz w:val="20"/>
        </w:rPr>
      </w:pPr>
      <w:r>
        <w:rPr>
          <w:rFonts w:ascii="Arial" w:hAnsi="Arial"/>
          <w:b/>
          <w:i/>
          <w:color w:val="000000"/>
          <w:sz w:val="20"/>
        </w:rPr>
        <w:t>Cash Flows (Used In) Provided by Operating Activities</w:t>
      </w:r>
    </w:p>
    <w:p>
      <w:pPr>
        <w:pStyle w:val="TextBody"/>
        <w:bidi w:val="0"/>
        <w:jc w:val="both"/>
        <w:rPr/>
      </w:pPr>
      <w:r>
        <w:rPr/>
        <w:t> </w:t>
      </w:r>
    </w:p>
    <w:p>
      <w:pPr>
        <w:pStyle w:val="TextBody"/>
        <w:bidi w:val="0"/>
        <w:jc w:val="both"/>
        <w:rPr>
          <w:rFonts w:ascii="Arial" w:hAnsi="Arial"/>
          <w:b w:val="false"/>
          <w:color w:val="000000"/>
          <w:sz w:val="20"/>
        </w:rPr>
      </w:pPr>
      <w:r>
        <w:rPr>
          <w:rFonts w:ascii="Arial" w:hAnsi="Arial"/>
          <w:b w:val="false"/>
          <w:color w:val="000000"/>
          <w:sz w:val="20"/>
        </w:rPr>
        <w:t>Net cash provided by operating activities for the nine months ended September 30, 2023 was $17.5 million resulting from our net income of $10.9 million, adjusted for non-cash charges of $18.5 million in depreciation and amortization, including amortization of right of use assets and deferred financing costs, $4.0 million of stock-based compensation expense as a result of the Merger, $0.5 million of bad debt expense and $3.7 million in deferred tax expense. This was partially offset by a $14.0 million gain on rental tool recovery sales and $6.7 million in net changes from operating assets and liabilities. The $6.7million in cash used in operating assets and liabilities is primarily due to a $0.5 million cash outflow in accounts receivable associated with an increase in sales and higher revenues during the first nine months of 2023 compared to the first nine months of 2022, a $3.3 million cash outflow from operating lease liabilities as we increase right-of-use assets on hand and a $2.9 million cash outflow from inventories due to purchased inventory related to our attempt to reduce risk and uncertainties in our supply chain. This was partially offset by a $0.1 million cash inflow in accounts payable and accrued expenses due to differences in the timing of disbursements. We will continue to evaluate our capital requirements for both short-term and long-term liquidity needs, which could be affected by various risks and uncertainties, including, but not limited to, the effects of the current inflationary environment, rising interest rates, and other risks detailed in the section of this Report entitled “Risk Factors.”</w:t>
      </w:r>
    </w:p>
    <w:p>
      <w:pPr>
        <w:pStyle w:val="TextBody"/>
        <w:bidi w:val="0"/>
        <w:spacing w:before="240" w:after="283"/>
        <w:jc w:val="both"/>
        <w:rPr>
          <w:rFonts w:ascii="Arial" w:hAnsi="Arial"/>
          <w:b w:val="false"/>
          <w:color w:val="000000"/>
          <w:sz w:val="20"/>
        </w:rPr>
      </w:pPr>
      <w:r>
        <w:rPr>
          <w:rFonts w:ascii="Arial" w:hAnsi="Arial"/>
          <w:b w:val="false"/>
          <w:color w:val="000000"/>
          <w:sz w:val="20"/>
        </w:rPr>
        <w:t>Net cash provided by operating activities for the nine months ended September 30, 2022 was $5.6 million resulting from our net income of $14.3 million, adjusted for non-cash charges of $18.0 million in depreciation and amortization, including amortization of right of use assets, deferred financing costs, and debt discounts, $0.2 million of bad debt expense and $0.7 million in deferred tax expense. This was partially offset by a $12.6 million gain on rental tool recovery sales, $14.0 million in net changes from operating assets and liabilities, a $0.1 million unrealized gain on equity securities and a $1.4 million unrealized gain on interest rate swaps. The $14.0 million in cash used from operating assets and liabilities is primarily due to an $8.5 million cash outflow in accounts receivable associated with an increase in sales and higher revenue during the first nine months of 2022, $0.3 million purchased inventory related to our attempt to reduce risk and uncertainties in our supply chain, $2.0 million net cash outflow in accounts payable and accrued expenses due to differences in the timing of disbursements, $5.5 million cash outflow in prepaid expenses due to differences in the timing of repayments and a $3.1 million cash outflow from increasing our right-of-use assets.</w:t>
      </w:r>
    </w:p>
    <w:p>
      <w:pPr>
        <w:pStyle w:val="TextBody"/>
        <w:bidi w:val="0"/>
        <w:spacing w:before="240" w:after="283"/>
        <w:jc w:val="both"/>
        <w:rPr>
          <w:rFonts w:ascii="Arial" w:hAnsi="Arial"/>
          <w:b/>
          <w:i/>
          <w:color w:val="000000"/>
          <w:sz w:val="20"/>
        </w:rPr>
      </w:pPr>
      <w:r>
        <w:rPr>
          <w:rFonts w:ascii="Arial" w:hAnsi="Arial"/>
          <w:b/>
          <w:i/>
          <w:color w:val="000000"/>
          <w:sz w:val="20"/>
        </w:rPr>
        <w:t>Cash Flows (Used In) Provided by Investing Activities</w:t>
      </w:r>
    </w:p>
    <w:p>
      <w:pPr>
        <w:pStyle w:val="TextBody"/>
        <w:bidi w:val="0"/>
        <w:spacing w:before="240" w:after="283"/>
        <w:jc w:val="both"/>
        <w:rPr>
          <w:rFonts w:ascii="Times New Roman" w:hAnsi="Times New Roman"/>
          <w:sz w:val="20"/>
        </w:rPr>
      </w:pPr>
      <w:r>
        <w:rPr>
          <w:rFonts w:ascii="Arial" w:hAnsi="Arial"/>
          <w:b w:val="false"/>
          <w:color w:val="000000"/>
          <w:sz w:val="20"/>
        </w:rPr>
        <w:t>Net cash used in investing activities for the nine months ended September 30, 2023 was $20.0 million. Purchases of property, plant, and equipment of $36.7 million were partially offset by proceeds from rental tool recovery sales of $16.6 million and proceeds from sale of property of $0.1 million.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val="false"/>
          <w:color w:val="000000"/>
          <w:sz w:val="20"/>
        </w:rPr>
        <w:t>Net cash used in investing activities for the nine months ended September 30, 2022 was $1.1 million. Purchases of property, plant, and equipment of $16.2 million were partially offset by proceeds from rental tool recovery sales of $16.3 million and proceeds from the sale of property of $0.1 million.</w:t>
      </w:r>
      <w:r>
        <w:rPr>
          <w:rFonts w:ascii="Times New Roman" w:hAnsi="Times New Roman"/>
          <w:color w:val="000000"/>
          <w:sz w:val="20"/>
        </w:rPr>
        <w:t xml:space="preserve"> </w:t>
      </w:r>
    </w:p>
    <w:p>
      <w:pPr>
        <w:pStyle w:val="TextBody"/>
        <w:bidi w:val="0"/>
        <w:spacing w:before="240" w:after="283"/>
        <w:jc w:val="both"/>
        <w:rPr>
          <w:rFonts w:ascii="Arial" w:hAnsi="Arial"/>
          <w:b/>
          <w:i/>
          <w:color w:val="000000"/>
          <w:sz w:val="20"/>
        </w:rPr>
      </w:pPr>
      <w:r>
        <w:rPr>
          <w:rFonts w:ascii="Arial" w:hAnsi="Arial"/>
          <w:b/>
          <w:i/>
          <w:color w:val="000000"/>
          <w:sz w:val="20"/>
        </w:rPr>
        <w:t>Cash Flows (Used In) Provided by Financing Activities</w:t>
      </w:r>
    </w:p>
    <w:p>
      <w:pPr>
        <w:pStyle w:val="TextBody"/>
        <w:bidi w:val="0"/>
        <w:spacing w:before="240" w:after="283"/>
        <w:jc w:val="both"/>
        <w:rPr>
          <w:rFonts w:ascii="Arial" w:hAnsi="Arial"/>
          <w:b w:val="false"/>
          <w:color w:val="000000"/>
          <w:sz w:val="20"/>
        </w:rPr>
      </w:pPr>
      <w:r>
        <w:rPr>
          <w:rFonts w:ascii="Arial" w:hAnsi="Arial"/>
          <w:b w:val="false"/>
          <w:color w:val="000000"/>
          <w:sz w:val="20"/>
        </w:rPr>
        <w:t>Net cash provided by financing activities for the nine months ended September 30, 2023 was $4.3 million resulting from proceeds from the Merger and PIPE Financing, net of transaction costs, of $23.1 million, partially offset by a net decrease in amounts outstanding under the Credit Facility Agreement of $18.3 million, payments of deferred financing costs of $0.3 million and payments to holders of DTIH convertible preferred stock in connection with the Merger of $0.2 million.</w:t>
      </w:r>
    </w:p>
    <w:p>
      <w:pPr>
        <w:pStyle w:val="TextBody"/>
        <w:bidi w:val="0"/>
        <w:jc w:val="center"/>
        <w:rPr/>
      </w:pPr>
      <w:r>
        <w:rPr/>
        <w:t> </w:t>
      </w:r>
    </w:p>
    <w:p>
      <w:pPr>
        <w:pStyle w:val="TextBody"/>
        <w:bidi w:val="0"/>
        <w:jc w:val="center"/>
        <w:rPr>
          <w:rFonts w:ascii="Arial" w:hAnsi="Arial"/>
          <w:b w:val="false"/>
          <w:color w:val="000000"/>
          <w:sz w:val="20"/>
        </w:rPr>
      </w:pPr>
      <w:r>
        <w:rPr>
          <w:rFonts w:ascii="Arial" w:hAnsi="Arial"/>
          <w:b w:val="false"/>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b w:val="false"/>
          <w:color w:val="000000"/>
          <w:sz w:val="20"/>
        </w:rPr>
      </w:pPr>
      <w:r>
        <w:rPr>
          <w:rFonts w:ascii="Arial" w:hAnsi="Arial"/>
          <w:b w:val="false"/>
          <w:color w:val="000000"/>
          <w:sz w:val="20"/>
        </w:rPr>
        <w:t>Net cash used in financing activities for the nine months ended September 30, 2022 was $5.9 million resulting from a net decrease in amounts outstanding under the Credit Facility Agreement of $5.8 million.</w:t>
      </w:r>
    </w:p>
    <w:p>
      <w:pPr>
        <w:pStyle w:val="TextBody"/>
        <w:bidi w:val="0"/>
        <w:spacing w:before="240" w:after="283"/>
        <w:jc w:val="both"/>
        <w:rPr>
          <w:rFonts w:ascii="Times New Roman" w:hAnsi="Times New Roman"/>
          <w:sz w:val="20"/>
        </w:rPr>
      </w:pPr>
      <w:r>
        <w:rPr>
          <w:rFonts w:ascii="Arial" w:hAnsi="Arial"/>
          <w:b/>
          <w:color w:val="000000"/>
          <w:sz w:val="20"/>
        </w:rPr>
        <w:t>Critical Accounting Policies and Estimates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w:hAnsi="Arial"/>
          <w:b w:val="false"/>
          <w:color w:val="000000"/>
          <w:sz w:val="20"/>
        </w:rPr>
        <w:t>The Interim Financial Statements included in this Report have been prepared in accordance with U.S. GAAP. The preparation of these Interim Financial Statements requires us to make estimates and assumptions that affect the reported amounts of assets and liabilities and the disclosure of contingent assets and liabilities. We also make estimates and assumptions that affect the reported amounts and related disclosures for the periods presented. Our estimates are based on our historical experience and other factors that we believe are reasonable under the circumstances. The results of these estimates form the basis for making judgments about the carrying value of assets and liabilities that are not readily apparent from other sources. Actual results may differ significantly. Additionally, changes in assumptions, estimates or assessments due to unforeseen events or other causes could have a material impact on our financial position or results of operations.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w:hAnsi="Arial"/>
          <w:b w:val="false"/>
          <w:color w:val="000000"/>
          <w:sz w:val="20"/>
        </w:rPr>
        <w:t xml:space="preserve">Our significant accounting policies are described in Note 1, </w:t>
      </w:r>
      <w:r>
        <w:rPr>
          <w:rFonts w:ascii="Arial" w:hAnsi="Arial"/>
          <w:b w:val="false"/>
          <w:i/>
          <w:color w:val="000000"/>
          <w:sz w:val="20"/>
        </w:rPr>
        <w:t>Summary of significant accounting policies</w:t>
      </w:r>
      <w:r>
        <w:rPr>
          <w:rFonts w:ascii="Arial" w:hAnsi="Arial"/>
          <w:b w:val="false"/>
          <w:color w:val="000000"/>
          <w:sz w:val="20"/>
        </w:rPr>
        <w:t>, to the Interim Financial Statements included elsewhere in this Report on Form 10-Q. We define our critical accounting policies as those under U.S. GAAP that require us to make subjective estimates and judgments about matters that are inherently uncertain and are likely to have a material impact on our financial condition and results of operations, as well as the specific manner in which we apply those principles.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w:hAnsi="Arial"/>
          <w:b w:val="false"/>
          <w:color w:val="000000"/>
          <w:sz w:val="20"/>
        </w:rPr>
      </w:pPr>
      <w:r>
        <w:rPr>
          <w:rFonts w:ascii="Arial" w:hAnsi="Arial"/>
          <w:b w:val="false"/>
          <w:color w:val="000000"/>
          <w:sz w:val="20"/>
        </w:rPr>
        <w:t>There have been no material changes to our critical accounting policies and estimates as compared to those described in the section titled “Management’s Discussion and Analysis of Financial Condition and Results of Operations” set forth in our Current Report on Form 8-K dated June 20, 2023, which was filed with the SEC on June 27, 2023.</w:t>
      </w:r>
    </w:p>
    <w:p>
      <w:pPr>
        <w:pStyle w:val="TextBody"/>
        <w:bidi w:val="0"/>
        <w:spacing w:before="240" w:after="283"/>
        <w:jc w:val="both"/>
        <w:rPr>
          <w:rFonts w:ascii="Arial" w:hAnsi="Arial"/>
          <w:b/>
          <w:color w:val="000000"/>
          <w:sz w:val="20"/>
        </w:rPr>
      </w:pPr>
      <w:r>
        <w:rPr>
          <w:rFonts w:ascii="Arial" w:hAnsi="Arial"/>
          <w:b/>
          <w:color w:val="000000"/>
          <w:sz w:val="20"/>
        </w:rPr>
        <w:t>Recently Issued and Adopted Accounting Standards</w:t>
      </w:r>
    </w:p>
    <w:p>
      <w:pPr>
        <w:pStyle w:val="TextBody"/>
        <w:bidi w:val="0"/>
        <w:jc w:val="both"/>
        <w:rPr>
          <w:rFonts w:ascii="Times New Roman" w:hAnsi="Times New Roman"/>
          <w:sz w:val="20"/>
        </w:rPr>
      </w:pPr>
      <w:r>
        <w:rPr>
          <w:rFonts w:ascii="Arial" w:hAnsi="Arial"/>
          <w:b w:val="false"/>
          <w:color w:val="000000"/>
          <w:sz w:val="20"/>
        </w:rPr>
        <w:t xml:space="preserve">A discussion of recent accounting pronouncements is included in Note 1, </w:t>
      </w:r>
      <w:r>
        <w:rPr>
          <w:rFonts w:ascii="Arial" w:hAnsi="Arial"/>
          <w:b w:val="false"/>
          <w:i/>
          <w:color w:val="000000"/>
          <w:sz w:val="20"/>
        </w:rPr>
        <w:t>Summary of significant accounting policies</w:t>
      </w:r>
      <w:r>
        <w:rPr>
          <w:rFonts w:ascii="Arial" w:hAnsi="Arial"/>
          <w:b w:val="false"/>
          <w:color w:val="000000"/>
          <w:sz w:val="20"/>
        </w:rPr>
        <w:t>, to the Interim Financial Statements included elsewhere in this report.</w:t>
      </w:r>
    </w:p>
    <w:p>
      <w:pPr>
        <w:pStyle w:val="TextBody"/>
        <w:bidi w:val="0"/>
        <w:spacing w:before="240" w:after="283"/>
        <w:jc w:val="both"/>
        <w:rPr>
          <w:rFonts w:ascii="Times New Roman" w:hAnsi="Times New Roman"/>
          <w:sz w:val="20"/>
        </w:rPr>
      </w:pPr>
      <w:r>
        <w:rPr>
          <w:rFonts w:ascii="Arial" w:hAnsi="Arial"/>
          <w:b/>
          <w:color w:val="000000"/>
          <w:sz w:val="20"/>
        </w:rPr>
        <w:t>JOBS Act Accounting Election</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Arial" w:hAnsi="Arial"/>
          <w:b w:val="false"/>
          <w:color w:val="000000"/>
          <w:sz w:val="20"/>
        </w:rPr>
        <w:t>In April 2012, the Jumpstart Our Business Startups Act of 2012 (the “JOBS Act”), was enacted. Section 107 of the JOBS Act provides that an “emerging growth company” may take advantage of the extended transition period provided in Section 7(a)(2)(B) of the Securities Act for complying with new or revised accounting standards. Therefore, an emerging growth company can delay the adoption of certain accounting standards until those standards would otherwise apply to private companies. We have irrevocably elected to avail ourselves of this extended transition period and, as a result, we will not adopt new or revised accounting standards on the relevant dates on which adoption of such standards is required for other public companies. In addition, as an emerging growth company, we may take advantage of certain reduced disclosure and other requirements that are otherwise applicable generally to public companies. DTI will take advantage of these exemptions until such earlier time that it is no longer an emerging growth company. DTI would cease to be an emerging growth company on the date that is the earliest of (i) the last day of the fiscal year following the fifth anniversary of the date of the completion of this offering; (ii) the last day of the fiscal year in which its total annual gross revenue is equal to or more than $1.07 billion; (iii) the date on which it has issued more than $1.0 billion in nonconvertible debt during the previous three years; or (iv) the date on which it is deemed to be a large accelerated filer under the rules of the Securities and Exchange Commission.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bookmarkStart w:id="11" w:name="item_3_quantitative_and_qualitative"/>
      <w:bookmarkEnd w:id="11"/>
      <w:r>
        <w:rPr>
          <w:rFonts w:ascii="Arial" w:hAnsi="Arial"/>
          <w:b/>
          <w:color w:val="000000"/>
          <w:sz w:val="20"/>
        </w:rPr>
        <w:t>Item 3. Quantitative and Qualitative</w:t>
      </w:r>
      <w:r>
        <w:rPr>
          <w:rFonts w:ascii="Times New Roman" w:hAnsi="Times New Roman"/>
          <w:color w:val="000000"/>
          <w:sz w:val="20"/>
        </w:rPr>
        <w:t xml:space="preserve"> </w:t>
      </w:r>
      <w:r>
        <w:rPr>
          <w:rFonts w:ascii="Arial" w:hAnsi="Arial"/>
          <w:b/>
          <w:color w:val="000000"/>
          <w:sz w:val="20"/>
        </w:rPr>
        <w:t>Disclosures About Market Risk.</w:t>
      </w:r>
    </w:p>
    <w:p>
      <w:pPr>
        <w:pStyle w:val="TextBody"/>
        <w:bidi w:val="0"/>
        <w:spacing w:before="240" w:after="283"/>
        <w:jc w:val="both"/>
        <w:rPr>
          <w:rFonts w:ascii="Arial" w:hAnsi="Arial"/>
          <w:b w:val="false"/>
          <w:i/>
          <w:color w:val="000000"/>
          <w:sz w:val="20"/>
        </w:rPr>
      </w:pPr>
      <w:r>
        <w:rPr>
          <w:rFonts w:ascii="Arial" w:hAnsi="Arial"/>
          <w:b w:val="false"/>
          <w:i/>
          <w:color w:val="000000"/>
          <w:sz w:val="20"/>
        </w:rPr>
        <w:t>Credit risk</w:t>
      </w:r>
    </w:p>
    <w:p>
      <w:pPr>
        <w:pStyle w:val="TextBody"/>
        <w:bidi w:val="0"/>
        <w:spacing w:before="240" w:after="283"/>
        <w:jc w:val="both"/>
        <w:rPr>
          <w:rFonts w:ascii="Arial" w:hAnsi="Arial"/>
          <w:b w:val="false"/>
          <w:color w:val="000000"/>
          <w:sz w:val="20"/>
        </w:rPr>
      </w:pPr>
      <w:r>
        <w:rPr>
          <w:rFonts w:ascii="Arial" w:hAnsi="Arial"/>
          <w:b w:val="false"/>
          <w:color w:val="000000"/>
          <w:sz w:val="20"/>
        </w:rPr>
        <w:t>Financial instruments which potentially subject us to concentrations of credit risk consist principally of cash and cash equivalents and accounts receivable. We maintain cash and cash equivalents with major and reputable financial institutions. Deposits held with the financial institutions may exceed the amount of insurance provided by the Canadian Deposit Insurance Corporation and the Federal Deposit Insurance Corporation on such deposits but may be redeemed upon demand. We perform periodic evaluations of the relative credit standing of the financial institutions. With respect to accounts receivable, we monitor the credit quality of our customers as well as maintain an allowance for doubtful accounts for estimated losses resulting from the inability of customers to make required payments.</w:t>
      </w:r>
    </w:p>
    <w:p>
      <w:pPr>
        <w:pStyle w:val="TextBody"/>
        <w:bidi w:val="0"/>
        <w:spacing w:before="240" w:after="283"/>
        <w:jc w:val="both"/>
        <w:rPr>
          <w:rFonts w:ascii="Arial" w:hAnsi="Arial"/>
          <w:b w:val="false"/>
          <w:i/>
          <w:color w:val="000000"/>
          <w:sz w:val="20"/>
        </w:rPr>
      </w:pPr>
      <w:r>
        <w:rPr>
          <w:rFonts w:ascii="Arial" w:hAnsi="Arial"/>
          <w:b w:val="false"/>
          <w:i/>
          <w:color w:val="000000"/>
          <w:sz w:val="20"/>
        </w:rPr>
        <w:t>Concentration risk</w:t>
      </w:r>
    </w:p>
    <w:p>
      <w:pPr>
        <w:pStyle w:val="TextBody"/>
        <w:bidi w:val="0"/>
        <w:jc w:val="center"/>
        <w:rPr/>
      </w:pPr>
      <w:r>
        <w:rPr/>
        <w:t> </w:t>
      </w:r>
    </w:p>
    <w:p>
      <w:pPr>
        <w:pStyle w:val="TextBody"/>
        <w:bidi w:val="0"/>
        <w:jc w:val="center"/>
        <w:rPr>
          <w:rFonts w:ascii="Arial" w:hAnsi="Arial"/>
          <w:b w:val="false"/>
          <w:color w:val="000000"/>
          <w:sz w:val="20"/>
        </w:rPr>
      </w:pPr>
      <w:r>
        <w:rPr>
          <w:rFonts w:ascii="Arial" w:hAnsi="Arial"/>
          <w:b w:val="false"/>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val="false"/>
          <w:color w:val="000000"/>
          <w:sz w:val="20"/>
        </w:rPr>
        <w:t>During the three and nine months ended September 30, 2023, 28% and 28%, respectively of our total revenue was earned from two customers. During the three and nine months ended September 30, 2022, 26% and 27%, respectively of our total revenue was earned from two customers. Amounts due from these customers included in accounts receivable at September 30, 2023 and December 31, 2022 were approximately $8.4 million and $8.6 million, respectively.</w:t>
      </w:r>
      <w:r>
        <w:rPr>
          <w:rFonts w:ascii="Times New Roman" w:hAnsi="Times New Roman"/>
          <w:color w:val="000000"/>
          <w:sz w:val="20"/>
        </w:rPr>
        <w:t xml:space="preserve"> </w:t>
      </w:r>
    </w:p>
    <w:p>
      <w:pPr>
        <w:pStyle w:val="TextBody"/>
        <w:bidi w:val="0"/>
        <w:spacing w:before="240" w:after="283"/>
        <w:jc w:val="both"/>
        <w:rPr>
          <w:rFonts w:ascii="Arial" w:hAnsi="Arial"/>
          <w:b w:val="false"/>
          <w:i/>
          <w:color w:val="000000"/>
          <w:sz w:val="20"/>
        </w:rPr>
      </w:pPr>
      <w:r>
        <w:rPr>
          <w:rFonts w:ascii="Arial" w:hAnsi="Arial"/>
          <w:b w:val="false"/>
          <w:i/>
          <w:color w:val="000000"/>
          <w:sz w:val="20"/>
        </w:rPr>
        <w:t>Foreign currency risk</w:t>
      </w:r>
    </w:p>
    <w:p>
      <w:pPr>
        <w:pStyle w:val="TextBody"/>
        <w:bidi w:val="0"/>
        <w:spacing w:before="240" w:after="283"/>
        <w:jc w:val="both"/>
        <w:rPr>
          <w:rFonts w:ascii="Arial" w:hAnsi="Arial"/>
          <w:b w:val="false"/>
          <w:color w:val="000000"/>
          <w:sz w:val="20"/>
        </w:rPr>
      </w:pPr>
      <w:r>
        <w:rPr>
          <w:rFonts w:ascii="Arial" w:hAnsi="Arial"/>
          <w:b w:val="false"/>
          <w:color w:val="000000"/>
          <w:sz w:val="20"/>
        </w:rPr>
        <w:t>Our customers are primarily located in the United States and Canada. Therefore, foreign exchange risk exposures arise from transactions denominated in currencies other than the United States dollar, which is our functional and reporting currency. To date, a majority of our sales have been denominated in United States and Canadian dollars. As we expand our presence in international markets, our results of operations and cash flows may increasingly be subject to fluctuations due to changes in foreign currency exchange rates and may be adversely affected in the future due to changes in foreign exchange rates. To date, we have not entered into any hedging arrangements to minimize the impact of these fluctuations in the exchange rates. We will periodically reassess our approach to manage our risk relating to fluctuations in currency rates.</w:t>
      </w:r>
    </w:p>
    <w:p>
      <w:pPr>
        <w:pStyle w:val="TextBody"/>
        <w:bidi w:val="0"/>
        <w:spacing w:before="240" w:after="283"/>
        <w:jc w:val="both"/>
        <w:rPr>
          <w:rFonts w:ascii="Arial" w:hAnsi="Arial"/>
          <w:b w:val="false"/>
          <w:color w:val="000000"/>
          <w:sz w:val="20"/>
        </w:rPr>
      </w:pPr>
      <w:r>
        <w:rPr>
          <w:rFonts w:ascii="Arial" w:hAnsi="Arial"/>
          <w:b w:val="false"/>
          <w:color w:val="000000"/>
          <w:sz w:val="20"/>
        </w:rPr>
        <w:t>We do not believe that foreign currency risk had a material effect on our business, financial condition, or results of operations during the periods presented.</w:t>
      </w:r>
    </w:p>
    <w:p>
      <w:pPr>
        <w:pStyle w:val="TextBody"/>
        <w:bidi w:val="0"/>
        <w:spacing w:before="240" w:after="283"/>
        <w:jc w:val="both"/>
        <w:rPr>
          <w:rFonts w:ascii="Arial" w:hAnsi="Arial"/>
          <w:b w:val="false"/>
          <w:i/>
          <w:color w:val="000000"/>
          <w:sz w:val="20"/>
        </w:rPr>
      </w:pPr>
      <w:r>
        <w:rPr>
          <w:rFonts w:ascii="Arial" w:hAnsi="Arial"/>
          <w:b w:val="false"/>
          <w:i/>
          <w:color w:val="000000"/>
          <w:sz w:val="20"/>
        </w:rPr>
        <w:t>Inflation Risk</w:t>
      </w:r>
    </w:p>
    <w:p>
      <w:pPr>
        <w:pStyle w:val="TextBody"/>
        <w:bidi w:val="0"/>
        <w:spacing w:before="240" w:after="283"/>
        <w:jc w:val="both"/>
        <w:rPr>
          <w:rFonts w:ascii="Arial" w:hAnsi="Arial"/>
          <w:b w:val="false"/>
          <w:color w:val="000000"/>
          <w:sz w:val="20"/>
        </w:rPr>
      </w:pPr>
      <w:r>
        <w:rPr>
          <w:rFonts w:ascii="Arial" w:hAnsi="Arial"/>
          <w:b w:val="false"/>
          <w:color w:val="000000"/>
          <w:sz w:val="20"/>
        </w:rPr>
        <w:t>We expect we will continue to experience inflationary pressures on our cost structure for the foreseeable future. However, tightness in overseas freight and transit times have eased. Additionally, raw material and component costs are moderating due in part to a strengthening United States dollar and weakening steel demand. Nonetheless, we cannot be confident that transit times or input prices will return to the lower levels experienced in prior years. Continued inflation and looming concerns regarding a possible recession weigh on the outlook for oil demand which could in turn negatively impact demand for our goods and services.</w:t>
      </w:r>
    </w:p>
    <w:p>
      <w:pPr>
        <w:pStyle w:val="TextBody"/>
        <w:bidi w:val="0"/>
        <w:spacing w:before="240" w:after="283"/>
        <w:jc w:val="both"/>
        <w:rPr>
          <w:rFonts w:ascii="Arial" w:hAnsi="Arial"/>
          <w:b w:val="false"/>
          <w:i/>
          <w:color w:val="000000"/>
          <w:sz w:val="20"/>
        </w:rPr>
      </w:pPr>
      <w:r>
        <w:rPr>
          <w:rFonts w:ascii="Arial" w:hAnsi="Arial"/>
          <w:b w:val="false"/>
          <w:i/>
          <w:color w:val="000000"/>
          <w:sz w:val="20"/>
        </w:rPr>
        <w:t>Cybersecurity Risk</w:t>
      </w:r>
    </w:p>
    <w:p>
      <w:pPr>
        <w:pStyle w:val="TextBody"/>
        <w:bidi w:val="0"/>
        <w:spacing w:before="240" w:after="283"/>
        <w:jc w:val="both"/>
        <w:rPr>
          <w:rFonts w:ascii="Times New Roman" w:hAnsi="Times New Roman"/>
          <w:sz w:val="20"/>
        </w:rPr>
      </w:pPr>
      <w:r>
        <w:rPr>
          <w:rFonts w:ascii="Arial" w:hAnsi="Arial"/>
          <w:b w:val="false"/>
          <w:color w:val="000000"/>
          <w:sz w:val="20"/>
        </w:rPr>
        <w:t>We have a suite of controls including technology hardware and software solutions, regular testing of the resiliency of our systems including penetration and disaster recovery testing as well as regular training sessions on cybersecurity risks and mitigation strategies. We have established an incident response plan and team to take steps it determines are appropriate to contain, mitigate and remediate a cybersecurity incident and to respond to the associated business, legal and reputational risks. There is no assurance that these efforts will fully mitigate cybersecurity risk and mitigation efforts are not an assurance that no cybersecurity incidents will occur.</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bookmarkStart w:id="12" w:name="item_4_controls_and_procedures"/>
      <w:bookmarkEnd w:id="12"/>
      <w:r>
        <w:rPr>
          <w:rFonts w:ascii="Arial" w:hAnsi="Arial"/>
          <w:b/>
          <w:color w:val="000000"/>
          <w:sz w:val="20"/>
        </w:rPr>
        <w:t>Item 4. Controls and</w:t>
      </w:r>
      <w:r>
        <w:rPr>
          <w:rFonts w:ascii="Times New Roman" w:hAnsi="Times New Roman"/>
          <w:color w:val="000000"/>
          <w:sz w:val="20"/>
        </w:rPr>
        <w:t xml:space="preserve"> </w:t>
      </w:r>
      <w:r>
        <w:rPr>
          <w:rFonts w:ascii="Arial" w:hAnsi="Arial"/>
          <w:b/>
          <w:color w:val="000000"/>
          <w:sz w:val="20"/>
        </w:rPr>
        <w:t>Procedures.</w:t>
      </w:r>
    </w:p>
    <w:p>
      <w:pPr>
        <w:pStyle w:val="TextBody"/>
        <w:bidi w:val="0"/>
        <w:jc w:val="left"/>
        <w:rPr/>
      </w:pPr>
      <w:r>
        <w:rPr/>
        <w:t> </w:t>
      </w:r>
    </w:p>
    <w:p>
      <w:pPr>
        <w:pStyle w:val="TextBody"/>
        <w:bidi w:val="0"/>
        <w:jc w:val="both"/>
        <w:rPr>
          <w:rFonts w:ascii="Times New Roman" w:hAnsi="Times New Roman"/>
          <w:sz w:val="20"/>
        </w:rPr>
      </w:pPr>
      <w:r>
        <w:rPr>
          <w:rFonts w:ascii="Arial" w:hAnsi="Arial"/>
          <w:b w:val="false"/>
          <w:color w:val="000000"/>
          <w:sz w:val="20"/>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our management, including our principal executive and principal financial officers, to allow timely decisions regarding required disclosure.</w:t>
      </w:r>
      <w:r>
        <w:rPr>
          <w:rFonts w:ascii="Times New Roman" w:hAnsi="Times New Roman"/>
          <w:color w:val="000000"/>
          <w:sz w:val="20"/>
        </w:rPr>
        <w:t xml:space="preserve"> </w:t>
      </w:r>
    </w:p>
    <w:p>
      <w:pPr>
        <w:pStyle w:val="TextBody"/>
        <w:bidi w:val="0"/>
        <w:spacing w:before="240" w:after="283"/>
        <w:jc w:val="both"/>
        <w:rPr>
          <w:rFonts w:ascii="Arial" w:hAnsi="Arial"/>
          <w:b w:val="false"/>
          <w:i/>
          <w:color w:val="000000"/>
          <w:sz w:val="20"/>
        </w:rPr>
      </w:pPr>
      <w:r>
        <w:rPr>
          <w:rFonts w:ascii="Arial" w:hAnsi="Arial"/>
          <w:b w:val="false"/>
          <w:i/>
          <w:color w:val="000000"/>
          <w:sz w:val="20"/>
        </w:rPr>
        <w:t>Evaluation of Disclosure Controls and Procedures</w:t>
      </w:r>
    </w:p>
    <w:p>
      <w:pPr>
        <w:pStyle w:val="TextBody"/>
        <w:bidi w:val="0"/>
        <w:jc w:val="both"/>
        <w:rPr/>
      </w:pPr>
      <w:r>
        <w:rPr/>
        <w:t> </w:t>
      </w:r>
    </w:p>
    <w:p>
      <w:pPr>
        <w:pStyle w:val="TextBody"/>
        <w:bidi w:val="0"/>
        <w:jc w:val="both"/>
        <w:rPr>
          <w:rFonts w:ascii="Times New Roman" w:hAnsi="Times New Roman"/>
          <w:sz w:val="20"/>
        </w:rPr>
      </w:pPr>
      <w:r>
        <w:rPr>
          <w:rFonts w:ascii="Arial" w:hAnsi="Arial"/>
          <w:b w:val="false"/>
          <w:color w:val="000000"/>
          <w:sz w:val="20"/>
        </w:rPr>
        <w:t>As required by Rule 13a-15 under the Exchange Act, management has evaluated, with the participation of our Chief Executive Officer and Chief Financial Officer, the effectiveness of our disclosure controls and procedures in effect as of September 30, 2023, the end of the period covered by this Report. As a result of management’s evaluation, our Chief Executive Officer and Chief Financial Officer concluded that our disclosure controls and procedures were not effective at a reasonable assurance level as of September 30, 2023, or as of the date of the filing of this Report.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w:hAnsi="Arial"/>
          <w:b w:val="false"/>
          <w:color w:val="000000"/>
          <w:sz w:val="20"/>
        </w:rPr>
        <w:t>Our disclosure controls and procedures were not effective as of September 30, 2023, or as of the date of filing of this Report, because all findings in connection with our preparation and the audit of our consolidated financial statements as of and for the year ended December 31, 2022 have not been fully remediated despite ongoing projects and improvements made in the current quarter. As a result, we were not able to rely upon the disclosure controls and procedures that were in place as</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b w:val="false"/>
          <w:color w:val="000000"/>
          <w:sz w:val="20"/>
        </w:rPr>
      </w:pPr>
      <w:r>
        <w:rPr>
          <w:rFonts w:ascii="Arial" w:hAnsi="Arial"/>
          <w:b w:val="false"/>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Arial" w:hAnsi="Arial"/>
          <w:b w:val="false"/>
          <w:color w:val="000000"/>
          <w:sz w:val="20"/>
        </w:rPr>
        <w:t>of September 30, 2023, or as of the date of this filing, and we continue to have a material weakness in our internal control over financial reporting. This material weakness is described in more detail below.</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w:hAnsi="Arial"/>
          <w:b w:val="false"/>
          <w:color w:val="000000"/>
          <w:sz w:val="20"/>
        </w:rPr>
      </w:pPr>
      <w:r>
        <w:rPr>
          <w:rFonts w:ascii="Arial" w:hAnsi="Arial"/>
          <w:b w:val="false"/>
          <w:color w:val="000000"/>
          <w:sz w:val="20"/>
        </w:rPr>
        <w:t>Prior to the Business Combination, we had been a private company with limited accounting personnel and other resources with which to address our internal control over financial reporting. In connection with our preparation and the audit of our consolidated financial statements as of and for the year ended December 31, 2022, we identified the following deficiencies in the design or operation of our internal controls to be a material weakness:</w:t>
      </w:r>
    </w:p>
    <w:p>
      <w:pPr>
        <w:pStyle w:val="TextBody"/>
        <w:bidi w:val="0"/>
        <w:spacing w:before="120" w:after="283"/>
        <w:jc w:val="both"/>
        <w:rPr>
          <w:rFonts w:ascii="Arial" w:hAnsi="Arial"/>
          <w:b w:val="false"/>
          <w:color w:val="000000"/>
          <w:sz w:val="20"/>
        </w:rPr>
      </w:pPr>
      <w:r>
        <w:rPr>
          <w:rFonts w:ascii="Arial" w:hAnsi="Arial"/>
          <w:b w:val="false"/>
          <w:color w:val="000000"/>
          <w:sz w:val="20"/>
        </w:rPr>
        <w:t>(1)</w:t>
      </w:r>
    </w:p>
    <w:p>
      <w:pPr>
        <w:pStyle w:val="TextBody"/>
        <w:bidi w:val="0"/>
        <w:spacing w:before="120" w:after="283"/>
        <w:jc w:val="both"/>
        <w:rPr>
          <w:rFonts w:ascii="Arial" w:hAnsi="Arial"/>
          <w:b w:val="false"/>
          <w:color w:val="000000"/>
          <w:sz w:val="20"/>
        </w:rPr>
      </w:pPr>
      <w:r>
        <w:rPr>
          <w:rFonts w:ascii="Arial" w:hAnsi="Arial"/>
          <w:b w:val="false"/>
          <w:color w:val="000000"/>
          <w:sz w:val="20"/>
        </w:rPr>
        <w:t>Failure to promote effective internal control over financial reporting throughout the Company’s management structure;</w:t>
      </w:r>
    </w:p>
    <w:p>
      <w:pPr>
        <w:pStyle w:val="TextBody"/>
        <w:bidi w:val="0"/>
        <w:spacing w:before="120" w:after="283"/>
        <w:jc w:val="both"/>
        <w:rPr>
          <w:rFonts w:ascii="Arial" w:hAnsi="Arial"/>
          <w:b w:val="false"/>
          <w:color w:val="000000"/>
          <w:sz w:val="20"/>
        </w:rPr>
      </w:pPr>
      <w:r>
        <w:rPr>
          <w:rFonts w:ascii="Arial" w:hAnsi="Arial"/>
          <w:b w:val="false"/>
          <w:color w:val="000000"/>
          <w:sz w:val="20"/>
        </w:rPr>
        <w:t>(2)</w:t>
      </w:r>
    </w:p>
    <w:p>
      <w:pPr>
        <w:pStyle w:val="TextBody"/>
        <w:bidi w:val="0"/>
        <w:spacing w:before="120" w:after="283"/>
        <w:jc w:val="both"/>
        <w:rPr>
          <w:rFonts w:ascii="Arial" w:hAnsi="Arial"/>
          <w:b w:val="false"/>
          <w:color w:val="000000"/>
          <w:sz w:val="20"/>
        </w:rPr>
      </w:pPr>
      <w:r>
        <w:rPr>
          <w:rFonts w:ascii="Arial" w:hAnsi="Arial"/>
          <w:b w:val="false"/>
          <w:color w:val="000000"/>
          <w:sz w:val="20"/>
        </w:rPr>
        <w:t>Failure to develop effective risk assessment controls to identify financial reporting risks and reacting to changes in the operating environment that could have a material effect on financial reporting;</w:t>
      </w:r>
    </w:p>
    <w:p>
      <w:pPr>
        <w:pStyle w:val="TextBody"/>
        <w:bidi w:val="0"/>
        <w:spacing w:before="120" w:after="283"/>
        <w:jc w:val="both"/>
        <w:rPr>
          <w:rFonts w:ascii="Arial" w:hAnsi="Arial"/>
          <w:b w:val="false"/>
          <w:color w:val="000000"/>
          <w:sz w:val="20"/>
        </w:rPr>
      </w:pPr>
      <w:r>
        <w:rPr>
          <w:rFonts w:ascii="Arial" w:hAnsi="Arial"/>
          <w:b w:val="false"/>
          <w:color w:val="000000"/>
          <w:sz w:val="20"/>
        </w:rPr>
        <w:t>(3)</w:t>
      </w:r>
    </w:p>
    <w:p>
      <w:pPr>
        <w:pStyle w:val="TextBody"/>
        <w:bidi w:val="0"/>
        <w:spacing w:before="120" w:after="283"/>
        <w:jc w:val="both"/>
        <w:rPr>
          <w:rFonts w:ascii="Arial" w:hAnsi="Arial"/>
          <w:b w:val="false"/>
          <w:color w:val="000000"/>
          <w:sz w:val="20"/>
        </w:rPr>
      </w:pPr>
      <w:r>
        <w:rPr>
          <w:rFonts w:ascii="Arial" w:hAnsi="Arial"/>
          <w:b w:val="false"/>
          <w:color w:val="000000"/>
          <w:sz w:val="20"/>
        </w:rPr>
        <w:t>Ineffective monitoring activities to assess the operation of internal control over financial reporting; and</w:t>
      </w:r>
    </w:p>
    <w:p>
      <w:pPr>
        <w:pStyle w:val="TextBody"/>
        <w:bidi w:val="0"/>
        <w:spacing w:before="120" w:after="283"/>
        <w:jc w:val="both"/>
        <w:rPr>
          <w:rFonts w:ascii="Arial" w:hAnsi="Arial"/>
          <w:b w:val="false"/>
          <w:color w:val="000000"/>
          <w:sz w:val="20"/>
        </w:rPr>
      </w:pPr>
      <w:r>
        <w:rPr>
          <w:rFonts w:ascii="Arial" w:hAnsi="Arial"/>
          <w:b w:val="false"/>
          <w:color w:val="000000"/>
          <w:sz w:val="20"/>
        </w:rPr>
        <w:t>(4)</w:t>
      </w:r>
    </w:p>
    <w:p>
      <w:pPr>
        <w:pStyle w:val="TextBody"/>
        <w:bidi w:val="0"/>
        <w:spacing w:before="120" w:after="283"/>
        <w:jc w:val="both"/>
        <w:rPr>
          <w:rFonts w:ascii="Arial" w:hAnsi="Arial"/>
          <w:b w:val="false"/>
          <w:color w:val="000000"/>
          <w:sz w:val="20"/>
        </w:rPr>
      </w:pPr>
      <w:r>
        <w:rPr>
          <w:rFonts w:ascii="Arial" w:hAnsi="Arial"/>
          <w:b w:val="false"/>
          <w:color w:val="000000"/>
          <w:sz w:val="20"/>
        </w:rPr>
        <w:t>Inadequate documentation and monitoring of information technology (“IT”) general controls and cybersecurity processes within the Company’s IT environment, including access controls and segregation of duties between key IT functions.</w:t>
      </w:r>
    </w:p>
    <w:p>
      <w:pPr>
        <w:pStyle w:val="TextBody"/>
        <w:bidi w:val="0"/>
        <w:jc w:val="both"/>
        <w:rPr>
          <w:rFonts w:ascii="Times New Roman" w:hAnsi="Times New Roman"/>
          <w:sz w:val="20"/>
        </w:rPr>
      </w:pPr>
      <w:r>
        <w:rPr>
          <w:rFonts w:ascii="Arial" w:hAnsi="Arial"/>
          <w:b w:val="false"/>
          <w:color w:val="000000"/>
          <w:sz w:val="20"/>
        </w:rPr>
        <w:t>We are in the process of implementing a risk assessment process and measures designed to improve our internal control over financial reporting and remediate the control deficiencies that led to the material weakness, including (1) hiring more qualified staff and increasing resources with sufficient knowledge and experience to strengthen financial reporting, (2) implementing software and procedures to enhance our Company’s IT environment and (3) devoting proper time by senior management to perform comprehensive review of procedures to assess risks and enforce effective accountability. The process of designing and implementing effective internal controls is a continuous effort that requires us to anticipate and react to changes in our business and the economic and regulatory environments and to expend significant resources to maintain a system of internal controls that is adequate to satisfy our reporting obligations as a public company. The elements of our remediation plan can only be accomplished over time, and we can offer no assurance that these initiatives will ultimately have the intended effects.</w:t>
      </w:r>
      <w:r>
        <w:rPr>
          <w:rFonts w:ascii="Times New Roman" w:hAnsi="Times New Roman"/>
          <w:color w:val="000000"/>
          <w:sz w:val="20"/>
        </w:rPr>
        <w:t xml:space="preserve"> </w:t>
      </w:r>
    </w:p>
    <w:p>
      <w:pPr>
        <w:pStyle w:val="TextBody"/>
        <w:bidi w:val="0"/>
        <w:spacing w:before="240" w:after="283"/>
        <w:jc w:val="both"/>
        <w:rPr>
          <w:rFonts w:ascii="Arial" w:hAnsi="Arial"/>
          <w:b w:val="false"/>
          <w:i/>
          <w:color w:val="000000"/>
          <w:sz w:val="20"/>
        </w:rPr>
      </w:pPr>
      <w:r>
        <w:rPr>
          <w:rFonts w:ascii="Arial" w:hAnsi="Arial"/>
          <w:b w:val="false"/>
          <w:i/>
          <w:color w:val="000000"/>
          <w:sz w:val="20"/>
        </w:rPr>
        <w:t>Changes in Internal Control over Financial Reporting</w:t>
      </w:r>
    </w:p>
    <w:p>
      <w:pPr>
        <w:pStyle w:val="TextBody"/>
        <w:bidi w:val="0"/>
        <w:jc w:val="left"/>
        <w:rPr/>
      </w:pPr>
      <w:r>
        <w:rPr/>
        <w:t> </w:t>
      </w:r>
    </w:p>
    <w:p>
      <w:pPr>
        <w:pStyle w:val="TextBody"/>
        <w:bidi w:val="0"/>
        <w:jc w:val="both"/>
        <w:rPr>
          <w:rFonts w:ascii="Arial" w:hAnsi="Arial"/>
          <w:b w:val="false"/>
          <w:color w:val="000000"/>
          <w:sz w:val="20"/>
        </w:rPr>
      </w:pPr>
      <w:r>
        <w:rPr>
          <w:rFonts w:ascii="Arial" w:hAnsi="Arial"/>
          <w:b w:val="false"/>
          <w:color w:val="000000"/>
          <w:sz w:val="20"/>
        </w:rPr>
        <w:t>During the most recently completed fiscal quarter, there has been no change in our internal control over financial reporting (as defined in Rules 13a-15(f) and 15d-15(f) under the Exchange Act) that has materially affected, or is reasonably likely to materially affect, our internal control over financial reporting.</w:t>
      </w:r>
    </w:p>
    <w:p>
      <w:pPr>
        <w:pStyle w:val="TextBody"/>
        <w:bidi w:val="0"/>
        <w:jc w:val="center"/>
        <w:rPr/>
      </w:pPr>
      <w:r>
        <w:rPr/>
        <w:t> </w:t>
      </w:r>
    </w:p>
    <w:p>
      <w:pPr>
        <w:pStyle w:val="TextBody"/>
        <w:bidi w:val="0"/>
        <w:jc w:val="center"/>
        <w:rPr>
          <w:rFonts w:ascii="Arial" w:hAnsi="Arial"/>
          <w:b w:val="false"/>
          <w:color w:val="000000"/>
          <w:sz w:val="20"/>
        </w:rPr>
      </w:pPr>
      <w:r>
        <w:rPr>
          <w:rFonts w:ascii="Arial" w:hAnsi="Arial"/>
          <w:b w:val="false"/>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bookmarkStart w:id="13" w:name="part_ii_other_information"/>
      <w:bookmarkEnd w:id="13"/>
      <w:r>
        <w:rPr>
          <w:rFonts w:ascii="Arial" w:hAnsi="Arial"/>
          <w:b/>
          <w:color w:val="000000"/>
          <w:sz w:val="20"/>
        </w:rPr>
        <w:t>PART II—OTHER INFORMATION</w:t>
      </w:r>
    </w:p>
    <w:p>
      <w:pPr>
        <w:pStyle w:val="TextBody"/>
        <w:bidi w:val="0"/>
        <w:spacing w:before="240" w:after="283"/>
        <w:jc w:val="both"/>
        <w:rPr>
          <w:rFonts w:ascii="Arial" w:hAnsi="Arial"/>
          <w:b/>
          <w:color w:val="000000"/>
          <w:sz w:val="20"/>
        </w:rPr>
      </w:pPr>
      <w:bookmarkStart w:id="14" w:name="ii_item1"/>
      <w:bookmarkEnd w:id="14"/>
      <w:r>
        <w:rPr>
          <w:rFonts w:ascii="Arial" w:hAnsi="Arial"/>
          <w:b/>
          <w:color w:val="000000"/>
          <w:sz w:val="20"/>
        </w:rPr>
        <w:t>Item 1. Legal Proceedings.</w:t>
      </w:r>
    </w:p>
    <w:p>
      <w:pPr>
        <w:pStyle w:val="TextBody"/>
        <w:bidi w:val="0"/>
        <w:spacing w:before="240" w:after="283"/>
        <w:jc w:val="both"/>
        <w:rPr>
          <w:rFonts w:ascii="Arial" w:hAnsi="Arial"/>
          <w:b w:val="false"/>
          <w:color w:val="000000"/>
          <w:sz w:val="20"/>
        </w:rPr>
      </w:pPr>
      <w:r>
        <w:rPr>
          <w:rFonts w:ascii="Arial" w:hAnsi="Arial"/>
          <w:b w:val="false"/>
          <w:color w:val="000000"/>
          <w:sz w:val="20"/>
        </w:rPr>
        <w:t>See Part I, Item 1, Note 14 to our consolidated financial statements entitled “Commitments and Contingencies,” which is incorporated in this item by reference.</w:t>
      </w:r>
    </w:p>
    <w:p>
      <w:pPr>
        <w:pStyle w:val="TextBody"/>
        <w:bidi w:val="0"/>
        <w:spacing w:before="240" w:after="283"/>
        <w:jc w:val="both"/>
        <w:rPr>
          <w:rFonts w:ascii="Arial" w:hAnsi="Arial"/>
          <w:b/>
          <w:color w:val="000000"/>
          <w:sz w:val="20"/>
        </w:rPr>
      </w:pPr>
      <w:bookmarkStart w:id="15" w:name="ii_item1a"/>
      <w:bookmarkEnd w:id="15"/>
      <w:r>
        <w:rPr>
          <w:rFonts w:ascii="Arial" w:hAnsi="Arial"/>
          <w:b/>
          <w:color w:val="000000"/>
          <w:sz w:val="20"/>
        </w:rPr>
        <w:t>Item 1A. Risk Factors.</w:t>
      </w:r>
    </w:p>
    <w:p>
      <w:pPr>
        <w:pStyle w:val="TextBody"/>
        <w:bidi w:val="0"/>
        <w:spacing w:before="240" w:after="283"/>
        <w:jc w:val="both"/>
        <w:rPr>
          <w:rFonts w:ascii="Arial" w:hAnsi="Arial"/>
          <w:b w:val="false"/>
          <w:color w:val="000000"/>
          <w:sz w:val="20"/>
        </w:rPr>
      </w:pPr>
      <w:r>
        <w:rPr>
          <w:rFonts w:ascii="Arial" w:hAnsi="Arial"/>
          <w:b w:val="false"/>
          <w:color w:val="000000"/>
          <w:sz w:val="20"/>
        </w:rPr>
        <w:t>Our proxy statement/prospectus/consent solicitation statement filed with the SEC on May 12, 2023 (the “Proxy Statement”), describes important risk factors that could cause our business, financial condition, results of operations and growth prospects to differ materially from those indicated or suggested by forward-looking statements made in this Report or presented elsewhere by management from time to time. There have been no material changes in the risk factors that appear in the Proxy Statement. Additional risks and uncertainties not currently known to us or that we currently deem to be immaterial may also materially and adversely affect our business.</w:t>
      </w:r>
    </w:p>
    <w:p>
      <w:pPr>
        <w:pStyle w:val="TextBody"/>
        <w:bidi w:val="0"/>
        <w:spacing w:before="240" w:after="283"/>
        <w:jc w:val="both"/>
        <w:rPr>
          <w:rFonts w:ascii="Arial" w:hAnsi="Arial"/>
          <w:b/>
          <w:color w:val="000000"/>
          <w:sz w:val="20"/>
        </w:rPr>
      </w:pPr>
      <w:bookmarkStart w:id="16" w:name="ii_item2"/>
      <w:bookmarkEnd w:id="16"/>
      <w:r>
        <w:rPr>
          <w:rFonts w:ascii="Arial" w:hAnsi="Arial"/>
          <w:b/>
          <w:color w:val="000000"/>
          <w:sz w:val="20"/>
        </w:rPr>
        <w:t>Item 2. Unregistered Sales of Equity Securities and Use of Proceeds.</w:t>
      </w:r>
    </w:p>
    <w:p>
      <w:pPr>
        <w:pStyle w:val="TextBody"/>
        <w:bidi w:val="0"/>
        <w:spacing w:before="240" w:after="283"/>
        <w:jc w:val="both"/>
        <w:rPr>
          <w:rFonts w:ascii="Arial" w:hAnsi="Arial"/>
          <w:b w:val="false"/>
          <w:color w:val="000000"/>
          <w:sz w:val="20"/>
        </w:rPr>
      </w:pPr>
      <w:r>
        <w:rPr>
          <w:rFonts w:ascii="Arial" w:hAnsi="Arial"/>
          <w:b w:val="false"/>
          <w:color w:val="000000"/>
          <w:sz w:val="20"/>
        </w:rPr>
        <w:t>None.</w:t>
      </w:r>
    </w:p>
    <w:p>
      <w:pPr>
        <w:pStyle w:val="TextBody"/>
        <w:bidi w:val="0"/>
        <w:spacing w:before="240" w:after="283"/>
        <w:jc w:val="both"/>
        <w:rPr>
          <w:rFonts w:ascii="Arial" w:hAnsi="Arial"/>
          <w:b/>
          <w:color w:val="000000"/>
          <w:sz w:val="20"/>
        </w:rPr>
      </w:pPr>
      <w:bookmarkStart w:id="17" w:name="ii_item3"/>
      <w:bookmarkEnd w:id="17"/>
      <w:r>
        <w:rPr>
          <w:rFonts w:ascii="Arial" w:hAnsi="Arial"/>
          <w:b/>
          <w:color w:val="000000"/>
          <w:sz w:val="20"/>
        </w:rPr>
        <w:t>Item 3. Defaults Upon Senior Securities.</w:t>
      </w:r>
    </w:p>
    <w:p>
      <w:pPr>
        <w:pStyle w:val="TextBody"/>
        <w:bidi w:val="0"/>
        <w:spacing w:before="240" w:after="283"/>
        <w:jc w:val="both"/>
        <w:rPr>
          <w:rFonts w:ascii="Arial" w:hAnsi="Arial"/>
          <w:b w:val="false"/>
          <w:color w:val="000000"/>
          <w:sz w:val="20"/>
        </w:rPr>
      </w:pPr>
      <w:r>
        <w:rPr>
          <w:rFonts w:ascii="Arial" w:hAnsi="Arial"/>
          <w:b w:val="false"/>
          <w:color w:val="000000"/>
          <w:sz w:val="20"/>
        </w:rPr>
        <w:t>None.</w:t>
      </w:r>
    </w:p>
    <w:p>
      <w:pPr>
        <w:pStyle w:val="TextBody"/>
        <w:bidi w:val="0"/>
        <w:spacing w:before="240" w:after="283"/>
        <w:jc w:val="both"/>
        <w:rPr>
          <w:rFonts w:ascii="Arial" w:hAnsi="Arial"/>
          <w:b/>
          <w:color w:val="000000"/>
          <w:sz w:val="20"/>
        </w:rPr>
      </w:pPr>
      <w:bookmarkStart w:id="18" w:name="ii_item4"/>
      <w:bookmarkEnd w:id="18"/>
      <w:r>
        <w:rPr>
          <w:rFonts w:ascii="Arial" w:hAnsi="Arial"/>
          <w:b/>
          <w:color w:val="000000"/>
          <w:sz w:val="20"/>
        </w:rPr>
        <w:t>Item 4. Mine Safety Disclosures.</w:t>
      </w:r>
    </w:p>
    <w:p>
      <w:pPr>
        <w:pStyle w:val="TextBody"/>
        <w:bidi w:val="0"/>
        <w:spacing w:before="240" w:after="283"/>
        <w:jc w:val="both"/>
        <w:rPr>
          <w:rFonts w:ascii="Arial" w:hAnsi="Arial"/>
          <w:b w:val="false"/>
          <w:color w:val="000000"/>
          <w:sz w:val="20"/>
        </w:rPr>
      </w:pPr>
      <w:r>
        <w:rPr>
          <w:rFonts w:ascii="Arial" w:hAnsi="Arial"/>
          <w:b w:val="false"/>
          <w:color w:val="000000"/>
          <w:sz w:val="20"/>
        </w:rPr>
        <w:t>Not applicable.</w:t>
      </w:r>
    </w:p>
    <w:p>
      <w:pPr>
        <w:pStyle w:val="TextBody"/>
        <w:bidi w:val="0"/>
        <w:spacing w:before="240" w:after="283"/>
        <w:jc w:val="both"/>
        <w:rPr>
          <w:rFonts w:ascii="Arial" w:hAnsi="Arial"/>
          <w:b/>
          <w:color w:val="000000"/>
          <w:sz w:val="20"/>
        </w:rPr>
      </w:pPr>
      <w:bookmarkStart w:id="19" w:name="ii_item5"/>
      <w:bookmarkEnd w:id="19"/>
      <w:r>
        <w:rPr>
          <w:rFonts w:ascii="Arial" w:hAnsi="Arial"/>
          <w:b/>
          <w:color w:val="000000"/>
          <w:sz w:val="20"/>
        </w:rPr>
        <w:t>Item 5. Other Information.</w:t>
      </w:r>
    </w:p>
    <w:p>
      <w:pPr>
        <w:pStyle w:val="TextBody"/>
        <w:bidi w:val="0"/>
        <w:spacing w:before="240" w:after="283"/>
        <w:jc w:val="both"/>
        <w:rPr>
          <w:rFonts w:ascii="Arial" w:hAnsi="Arial"/>
          <w:b w:val="false"/>
          <w:color w:val="000000"/>
          <w:sz w:val="20"/>
        </w:rPr>
      </w:pPr>
      <w:r>
        <w:rPr>
          <w:rFonts w:ascii="Arial" w:hAnsi="Arial"/>
          <w:b w:val="false"/>
          <w:color w:val="000000"/>
          <w:sz w:val="20"/>
        </w:rPr>
        <w:t>During the quarter ended September 30, 2023, none of our directors or officers (as defined in Rule 16a-1(f) of the Exchange Act) adopted, terminated or modified a Rule 10b5-1 trading arrangement or non-Rule 10b5-1 trading arrangement (as such terms are defined in Item 408 of Regulation S-K).</w:t>
      </w:r>
    </w:p>
    <w:p>
      <w:pPr>
        <w:pStyle w:val="TextBody"/>
        <w:bidi w:val="0"/>
        <w:jc w:val="center"/>
        <w:rPr/>
      </w:pPr>
      <w:r>
        <w:rPr/>
        <w:t> </w:t>
      </w:r>
    </w:p>
    <w:p>
      <w:pPr>
        <w:pStyle w:val="TextBody"/>
        <w:bidi w:val="0"/>
        <w:jc w:val="center"/>
        <w:rPr>
          <w:rFonts w:ascii="Arial" w:hAnsi="Arial"/>
          <w:b w:val="false"/>
          <w:color w:val="000000"/>
          <w:sz w:val="20"/>
        </w:rPr>
      </w:pPr>
      <w:r>
        <w:rPr>
          <w:rFonts w:ascii="Arial" w:hAnsi="Arial"/>
          <w:b w:val="false"/>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b/>
          <w:color w:val="000000"/>
          <w:sz w:val="20"/>
        </w:rPr>
      </w:pPr>
      <w:bookmarkStart w:id="20" w:name="ii_item6"/>
      <w:bookmarkEnd w:id="20"/>
      <w:r>
        <w:rPr>
          <w:rFonts w:ascii="Arial" w:hAnsi="Arial"/>
          <w:b/>
          <w:color w:val="000000"/>
          <w:sz w:val="20"/>
        </w:rPr>
        <w:t>Item 6. Exhibits.</w:t>
      </w:r>
    </w:p>
    <w:p>
      <w:pPr>
        <w:pStyle w:val="TextBody"/>
        <w:bidi w:val="0"/>
        <w:spacing w:before="240" w:after="283"/>
        <w:jc w:val="both"/>
        <w:rPr>
          <w:rFonts w:ascii="Arial" w:hAnsi="Arial"/>
          <w:b w:val="false"/>
          <w:color w:val="000000"/>
          <w:sz w:val="20"/>
        </w:rPr>
      </w:pPr>
      <w:r>
        <w:rPr>
          <w:rFonts w:ascii="Arial" w:hAnsi="Arial"/>
          <w:b w:val="false"/>
          <w:color w:val="000000"/>
          <w:sz w:val="20"/>
        </w:rPr>
        <w:t>The following exhibits are filed as part of, or incorporated by reference into, this Report.</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751"/>
        <w:gridCol w:w="146"/>
        <w:gridCol w:w="9308"/>
      </w:tblGrid>
      <w:tr>
        <w:trPr/>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08" w:type="dxa"/>
            <w:tcBorders/>
            <w:vAlign w:val="center"/>
          </w:tcPr>
          <w:p>
            <w:pPr>
              <w:pStyle w:val="TableContents"/>
              <w:bidi w:val="0"/>
              <w:spacing w:before="0" w:after="283"/>
              <w:jc w:val="left"/>
              <w:rPr>
                <w:sz w:val="4"/>
                <w:szCs w:val="4"/>
              </w:rPr>
            </w:pPr>
            <w:r>
              <w:rPr>
                <w:sz w:val="4"/>
                <w:szCs w:val="4"/>
              </w:rPr>
            </w:r>
          </w:p>
        </w:tc>
      </w:tr>
      <w:tr>
        <w:trPr/>
        <w:tc>
          <w:tcPr>
            <w:tcW w:w="751" w:type="dxa"/>
            <w:tcBorders>
              <w:bottom w:val="single" w:sz="2" w:space="0" w:color="000000"/>
            </w:tcBorders>
            <w:shd w:fill="FFFFFF" w:val="clear"/>
            <w:tcMar>
              <w:top w:w="0" w:type="dxa"/>
              <w:left w:w="0" w:type="dxa"/>
              <w:right w:w="0" w:type="dxa"/>
            </w:tcMar>
            <w:vAlign w:val="center"/>
          </w:tcPr>
          <w:p>
            <w:pPr>
              <w:pStyle w:val="TableContents"/>
              <w:bidi w:val="0"/>
              <w:jc w:val="both"/>
              <w:rPr>
                <w:rFonts w:ascii="Arial" w:hAnsi="Arial"/>
                <w:b/>
                <w:color w:val="000000"/>
                <w:sz w:val="16"/>
              </w:rPr>
            </w:pPr>
            <w:r>
              <w:rPr>
                <w:rFonts w:ascii="Arial" w:hAnsi="Arial"/>
                <w:b/>
                <w:color w:val="000000"/>
                <w:sz w:val="16"/>
              </w:rPr>
              <w:t>Exhibit</w:t>
            </w:r>
          </w:p>
          <w:p>
            <w:pPr>
              <w:pStyle w:val="TableContents"/>
              <w:bidi w:val="0"/>
              <w:spacing w:before="0" w:after="283"/>
              <w:jc w:val="both"/>
              <w:rPr>
                <w:rFonts w:ascii="Arial" w:hAnsi="Arial"/>
                <w:b/>
                <w:color w:val="000000"/>
                <w:sz w:val="16"/>
              </w:rPr>
            </w:pPr>
            <w:r>
              <w:rPr>
                <w:rFonts w:ascii="Arial" w:hAnsi="Arial"/>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08"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both"/>
              <w:rPr>
                <w:rFonts w:ascii="Arial" w:hAnsi="Arial"/>
                <w:b/>
                <w:color w:val="000000"/>
                <w:sz w:val="16"/>
              </w:rPr>
            </w:pPr>
            <w:r>
              <w:rPr>
                <w:rFonts w:ascii="Arial" w:hAnsi="Arial"/>
                <w:b/>
                <w:color w:val="000000"/>
                <w:sz w:val="16"/>
              </w:rPr>
              <w:t>Description</w:t>
            </w:r>
          </w:p>
        </w:tc>
      </w:tr>
      <w:tr>
        <w:trPr/>
        <w:tc>
          <w:tcPr>
            <w:tcW w:w="7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tcBorders/>
            <w:shd w:fill="FFFFFF" w:val="clear"/>
            <w:tcMar>
              <w:top w:w="0" w:type="dxa"/>
              <w:left w:w="0" w:type="dxa"/>
              <w:bottom w:w="0" w:type="dxa"/>
              <w:right w:w="0" w:type="dxa"/>
            </w:tcMar>
            <w:vAlign w:val="center"/>
          </w:tcPr>
          <w:p>
            <w:pPr>
              <w:pStyle w:val="TableContents"/>
              <w:bidi w:val="0"/>
              <w:spacing w:before="0" w:after="283"/>
              <w:jc w:val="both"/>
              <w:rPr>
                <w:rFonts w:ascii="Arial" w:hAnsi="Arial"/>
                <w:b w:val="false"/>
                <w:color w:val="000000"/>
                <w:sz w:val="20"/>
              </w:rPr>
            </w:pPr>
            <w:r>
              <w:rPr>
                <w:rFonts w:ascii="Arial" w:hAnsi="Arial"/>
                <w:b w:val="false"/>
                <w:color w:val="000000"/>
                <w:sz w:val="20"/>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308" w:type="dxa"/>
            <w:tcBorders/>
            <w:shd w:fill="FFFFFF" w:val="clear"/>
            <w:tcMar>
              <w:top w:w="0" w:type="dxa"/>
              <w:left w:w="0" w:type="dxa"/>
              <w:bottom w:w="0" w:type="dxa"/>
              <w:right w:w="0" w:type="dxa"/>
            </w:tcMar>
            <w:vAlign w:val="center"/>
          </w:tcPr>
          <w:p>
            <w:pPr>
              <w:pStyle w:val="TableContents"/>
              <w:bidi w:val="0"/>
              <w:spacing w:before="0" w:after="283"/>
              <w:jc w:val="both"/>
              <w:rPr/>
            </w:pPr>
            <w:hyperlink r:id="rId2">
              <w:r>
                <w:rPr>
                  <w:rStyle w:val="InternetLink"/>
                  <w:rFonts w:ascii="Arial" w:hAnsi="Arial"/>
                  <w:b w:val="false"/>
                  <w:color w:val="0000FF"/>
                  <w:sz w:val="20"/>
                  <w:u w:val="single"/>
                </w:rPr>
                <w:t>Agreement and Plan of Merger, dated as of February 13, 2023, by and among ROC Energy Acquisition Corp., ROC Merger Sub, Inc. and Drilling Tools International Holdings, Inc. (incorporated by reference to Exhibit 2.1 to ROC Energy Acquisition Corp.’s Current Report on Form 8-K (File No. 001-41103), filed with the Securities and Exchange Commission on February 13, 2023).</w:t>
              </w:r>
            </w:hyperlink>
          </w:p>
        </w:tc>
      </w:tr>
      <w:tr>
        <w:trPr/>
        <w:tc>
          <w:tcPr>
            <w:tcW w:w="751" w:type="dxa"/>
            <w:tcBorders/>
            <w:shd w:fill="FFFFFF" w:val="clear"/>
            <w:tcMar>
              <w:top w:w="0" w:type="dxa"/>
              <w:left w:w="0" w:type="dxa"/>
              <w:bottom w:w="0" w:type="dxa"/>
              <w:right w:w="0" w:type="dxa"/>
            </w:tcMar>
            <w:vAlign w:val="center"/>
          </w:tcPr>
          <w:p>
            <w:pPr>
              <w:pStyle w:val="TableContents"/>
              <w:bidi w:val="0"/>
              <w:spacing w:before="0" w:after="283"/>
              <w:jc w:val="both"/>
              <w:rPr>
                <w:rFonts w:ascii="Arial" w:hAnsi="Arial"/>
                <w:b w:val="false"/>
                <w:color w:val="000000"/>
                <w:sz w:val="20"/>
              </w:rPr>
            </w:pPr>
            <w:r>
              <w:rPr>
                <w:rFonts w:ascii="Arial" w:hAnsi="Arial"/>
                <w:b w:val="false"/>
                <w:color w:val="000000"/>
                <w:sz w:val="20"/>
              </w:rPr>
              <w:t>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308" w:type="dxa"/>
            <w:tcBorders/>
            <w:shd w:fill="FFFFFF" w:val="clear"/>
            <w:tcMar>
              <w:top w:w="0" w:type="dxa"/>
              <w:left w:w="0" w:type="dxa"/>
              <w:bottom w:w="0" w:type="dxa"/>
              <w:right w:w="0" w:type="dxa"/>
            </w:tcMar>
            <w:vAlign w:val="center"/>
          </w:tcPr>
          <w:p>
            <w:pPr>
              <w:pStyle w:val="TableContents"/>
              <w:bidi w:val="0"/>
              <w:spacing w:before="0" w:after="283"/>
              <w:jc w:val="both"/>
              <w:rPr/>
            </w:pPr>
            <w:hyperlink r:id="rId3">
              <w:r>
                <w:rPr>
                  <w:rStyle w:val="InternetLink"/>
                  <w:rFonts w:ascii="Arial" w:hAnsi="Arial"/>
                  <w:b w:val="false"/>
                  <w:color w:val="0000FF"/>
                  <w:sz w:val="20"/>
                  <w:u w:val="single"/>
                </w:rPr>
                <w:t>First Amendment to the Agreement and Plan of Merger, by and among ROC Energy Acquisition Corp., ROC Merger Sub, Inc. and Drilling Tools International Holdings, Inc. (incorporated by reference to Exhibit 2.1 to ROC Energy Acquisition Corp.’s Current Report on Form 8-K (File No. 001-41103), filed with the Securities and Exchange Commission on June 9, 2023).</w:t>
              </w:r>
            </w:hyperlink>
          </w:p>
        </w:tc>
      </w:tr>
      <w:tr>
        <w:trPr/>
        <w:tc>
          <w:tcPr>
            <w:tcW w:w="751" w:type="dxa"/>
            <w:tcBorders/>
            <w:shd w:fill="FFFFFF" w:val="clear"/>
            <w:tcMar>
              <w:top w:w="0" w:type="dxa"/>
              <w:left w:w="0" w:type="dxa"/>
              <w:bottom w:w="0" w:type="dxa"/>
              <w:right w:w="0" w:type="dxa"/>
            </w:tcMar>
            <w:vAlign w:val="center"/>
          </w:tcPr>
          <w:p>
            <w:pPr>
              <w:pStyle w:val="TableContents"/>
              <w:bidi w:val="0"/>
              <w:spacing w:before="0" w:after="283"/>
              <w:jc w:val="both"/>
              <w:rPr>
                <w:rFonts w:ascii="Arial" w:hAnsi="Arial"/>
                <w:b w:val="false"/>
                <w:color w:val="000000"/>
                <w:sz w:val="20"/>
              </w:rPr>
            </w:pPr>
            <w:r>
              <w:rPr>
                <w:rFonts w:ascii="Arial" w:hAnsi="Arial"/>
                <w:b w:val="false"/>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308" w:type="dxa"/>
            <w:tcBorders/>
            <w:shd w:fill="FFFFFF" w:val="clear"/>
            <w:tcMar>
              <w:top w:w="0" w:type="dxa"/>
              <w:left w:w="0" w:type="dxa"/>
              <w:bottom w:w="0" w:type="dxa"/>
              <w:right w:w="0" w:type="dxa"/>
            </w:tcMar>
            <w:vAlign w:val="center"/>
          </w:tcPr>
          <w:p>
            <w:pPr>
              <w:pStyle w:val="TableContents"/>
              <w:bidi w:val="0"/>
              <w:spacing w:before="0" w:after="283"/>
              <w:jc w:val="both"/>
              <w:rPr/>
            </w:pPr>
            <w:hyperlink r:id="rId4">
              <w:r>
                <w:rPr>
                  <w:rStyle w:val="InternetLink"/>
                  <w:rFonts w:ascii="Arial" w:hAnsi="Arial"/>
                  <w:b w:val="false"/>
                  <w:color w:val="0000FF"/>
                  <w:sz w:val="20"/>
                  <w:u w:val="single"/>
                </w:rPr>
                <w:t>Second Amended and Restated Certificate of Incorporation of Drilling Tools International Corporation (incorporated by reference to Exhibit 3.1 to Drilling Tools International Corporation’s Current Report on Form 8-K (File No. 001-41103), filed with the Securities and Exchange Commission on June 27, 2023).</w:t>
              </w:r>
            </w:hyperlink>
          </w:p>
        </w:tc>
      </w:tr>
      <w:tr>
        <w:trPr/>
        <w:tc>
          <w:tcPr>
            <w:tcW w:w="751" w:type="dxa"/>
            <w:tcBorders/>
            <w:shd w:fill="FFFFFF" w:val="clear"/>
            <w:tcMar>
              <w:top w:w="0" w:type="dxa"/>
              <w:left w:w="0" w:type="dxa"/>
              <w:bottom w:w="0" w:type="dxa"/>
              <w:right w:w="0" w:type="dxa"/>
            </w:tcMar>
            <w:vAlign w:val="center"/>
          </w:tcPr>
          <w:p>
            <w:pPr>
              <w:pStyle w:val="TableContents"/>
              <w:bidi w:val="0"/>
              <w:spacing w:before="0" w:after="283"/>
              <w:jc w:val="both"/>
              <w:rPr>
                <w:rFonts w:ascii="Arial" w:hAnsi="Arial"/>
                <w:b w:val="false"/>
                <w:color w:val="000000"/>
                <w:sz w:val="20"/>
              </w:rPr>
            </w:pPr>
            <w:r>
              <w:rPr>
                <w:rFonts w:ascii="Arial" w:hAnsi="Arial"/>
                <w:b w:val="false"/>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308" w:type="dxa"/>
            <w:tcBorders/>
            <w:shd w:fill="FFFFFF" w:val="clear"/>
            <w:tcMar>
              <w:top w:w="0" w:type="dxa"/>
              <w:left w:w="0" w:type="dxa"/>
              <w:bottom w:w="0" w:type="dxa"/>
              <w:right w:w="0" w:type="dxa"/>
            </w:tcMar>
            <w:vAlign w:val="center"/>
          </w:tcPr>
          <w:p>
            <w:pPr>
              <w:pStyle w:val="TableContents"/>
              <w:bidi w:val="0"/>
              <w:spacing w:before="0" w:after="283"/>
              <w:jc w:val="both"/>
              <w:rPr/>
            </w:pPr>
            <w:hyperlink r:id="rId5">
              <w:r>
                <w:rPr>
                  <w:rStyle w:val="InternetLink"/>
                  <w:rFonts w:ascii="Arial" w:hAnsi="Arial"/>
                  <w:b w:val="false"/>
                  <w:color w:val="0000FF"/>
                  <w:sz w:val="20"/>
                  <w:u w:val="single"/>
                </w:rPr>
                <w:t>Amended and Restated Bylaws of Drilling Tools International Corporation (incorporated by reference to Exhibit 3.2 to Drilling Tools International Corporation’s Current Report on Form 8-K (File No. 001-41103), filed with the Securities and Exchange Commission on June 27, 2023).</w:t>
              </w:r>
            </w:hyperlink>
          </w:p>
        </w:tc>
      </w:tr>
      <w:tr>
        <w:trPr/>
        <w:tc>
          <w:tcPr>
            <w:tcW w:w="751" w:type="dxa"/>
            <w:tcBorders/>
            <w:shd w:fill="FFFFFF" w:val="clear"/>
            <w:tcMar>
              <w:top w:w="0" w:type="dxa"/>
              <w:left w:w="0" w:type="dxa"/>
              <w:bottom w:w="0" w:type="dxa"/>
              <w:right w:w="0" w:type="dxa"/>
            </w:tcMar>
            <w:vAlign w:val="center"/>
          </w:tcPr>
          <w:p>
            <w:pPr>
              <w:pStyle w:val="TableContents"/>
              <w:bidi w:val="0"/>
              <w:spacing w:before="0" w:after="283"/>
              <w:jc w:val="both"/>
              <w:rPr>
                <w:rFonts w:ascii="Arial" w:hAnsi="Arial"/>
                <w:b w:val="false"/>
                <w:color w:val="000000"/>
                <w:sz w:val="20"/>
              </w:rPr>
            </w:pPr>
            <w:r>
              <w:rPr>
                <w:rFonts w:ascii="Arial" w:hAnsi="Arial"/>
                <w:b w:val="false"/>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308" w:type="dxa"/>
            <w:tcBorders/>
            <w:shd w:fill="FFFFFF" w:val="clear"/>
            <w:tcMar>
              <w:top w:w="0" w:type="dxa"/>
              <w:left w:w="0" w:type="dxa"/>
              <w:bottom w:w="0" w:type="dxa"/>
              <w:right w:w="0" w:type="dxa"/>
            </w:tcMar>
            <w:vAlign w:val="center"/>
          </w:tcPr>
          <w:p>
            <w:pPr>
              <w:pStyle w:val="TableContents"/>
              <w:bidi w:val="0"/>
              <w:spacing w:before="0" w:after="283"/>
              <w:jc w:val="both"/>
              <w:rPr/>
            </w:pPr>
            <w:hyperlink r:id="rId6">
              <w:r>
                <w:rPr>
                  <w:rStyle w:val="InternetLink"/>
                  <w:rFonts w:ascii="Arial" w:hAnsi="Arial"/>
                  <w:b w:val="false"/>
                  <w:color w:val="0000FF"/>
                  <w:sz w:val="20"/>
                  <w:u w:val="single"/>
                </w:rPr>
                <w:t>Form of Specimen Common Stock Certificate of Drilling Tools International Corporation (incorporated by reference to Exhibit 4.1 to Drilling Tools International Corporation’s Current Report on Form 8-K (File No. 001-41103), filed with the Securities and Exchange Commission on June 27, 2023).</w:t>
              </w:r>
            </w:hyperlink>
          </w:p>
        </w:tc>
      </w:tr>
      <w:tr>
        <w:trPr/>
        <w:tc>
          <w:tcPr>
            <w:tcW w:w="751" w:type="dxa"/>
            <w:tcBorders/>
            <w:shd w:fill="FFFFFF" w:val="clear"/>
            <w:tcMar>
              <w:top w:w="0" w:type="dxa"/>
              <w:left w:w="0" w:type="dxa"/>
              <w:bottom w:w="0" w:type="dxa"/>
              <w:right w:w="0" w:type="dxa"/>
            </w:tcMar>
            <w:vAlign w:val="center"/>
          </w:tcPr>
          <w:p>
            <w:pPr>
              <w:pStyle w:val="TableContents"/>
              <w:bidi w:val="0"/>
              <w:spacing w:before="0" w:after="283"/>
              <w:jc w:val="both"/>
              <w:rPr>
                <w:rFonts w:ascii="Arial" w:hAnsi="Arial"/>
                <w:b w:val="false"/>
                <w:color w:val="000000"/>
                <w:sz w:val="20"/>
              </w:rPr>
            </w:pPr>
            <w:r>
              <w:rPr>
                <w:rFonts w:ascii="Arial" w:hAnsi="Arial"/>
                <w:b w:val="false"/>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308" w:type="dxa"/>
            <w:tcBorders/>
            <w:shd w:fill="FFFFFF" w:val="clear"/>
            <w:tcMar>
              <w:top w:w="0" w:type="dxa"/>
              <w:left w:w="0" w:type="dxa"/>
              <w:bottom w:w="0" w:type="dxa"/>
              <w:right w:w="0" w:type="dxa"/>
            </w:tcMar>
            <w:vAlign w:val="center"/>
          </w:tcPr>
          <w:p>
            <w:pPr>
              <w:pStyle w:val="TableContents"/>
              <w:bidi w:val="0"/>
              <w:spacing w:before="0" w:after="283"/>
              <w:jc w:val="both"/>
              <w:rPr/>
            </w:pPr>
            <w:hyperlink r:id="rId7">
              <w:r>
                <w:rPr>
                  <w:rStyle w:val="InternetLink"/>
                  <w:rFonts w:ascii="Arial" w:hAnsi="Arial"/>
                  <w:b w:val="false"/>
                  <w:color w:val="0000FF"/>
                  <w:sz w:val="20"/>
                  <w:u w:val="single"/>
                </w:rPr>
                <w:t>Form of Subscription Agreement (incorporated by reference to Exhibit 10.13 to ROC Energy Acquisition Corp.’s Registration Statement on Form S-4 (File No. 333-269763), filed with the Securities and Exchange Commission on April 21, 2023).</w:t>
              </w:r>
            </w:hyperlink>
          </w:p>
        </w:tc>
      </w:tr>
      <w:tr>
        <w:trPr/>
        <w:tc>
          <w:tcPr>
            <w:tcW w:w="751" w:type="dxa"/>
            <w:tcBorders/>
            <w:shd w:fill="FFFFFF" w:val="clear"/>
            <w:tcMar>
              <w:top w:w="0" w:type="dxa"/>
              <w:left w:w="0" w:type="dxa"/>
              <w:bottom w:w="0" w:type="dxa"/>
              <w:right w:w="0" w:type="dxa"/>
            </w:tcMar>
            <w:vAlign w:val="center"/>
          </w:tcPr>
          <w:p>
            <w:pPr>
              <w:pStyle w:val="TableContents"/>
              <w:bidi w:val="0"/>
              <w:spacing w:before="0" w:after="283"/>
              <w:jc w:val="both"/>
              <w:rPr>
                <w:rFonts w:ascii="Arial" w:hAnsi="Arial"/>
                <w:b w:val="false"/>
                <w:color w:val="000000"/>
                <w:sz w:val="20"/>
              </w:rPr>
            </w:pPr>
            <w:r>
              <w:rPr>
                <w:rFonts w:ascii="Arial" w:hAnsi="Arial"/>
                <w:b w:val="false"/>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308" w:type="dxa"/>
            <w:tcBorders/>
            <w:shd w:fill="FFFFFF" w:val="clear"/>
            <w:tcMar>
              <w:top w:w="0" w:type="dxa"/>
              <w:left w:w="0" w:type="dxa"/>
              <w:bottom w:w="0" w:type="dxa"/>
              <w:right w:w="0" w:type="dxa"/>
            </w:tcMar>
            <w:vAlign w:val="center"/>
          </w:tcPr>
          <w:p>
            <w:pPr>
              <w:pStyle w:val="TableContents"/>
              <w:bidi w:val="0"/>
              <w:spacing w:before="0" w:after="283"/>
              <w:jc w:val="both"/>
              <w:rPr/>
            </w:pPr>
            <w:hyperlink r:id="rId8">
              <w:r>
                <w:rPr>
                  <w:rStyle w:val="InternetLink"/>
                  <w:rFonts w:ascii="Arial" w:hAnsi="Arial"/>
                  <w:b w:val="false"/>
                  <w:color w:val="0000FF"/>
                  <w:sz w:val="20"/>
                  <w:u w:val="single"/>
                </w:rPr>
                <w:t>Form of Amendment to the Subscription Agreement (incorporated by reference to Exhibit 10.2 to Drilling Tools International Corporation’s Current Report on Form 8-K (File No. 001-41103), filed with the Securities and Exchange Commission on June 27, 2023).</w:t>
              </w:r>
            </w:hyperlink>
          </w:p>
        </w:tc>
      </w:tr>
      <w:tr>
        <w:trPr/>
        <w:tc>
          <w:tcPr>
            <w:tcW w:w="751" w:type="dxa"/>
            <w:tcBorders/>
            <w:shd w:fill="FFFFFF" w:val="clear"/>
            <w:tcMar>
              <w:top w:w="0" w:type="dxa"/>
              <w:left w:w="0" w:type="dxa"/>
              <w:bottom w:w="0" w:type="dxa"/>
              <w:right w:w="0" w:type="dxa"/>
            </w:tcMar>
            <w:vAlign w:val="center"/>
          </w:tcPr>
          <w:p>
            <w:pPr>
              <w:pStyle w:val="TableContents"/>
              <w:bidi w:val="0"/>
              <w:spacing w:before="0" w:after="283"/>
              <w:jc w:val="both"/>
              <w:rPr>
                <w:rFonts w:ascii="Arial" w:hAnsi="Arial"/>
                <w:b w:val="false"/>
                <w:color w:val="000000"/>
                <w:sz w:val="20"/>
              </w:rPr>
            </w:pPr>
            <w:r>
              <w:rPr>
                <w:rFonts w:ascii="Arial" w:hAnsi="Arial"/>
                <w:b w:val="false"/>
                <w:color w:val="000000"/>
                <w:sz w:val="20"/>
              </w:rPr>
              <w:t>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308" w:type="dxa"/>
            <w:tcBorders/>
            <w:shd w:fill="FFFFFF" w:val="clear"/>
            <w:tcMar>
              <w:top w:w="0" w:type="dxa"/>
              <w:left w:w="0" w:type="dxa"/>
              <w:bottom w:w="0" w:type="dxa"/>
              <w:right w:w="0" w:type="dxa"/>
            </w:tcMar>
            <w:vAlign w:val="center"/>
          </w:tcPr>
          <w:p>
            <w:pPr>
              <w:pStyle w:val="TableContents"/>
              <w:bidi w:val="0"/>
              <w:spacing w:before="0" w:after="283"/>
              <w:jc w:val="both"/>
              <w:rPr/>
            </w:pPr>
            <w:hyperlink r:id="rId9">
              <w:r>
                <w:rPr>
                  <w:rStyle w:val="InternetLink"/>
                  <w:rFonts w:ascii="Arial" w:hAnsi="Arial"/>
                  <w:b w:val="false"/>
                  <w:color w:val="0000FF"/>
                  <w:sz w:val="20"/>
                  <w:u w:val="single"/>
                </w:rPr>
                <w:t>Form of Exchange Agreement (incorporated by reference to Exhibit 10.3 to Drilling Tools International Corporation’s Current Report on Form 8-K (File No. 001-41103), filed with the Securities and Exchange Commission on June 27, 2023).</w:t>
              </w:r>
            </w:hyperlink>
          </w:p>
        </w:tc>
      </w:tr>
      <w:tr>
        <w:trPr/>
        <w:tc>
          <w:tcPr>
            <w:tcW w:w="751" w:type="dxa"/>
            <w:tcBorders/>
            <w:shd w:fill="FFFFFF" w:val="clear"/>
            <w:tcMar>
              <w:top w:w="0" w:type="dxa"/>
              <w:left w:w="0" w:type="dxa"/>
              <w:bottom w:w="0" w:type="dxa"/>
              <w:right w:w="0" w:type="dxa"/>
            </w:tcMar>
            <w:vAlign w:val="center"/>
          </w:tcPr>
          <w:p>
            <w:pPr>
              <w:pStyle w:val="TableContents"/>
              <w:bidi w:val="0"/>
              <w:spacing w:before="0" w:after="283"/>
              <w:jc w:val="both"/>
              <w:rPr>
                <w:rFonts w:ascii="Arial" w:hAnsi="Arial"/>
                <w:b w:val="false"/>
                <w:color w:val="000000"/>
                <w:sz w:val="20"/>
              </w:rPr>
            </w:pPr>
            <w:r>
              <w:rPr>
                <w:rFonts w:ascii="Arial" w:hAnsi="Arial"/>
                <w:b w:val="false"/>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308" w:type="dxa"/>
            <w:tcBorders/>
            <w:shd w:fill="FFFFFF" w:val="clear"/>
            <w:tcMar>
              <w:top w:w="0" w:type="dxa"/>
              <w:left w:w="0" w:type="dxa"/>
              <w:bottom w:w="0" w:type="dxa"/>
              <w:right w:w="0" w:type="dxa"/>
            </w:tcMar>
            <w:vAlign w:val="center"/>
          </w:tcPr>
          <w:p>
            <w:pPr>
              <w:pStyle w:val="TableContents"/>
              <w:bidi w:val="0"/>
              <w:spacing w:before="0" w:after="283"/>
              <w:jc w:val="both"/>
              <w:rPr/>
            </w:pPr>
            <w:hyperlink r:id="rId10">
              <w:r>
                <w:rPr>
                  <w:rStyle w:val="InternetLink"/>
                  <w:rFonts w:ascii="Arial" w:hAnsi="Arial"/>
                  <w:b w:val="false"/>
                  <w:color w:val="0000FF"/>
                  <w:sz w:val="20"/>
                  <w:u w:val="single"/>
                </w:rPr>
                <w:t>Amended and Restated Revolving Credit, Term Loan and Security Agreement, dated as of June 20, 2023, by and among Drilling Tools International, Inc., certain of its subsidiaries and PNC Bank, National Association (incorporated by reference to Exhibit 10.5 to Drilling Tools International Corporation’s Current Report on Form 8-K (File No. 001-41103), filed with the Securities and Exchange Commission on June 27, 2023).</w:t>
              </w:r>
            </w:hyperlink>
          </w:p>
        </w:tc>
      </w:tr>
      <w:tr>
        <w:trPr/>
        <w:tc>
          <w:tcPr>
            <w:tcW w:w="751" w:type="dxa"/>
            <w:tcBorders/>
            <w:shd w:fill="FFFFFF" w:val="clear"/>
            <w:tcMar>
              <w:top w:w="0" w:type="dxa"/>
              <w:left w:w="0" w:type="dxa"/>
              <w:bottom w:w="0" w:type="dxa"/>
              <w:right w:w="0" w:type="dxa"/>
            </w:tcMar>
            <w:vAlign w:val="center"/>
          </w:tcPr>
          <w:p>
            <w:pPr>
              <w:pStyle w:val="TableContents"/>
              <w:bidi w:val="0"/>
              <w:spacing w:before="0" w:after="283"/>
              <w:jc w:val="both"/>
              <w:rPr>
                <w:rFonts w:ascii="Arial" w:hAnsi="Arial"/>
                <w:b w:val="false"/>
                <w:color w:val="000000"/>
                <w:sz w:val="20"/>
              </w:rPr>
            </w:pPr>
            <w:r>
              <w:rPr>
                <w:rFonts w:ascii="Arial" w:hAnsi="Arial"/>
                <w:b w:val="false"/>
                <w:color w:val="000000"/>
                <w:sz w:val="20"/>
              </w:rPr>
              <w:t>10.5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308" w:type="dxa"/>
            <w:tcBorders/>
            <w:shd w:fill="FFFFFF" w:val="clear"/>
            <w:tcMar>
              <w:top w:w="0" w:type="dxa"/>
              <w:left w:w="0" w:type="dxa"/>
              <w:bottom w:w="0" w:type="dxa"/>
              <w:right w:w="0" w:type="dxa"/>
            </w:tcMar>
            <w:vAlign w:val="center"/>
          </w:tcPr>
          <w:p>
            <w:pPr>
              <w:pStyle w:val="TableContents"/>
              <w:bidi w:val="0"/>
              <w:spacing w:before="0" w:after="283"/>
              <w:jc w:val="both"/>
              <w:rPr/>
            </w:pPr>
            <w:hyperlink r:id="rId11">
              <w:r>
                <w:rPr>
                  <w:rStyle w:val="InternetLink"/>
                  <w:rFonts w:ascii="Arial" w:hAnsi="Arial"/>
                  <w:b w:val="false"/>
                  <w:color w:val="0000FF"/>
                  <w:sz w:val="20"/>
                  <w:u w:val="single"/>
                </w:rPr>
                <w:t>Form of Lock-up Agreement (incorporated by reference to Exhibit 10.12 to ROC Energy Acquisition Corp.’s Registration Statement on Form S-4 (File No. 333-269763), filed with the Securities and Exchange Commission on February 14, 2023).</w:t>
              </w:r>
            </w:hyperlink>
          </w:p>
        </w:tc>
      </w:tr>
      <w:tr>
        <w:trPr/>
        <w:tc>
          <w:tcPr>
            <w:tcW w:w="751" w:type="dxa"/>
            <w:tcBorders/>
            <w:shd w:fill="FFFFFF" w:val="clear"/>
            <w:tcMar>
              <w:top w:w="0" w:type="dxa"/>
              <w:left w:w="0" w:type="dxa"/>
              <w:bottom w:w="0" w:type="dxa"/>
              <w:right w:w="0" w:type="dxa"/>
            </w:tcMar>
            <w:vAlign w:val="center"/>
          </w:tcPr>
          <w:p>
            <w:pPr>
              <w:pStyle w:val="TableContents"/>
              <w:bidi w:val="0"/>
              <w:spacing w:before="0" w:after="283"/>
              <w:jc w:val="both"/>
              <w:rPr>
                <w:rFonts w:ascii="Arial" w:hAnsi="Arial"/>
                <w:b w:val="false"/>
                <w:color w:val="000000"/>
                <w:sz w:val="20"/>
              </w:rPr>
            </w:pPr>
            <w:r>
              <w:rPr>
                <w:rFonts w:ascii="Arial" w:hAnsi="Arial"/>
                <w:b w:val="false"/>
                <w:color w:val="000000"/>
                <w:sz w:val="20"/>
              </w:rPr>
              <w:t>10.6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308" w:type="dxa"/>
            <w:tcBorders/>
            <w:shd w:fill="FFFFFF" w:val="clear"/>
            <w:tcMar>
              <w:top w:w="0" w:type="dxa"/>
              <w:left w:w="0" w:type="dxa"/>
              <w:bottom w:w="0" w:type="dxa"/>
              <w:right w:w="0" w:type="dxa"/>
            </w:tcMar>
            <w:vAlign w:val="center"/>
          </w:tcPr>
          <w:p>
            <w:pPr>
              <w:pStyle w:val="TableContents"/>
              <w:bidi w:val="0"/>
              <w:spacing w:before="0" w:after="283"/>
              <w:jc w:val="both"/>
              <w:rPr/>
            </w:pPr>
            <w:hyperlink r:id="rId12">
              <w:r>
                <w:rPr>
                  <w:rStyle w:val="InternetLink"/>
                  <w:rFonts w:ascii="Arial" w:hAnsi="Arial"/>
                  <w:b w:val="false"/>
                  <w:color w:val="0000FF"/>
                  <w:sz w:val="20"/>
                  <w:u w:val="single"/>
                </w:rPr>
                <w:t>Form of Indemnification Agreement (incorporated by reference to Exhibit 10.7 to Drilling Tools International Corporation’s Current Report on Form 8-K (File No. 001-41103), filed with the Securities and Exchange Commission on June 27, 2023).</w:t>
              </w:r>
            </w:hyperlink>
          </w:p>
        </w:tc>
      </w:tr>
      <w:tr>
        <w:trPr/>
        <w:tc>
          <w:tcPr>
            <w:tcW w:w="751" w:type="dxa"/>
            <w:tcBorders/>
            <w:shd w:fill="FFFFFF" w:val="clear"/>
            <w:tcMar>
              <w:top w:w="0" w:type="dxa"/>
              <w:left w:w="0" w:type="dxa"/>
              <w:bottom w:w="0" w:type="dxa"/>
              <w:right w:w="0" w:type="dxa"/>
            </w:tcMar>
            <w:vAlign w:val="center"/>
          </w:tcPr>
          <w:p>
            <w:pPr>
              <w:pStyle w:val="TableContents"/>
              <w:bidi w:val="0"/>
              <w:spacing w:before="0" w:after="283"/>
              <w:jc w:val="both"/>
              <w:rPr>
                <w:rFonts w:ascii="Arial" w:hAnsi="Arial"/>
                <w:b w:val="false"/>
                <w:color w:val="000000"/>
                <w:sz w:val="20"/>
              </w:rPr>
            </w:pPr>
            <w:r>
              <w:rPr>
                <w:rFonts w:ascii="Arial" w:hAnsi="Arial"/>
                <w:b w:val="false"/>
                <w:color w:val="000000"/>
                <w:sz w:val="20"/>
              </w:rPr>
              <w:t>10.7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308" w:type="dxa"/>
            <w:tcBorders/>
            <w:shd w:fill="FFFFFF" w:val="clear"/>
            <w:tcMar>
              <w:top w:w="0" w:type="dxa"/>
              <w:left w:w="0" w:type="dxa"/>
              <w:bottom w:w="0" w:type="dxa"/>
              <w:right w:w="0" w:type="dxa"/>
            </w:tcMar>
            <w:vAlign w:val="center"/>
          </w:tcPr>
          <w:p>
            <w:pPr>
              <w:pStyle w:val="TableContents"/>
              <w:bidi w:val="0"/>
              <w:spacing w:before="0" w:after="283"/>
              <w:jc w:val="both"/>
              <w:rPr/>
            </w:pPr>
            <w:hyperlink r:id="rId13">
              <w:r>
                <w:rPr>
                  <w:rStyle w:val="InternetLink"/>
                  <w:rFonts w:ascii="Arial" w:hAnsi="Arial"/>
                  <w:b w:val="false"/>
                  <w:color w:val="0000FF"/>
                  <w:sz w:val="20"/>
                  <w:u w:val="single"/>
                </w:rPr>
                <w:t>Amended and Restated Registration Rights Agreement, dated as of February 13, 2023, between ROC Energy Acquisition Corp., ROC Energy Holdings, LLC, EarlyBird Capital, Inc., HHEP</w:t>
                <w:noBreakHyphen/>
                <w:t>Directional, L.P., RobJon Holdings, L.P. and Michael W. Domino, Jr. (incorporated by reference to Exhibit 10.18 to ROC Energy Acquisition Corp.’s Registration Statement on Form S</w:t>
                <w:noBreakHyphen/>
                <w:t>4 (File No. 333-269763), filed with the Securities and Exchange Commission on February 14, 2023).</w:t>
              </w:r>
            </w:hyperlink>
          </w:p>
        </w:tc>
      </w:tr>
      <w:tr>
        <w:trPr/>
        <w:tc>
          <w:tcPr>
            <w:tcW w:w="751" w:type="dxa"/>
            <w:tcBorders/>
            <w:shd w:fill="FFFFFF" w:val="clear"/>
            <w:tcMar>
              <w:top w:w="0" w:type="dxa"/>
              <w:left w:w="0" w:type="dxa"/>
              <w:bottom w:w="0" w:type="dxa"/>
              <w:right w:w="0" w:type="dxa"/>
            </w:tcMar>
            <w:vAlign w:val="center"/>
          </w:tcPr>
          <w:p>
            <w:pPr>
              <w:pStyle w:val="TableContents"/>
              <w:bidi w:val="0"/>
              <w:spacing w:before="0" w:after="283"/>
              <w:jc w:val="both"/>
              <w:rPr>
                <w:rFonts w:ascii="Arial" w:hAnsi="Arial"/>
                <w:b w:val="false"/>
                <w:color w:val="000000"/>
                <w:sz w:val="20"/>
              </w:rPr>
            </w:pPr>
            <w:r>
              <w:rPr>
                <w:rFonts w:ascii="Arial" w:hAnsi="Arial"/>
                <w:b w:val="false"/>
                <w:color w:val="000000"/>
                <w:sz w:val="20"/>
              </w:rPr>
              <w:t>10.8#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308" w:type="dxa"/>
            <w:tcBorders/>
            <w:shd w:fill="FFFFFF" w:val="clear"/>
            <w:tcMar>
              <w:top w:w="0" w:type="dxa"/>
              <w:left w:w="0" w:type="dxa"/>
              <w:bottom w:w="0" w:type="dxa"/>
              <w:right w:w="0" w:type="dxa"/>
            </w:tcMar>
            <w:vAlign w:val="center"/>
          </w:tcPr>
          <w:p>
            <w:pPr>
              <w:pStyle w:val="TableContents"/>
              <w:bidi w:val="0"/>
              <w:spacing w:before="0" w:after="283"/>
              <w:jc w:val="both"/>
              <w:rPr/>
            </w:pPr>
            <w:r>
              <w:fldChar w:fldCharType="begin"/>
            </w:r>
            <w:r>
              <w:rPr>
                <w:rStyle w:val="InternetLink"/>
                <w:sz w:val="20"/>
                <w:u w:val="single"/>
                <w:b w:val="false"/>
                <w:rFonts w:ascii="Arial" w:hAnsi="Arial"/>
                <w:color w:val="0000FF"/>
              </w:rPr>
              <w:instrText xml:space="preserve"> HYPERLINK "https://www.sec.gov/ix?doc=/Archives/edgar/data/0001884516/000110465923021677/rocau-20220930xs4.htm" \l "AnnexC_86635"</w:instrText>
            </w:r>
            <w:r>
              <w:rPr>
                <w:rStyle w:val="InternetLink"/>
                <w:sz w:val="20"/>
                <w:u w:val="single"/>
                <w:b w:val="false"/>
                <w:rFonts w:ascii="Arial" w:hAnsi="Arial"/>
                <w:color w:val="0000FF"/>
              </w:rPr>
              <w:fldChar w:fldCharType="separate"/>
            </w:r>
            <w:r>
              <w:rPr>
                <w:rStyle w:val="InternetLink"/>
                <w:rFonts w:ascii="Arial" w:hAnsi="Arial"/>
                <w:b w:val="false"/>
                <w:color w:val="0000FF"/>
                <w:sz w:val="20"/>
                <w:u w:val="single"/>
              </w:rPr>
              <w:t>Form of 2023 Omnibus Incentive Plan (incorporated by reference to Exhibit 10.1 to ROC Energy Acquisition Corp.’s Registration Statement on Form S-4 (File No. 333-269763), filed with the Securities and Exchange Commission on February 14, 2023).</w:t>
            </w:r>
            <w:r>
              <w:rPr>
                <w:rStyle w:val="InternetLink"/>
                <w:sz w:val="20"/>
                <w:u w:val="single"/>
                <w:b w:val="false"/>
                <w:rFonts w:ascii="Arial" w:hAnsi="Arial"/>
                <w:color w:val="0000FF"/>
              </w:rPr>
              <w:fldChar w:fldCharType="end"/>
            </w:r>
          </w:p>
        </w:tc>
      </w:tr>
      <w:tr>
        <w:trPr/>
        <w:tc>
          <w:tcPr>
            <w:tcW w:w="751" w:type="dxa"/>
            <w:tcBorders/>
            <w:shd w:fill="FFFFFF" w:val="clear"/>
            <w:tcMar>
              <w:top w:w="0" w:type="dxa"/>
              <w:left w:w="0" w:type="dxa"/>
              <w:bottom w:w="0" w:type="dxa"/>
              <w:right w:w="0" w:type="dxa"/>
            </w:tcMar>
            <w:vAlign w:val="center"/>
          </w:tcPr>
          <w:p>
            <w:pPr>
              <w:pStyle w:val="TableContents"/>
              <w:bidi w:val="0"/>
              <w:spacing w:before="0" w:after="283"/>
              <w:jc w:val="both"/>
              <w:rPr>
                <w:rFonts w:ascii="Arial" w:hAnsi="Arial"/>
                <w:b w:val="false"/>
                <w:color w:val="000000"/>
                <w:sz w:val="20"/>
              </w:rPr>
            </w:pPr>
            <w:r>
              <w:rPr>
                <w:rFonts w:ascii="Arial" w:hAnsi="Arial"/>
                <w:b w:val="false"/>
                <w:color w:val="000000"/>
                <w:sz w:val="20"/>
              </w:rPr>
              <w:t>10.9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308" w:type="dxa"/>
            <w:tcBorders/>
            <w:shd w:fill="FFFFFF" w:val="clear"/>
            <w:tcMar>
              <w:top w:w="0" w:type="dxa"/>
              <w:left w:w="0" w:type="dxa"/>
              <w:bottom w:w="0" w:type="dxa"/>
              <w:right w:w="0" w:type="dxa"/>
            </w:tcMar>
            <w:vAlign w:val="center"/>
          </w:tcPr>
          <w:p>
            <w:pPr>
              <w:pStyle w:val="TableContents"/>
              <w:bidi w:val="0"/>
              <w:spacing w:before="0" w:after="283"/>
              <w:jc w:val="both"/>
              <w:rPr/>
            </w:pPr>
            <w:hyperlink r:id="rId14">
              <w:r>
                <w:rPr>
                  <w:rStyle w:val="InternetLink"/>
                  <w:rFonts w:ascii="Arial" w:hAnsi="Arial"/>
                  <w:b w:val="false"/>
                  <w:color w:val="0000FF"/>
                  <w:sz w:val="20"/>
                  <w:u w:val="single"/>
                </w:rPr>
                <w:t>Assignment and Assumption Agreement, dated as of June 20, 2023, between Drilling Tools International Holdings, Inc. and Drilling Tools International Corporation (incorporated by reference to Exhibit 10.13 to Drilling Tools International Corporation’s Registration Statement on Form S-1 (File No. 333-273348), filed with the Securities and Exchange Commission on July 20, 2023).</w:t>
              </w:r>
            </w:hyperlink>
          </w:p>
        </w:tc>
      </w:tr>
      <w:tr>
        <w:trPr/>
        <w:tc>
          <w:tcPr>
            <w:tcW w:w="751" w:type="dxa"/>
            <w:tcBorders/>
            <w:shd w:fill="FFFFFF" w:val="clear"/>
            <w:tcMar>
              <w:top w:w="0" w:type="dxa"/>
              <w:left w:w="0" w:type="dxa"/>
              <w:bottom w:w="0" w:type="dxa"/>
              <w:right w:w="0" w:type="dxa"/>
            </w:tcMar>
            <w:vAlign w:val="center"/>
          </w:tcPr>
          <w:p>
            <w:pPr>
              <w:pStyle w:val="TableContents"/>
              <w:bidi w:val="0"/>
              <w:spacing w:before="0" w:after="283"/>
              <w:jc w:val="both"/>
              <w:rPr>
                <w:rFonts w:ascii="Arial" w:hAnsi="Arial"/>
                <w:b w:val="false"/>
                <w:color w:val="000000"/>
                <w:sz w:val="20"/>
              </w:rPr>
            </w:pPr>
            <w:r>
              <w:rPr>
                <w:rFonts w:ascii="Arial" w:hAnsi="Arial"/>
                <w:b w:val="false"/>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8"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dti-ex31_1.htm">
              <w:r>
                <w:rPr>
                  <w:rStyle w:val="InternetLink"/>
                  <w:rFonts w:ascii="Arial" w:hAnsi="Arial"/>
                  <w:b w:val="false"/>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751" w:type="dxa"/>
            <w:tcBorders/>
            <w:shd w:fill="FFFFFF" w:val="clear"/>
            <w:tcMar>
              <w:top w:w="0" w:type="dxa"/>
              <w:left w:w="0" w:type="dxa"/>
              <w:bottom w:w="0" w:type="dxa"/>
              <w:right w:w="0" w:type="dxa"/>
            </w:tcMar>
            <w:vAlign w:val="center"/>
          </w:tcPr>
          <w:p>
            <w:pPr>
              <w:pStyle w:val="TableContents"/>
              <w:bidi w:val="0"/>
              <w:spacing w:before="0" w:after="283"/>
              <w:jc w:val="both"/>
              <w:rPr>
                <w:rFonts w:ascii="Arial" w:hAnsi="Arial"/>
                <w:b w:val="false"/>
                <w:color w:val="000000"/>
                <w:sz w:val="20"/>
              </w:rPr>
            </w:pPr>
            <w:r>
              <w:rPr>
                <w:rFonts w:ascii="Arial" w:hAnsi="Arial"/>
                <w:b w:val="false"/>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8"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dti-ex31_2.htm">
              <w:r>
                <w:rPr>
                  <w:rStyle w:val="InternetLink"/>
                  <w:rFonts w:ascii="Arial" w:hAnsi="Arial"/>
                  <w:b w:val="false"/>
                  <w:color w:val="0000FF"/>
                  <w:sz w:val="20"/>
                  <w:u w:val="single"/>
                </w:rPr>
                <w:t>Certification of Principal Financial Officer Pursuant to Rules 13a-14(a) and 15d-14(a) under the Securities Exchange Act of 1934, as adopted pursuant to Section 302 of the Sarbanes-Oxley Act of 2002.</w:t>
              </w:r>
            </w:hyperlink>
          </w:p>
        </w:tc>
      </w:tr>
    </w:tbl>
    <w:p>
      <w:pPr>
        <w:pStyle w:val="TextBody"/>
        <w:bidi w:val="0"/>
        <w:jc w:val="center"/>
        <w:rPr/>
      </w:pPr>
      <w:r>
        <w:rPr/>
        <w:t> </w:t>
      </w:r>
    </w:p>
    <w:p>
      <w:pPr>
        <w:pStyle w:val="TextBody"/>
        <w:bidi w:val="0"/>
        <w:jc w:val="center"/>
        <w:rPr>
          <w:rFonts w:ascii="Arial" w:hAnsi="Arial"/>
          <w:b w:val="false"/>
          <w:color w:val="000000"/>
          <w:sz w:val="20"/>
        </w:rPr>
      </w:pPr>
      <w:r>
        <w:rPr>
          <w:rFonts w:ascii="Arial" w:hAnsi="Arial"/>
          <w:b w:val="false"/>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42"/>
        <w:gridCol w:w="146"/>
        <w:gridCol w:w="9317"/>
      </w:tblGrid>
      <w:tr>
        <w:trPr/>
        <w:tc>
          <w:tcPr>
            <w:tcW w:w="7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7" w:type="dxa"/>
            <w:tcBorders/>
            <w:vAlign w:val="center"/>
          </w:tcPr>
          <w:p>
            <w:pPr>
              <w:pStyle w:val="TableContents"/>
              <w:bidi w:val="0"/>
              <w:spacing w:before="0" w:after="283"/>
              <w:jc w:val="left"/>
              <w:rPr>
                <w:sz w:val="4"/>
                <w:szCs w:val="4"/>
              </w:rPr>
            </w:pPr>
            <w:r>
              <w:rPr>
                <w:sz w:val="4"/>
                <w:szCs w:val="4"/>
              </w:rPr>
            </w:r>
          </w:p>
        </w:tc>
      </w:tr>
      <w:tr>
        <w:trPr/>
        <w:tc>
          <w:tcPr>
            <w:tcW w:w="742" w:type="dxa"/>
            <w:tcBorders/>
            <w:shd w:fill="FFFFFF" w:val="clear"/>
            <w:tcMar>
              <w:top w:w="0" w:type="dxa"/>
              <w:left w:w="0" w:type="dxa"/>
              <w:bottom w:w="0" w:type="dxa"/>
              <w:right w:w="0" w:type="dxa"/>
            </w:tcMar>
            <w:vAlign w:val="center"/>
          </w:tcPr>
          <w:p>
            <w:pPr>
              <w:pStyle w:val="TableContents"/>
              <w:bidi w:val="0"/>
              <w:spacing w:before="0" w:after="283"/>
              <w:jc w:val="both"/>
              <w:rPr>
                <w:rFonts w:ascii="Arial" w:hAnsi="Arial"/>
                <w:b w:val="false"/>
                <w:color w:val="000000"/>
                <w:sz w:val="20"/>
              </w:rPr>
            </w:pPr>
            <w:r>
              <w:rPr>
                <w:rFonts w:ascii="Arial" w:hAnsi="Arial"/>
                <w:b w:val="false"/>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7"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dti-ex32_1.htm">
              <w:r>
                <w:rPr>
                  <w:rStyle w:val="InternetLink"/>
                  <w:rFonts w:ascii="Arial" w:hAnsi="Arial"/>
                  <w:b w:val="false"/>
                  <w:color w:val="0000FF"/>
                  <w:sz w:val="20"/>
                  <w:u w:val="single"/>
                </w:rPr>
                <w:t>Certification of Principal Executive Officer Pursuant to 18 U.S.C. Section 1350, as adopted pursuant to Section 906 of the Sarbanes-Oxley Act of 2002.</w:t>
              </w:r>
            </w:hyperlink>
          </w:p>
        </w:tc>
      </w:tr>
      <w:tr>
        <w:trPr/>
        <w:tc>
          <w:tcPr>
            <w:tcW w:w="742" w:type="dxa"/>
            <w:tcBorders/>
            <w:shd w:fill="FFFFFF" w:val="clear"/>
            <w:tcMar>
              <w:top w:w="0" w:type="dxa"/>
              <w:left w:w="0" w:type="dxa"/>
              <w:bottom w:w="0" w:type="dxa"/>
              <w:right w:w="0" w:type="dxa"/>
            </w:tcMar>
            <w:vAlign w:val="center"/>
          </w:tcPr>
          <w:p>
            <w:pPr>
              <w:pStyle w:val="TableContents"/>
              <w:bidi w:val="0"/>
              <w:spacing w:before="0" w:after="283"/>
              <w:jc w:val="both"/>
              <w:rPr>
                <w:rFonts w:ascii="Arial" w:hAnsi="Arial"/>
                <w:b w:val="false"/>
                <w:color w:val="000000"/>
                <w:sz w:val="20"/>
              </w:rPr>
            </w:pPr>
            <w:r>
              <w:rPr>
                <w:rFonts w:ascii="Arial" w:hAnsi="Arial"/>
                <w:b w:val="false"/>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7"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dti-ex32_2.htm">
              <w:r>
                <w:rPr>
                  <w:rStyle w:val="InternetLink"/>
                  <w:rFonts w:ascii="Arial" w:hAnsi="Arial"/>
                  <w:b w:val="false"/>
                  <w:color w:val="0000FF"/>
                  <w:sz w:val="20"/>
                  <w:u w:val="single"/>
                </w:rPr>
                <w:t>Certification of Principal Financial Officer Pursuant to 18 U.S.C. Section 1350, as adopted pursuant to Section 906 of the Sarbanes-Oxley Act of 2002.</w:t>
              </w:r>
            </w:hyperlink>
          </w:p>
        </w:tc>
      </w:tr>
      <w:tr>
        <w:trPr/>
        <w:tc>
          <w:tcPr>
            <w:tcW w:w="742"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317"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r>
      <w:tr>
        <w:trPr/>
        <w:tc>
          <w:tcPr>
            <w:tcW w:w="742" w:type="dxa"/>
            <w:tcBorders/>
            <w:shd w:fill="FFFFFF" w:val="clear"/>
            <w:tcMar>
              <w:top w:w="0" w:type="dxa"/>
              <w:left w:w="0" w:type="dxa"/>
              <w:bottom w:w="0" w:type="dxa"/>
              <w:right w:w="0" w:type="dxa"/>
            </w:tcMar>
            <w:vAlign w:val="center"/>
          </w:tcPr>
          <w:p>
            <w:pPr>
              <w:pStyle w:val="TableContents"/>
              <w:bidi w:val="0"/>
              <w:spacing w:before="0" w:after="283"/>
              <w:jc w:val="both"/>
              <w:rPr>
                <w:rFonts w:ascii="Arial" w:hAnsi="Arial"/>
                <w:b w:val="false"/>
                <w:color w:val="000000"/>
                <w:sz w:val="20"/>
              </w:rPr>
            </w:pPr>
            <w:r>
              <w:rPr>
                <w:rFonts w:ascii="Arial" w:hAnsi="Arial"/>
                <w:b w:val="false"/>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7" w:type="dxa"/>
            <w:tcBorders/>
            <w:shd w:fill="FFFFFF" w:val="clear"/>
            <w:tcMar>
              <w:top w:w="0" w:type="dxa"/>
              <w:left w:w="0" w:type="dxa"/>
              <w:bottom w:w="0" w:type="dxa"/>
              <w:right w:w="0" w:type="dxa"/>
            </w:tcMar>
            <w:vAlign w:val="center"/>
          </w:tcPr>
          <w:p>
            <w:pPr>
              <w:pStyle w:val="TableContents"/>
              <w:bidi w:val="0"/>
              <w:spacing w:before="0" w:after="283"/>
              <w:jc w:val="both"/>
              <w:rPr>
                <w:rFonts w:ascii="Arial" w:hAnsi="Arial"/>
                <w:b w:val="false"/>
                <w:color w:val="000000"/>
                <w:sz w:val="20"/>
              </w:rPr>
            </w:pPr>
            <w:r>
              <w:rPr>
                <w:rFonts w:ascii="Arial" w:hAnsi="Arial"/>
                <w:b w:val="false"/>
                <w:color w:val="000000"/>
                <w:sz w:val="20"/>
              </w:rPr>
              <w:t>Inline XBRL Instance Document – the instance document does not appear in the Interactive Data File because XBRL tags are embedded within the Inline XBRL document.</w:t>
            </w:r>
          </w:p>
        </w:tc>
      </w:tr>
      <w:tr>
        <w:trPr/>
        <w:tc>
          <w:tcPr>
            <w:tcW w:w="742" w:type="dxa"/>
            <w:tcBorders/>
            <w:shd w:fill="FFFFFF" w:val="clear"/>
            <w:tcMar>
              <w:top w:w="0" w:type="dxa"/>
              <w:left w:w="0" w:type="dxa"/>
              <w:bottom w:w="0" w:type="dxa"/>
              <w:right w:w="0" w:type="dxa"/>
            </w:tcMar>
            <w:vAlign w:val="center"/>
          </w:tcPr>
          <w:p>
            <w:pPr>
              <w:pStyle w:val="TableContents"/>
              <w:bidi w:val="0"/>
              <w:spacing w:before="0" w:after="283"/>
              <w:jc w:val="both"/>
              <w:rPr>
                <w:rFonts w:ascii="Arial" w:hAnsi="Arial"/>
                <w:b w:val="false"/>
                <w:color w:val="000000"/>
                <w:sz w:val="20"/>
              </w:rPr>
            </w:pPr>
            <w:r>
              <w:rPr>
                <w:rFonts w:ascii="Arial" w:hAnsi="Arial"/>
                <w:b w:val="false"/>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317" w:type="dxa"/>
            <w:tcBorders/>
            <w:shd w:fill="FFFFFF" w:val="clear"/>
            <w:tcMar>
              <w:top w:w="0" w:type="dxa"/>
              <w:left w:w="0" w:type="dxa"/>
              <w:bottom w:w="0" w:type="dxa"/>
              <w:right w:w="0" w:type="dxa"/>
            </w:tcMar>
            <w:vAlign w:val="center"/>
          </w:tcPr>
          <w:p>
            <w:pPr>
              <w:pStyle w:val="TableContents"/>
              <w:bidi w:val="0"/>
              <w:spacing w:before="0" w:after="283"/>
              <w:jc w:val="both"/>
              <w:rPr>
                <w:rFonts w:ascii="Arial" w:hAnsi="Arial"/>
                <w:b w:val="false"/>
                <w:color w:val="000000"/>
                <w:sz w:val="20"/>
              </w:rPr>
            </w:pPr>
            <w:r>
              <w:rPr>
                <w:rFonts w:ascii="Arial" w:hAnsi="Arial"/>
                <w:b w:val="false"/>
                <w:color w:val="000000"/>
                <w:sz w:val="20"/>
              </w:rPr>
              <w:t>Inline XBRL Taxonomy Extension Schema Document</w:t>
            </w:r>
          </w:p>
        </w:tc>
      </w:tr>
      <w:tr>
        <w:trPr/>
        <w:tc>
          <w:tcPr>
            <w:tcW w:w="742" w:type="dxa"/>
            <w:tcBorders/>
            <w:shd w:fill="FFFFFF" w:val="clear"/>
            <w:tcMar>
              <w:top w:w="0" w:type="dxa"/>
              <w:left w:w="0" w:type="dxa"/>
              <w:bottom w:w="0" w:type="dxa"/>
              <w:right w:w="0" w:type="dxa"/>
            </w:tcMar>
            <w:vAlign w:val="center"/>
          </w:tcPr>
          <w:p>
            <w:pPr>
              <w:pStyle w:val="TableContents"/>
              <w:bidi w:val="0"/>
              <w:spacing w:before="0" w:after="283"/>
              <w:jc w:val="both"/>
              <w:rPr>
                <w:rFonts w:ascii="Arial" w:hAnsi="Arial"/>
                <w:b w:val="false"/>
                <w:color w:val="000000"/>
                <w:sz w:val="20"/>
              </w:rPr>
            </w:pPr>
            <w:r>
              <w:rPr>
                <w:rFonts w:ascii="Arial" w:hAnsi="Arial"/>
                <w:b w:val="false"/>
                <w:color w:val="000000"/>
                <w:sz w:val="20"/>
              </w:rPr>
              <w:t>101.CAL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317" w:type="dxa"/>
            <w:tcBorders/>
            <w:shd w:fill="FFFFFF" w:val="clear"/>
            <w:tcMar>
              <w:top w:w="0" w:type="dxa"/>
              <w:left w:w="0" w:type="dxa"/>
              <w:bottom w:w="0" w:type="dxa"/>
              <w:right w:w="0" w:type="dxa"/>
            </w:tcMar>
            <w:vAlign w:val="center"/>
          </w:tcPr>
          <w:p>
            <w:pPr>
              <w:pStyle w:val="TableContents"/>
              <w:bidi w:val="0"/>
              <w:spacing w:before="0" w:after="283"/>
              <w:jc w:val="both"/>
              <w:rPr>
                <w:rFonts w:ascii="Arial" w:hAnsi="Arial"/>
                <w:b w:val="false"/>
                <w:color w:val="000000"/>
                <w:sz w:val="20"/>
              </w:rPr>
            </w:pPr>
            <w:r>
              <w:rPr>
                <w:rFonts w:ascii="Arial" w:hAnsi="Arial"/>
                <w:b w:val="false"/>
                <w:color w:val="000000"/>
                <w:sz w:val="20"/>
              </w:rPr>
              <w:t>Inline XBRL Taxonomy Extension Calculation Linkbase Document</w:t>
            </w:r>
          </w:p>
        </w:tc>
      </w:tr>
      <w:tr>
        <w:trPr/>
        <w:tc>
          <w:tcPr>
            <w:tcW w:w="742" w:type="dxa"/>
            <w:tcBorders/>
            <w:shd w:fill="FFFFFF" w:val="clear"/>
            <w:tcMar>
              <w:top w:w="0" w:type="dxa"/>
              <w:left w:w="0" w:type="dxa"/>
              <w:bottom w:w="0" w:type="dxa"/>
              <w:right w:w="0" w:type="dxa"/>
            </w:tcMar>
            <w:vAlign w:val="center"/>
          </w:tcPr>
          <w:p>
            <w:pPr>
              <w:pStyle w:val="TableContents"/>
              <w:bidi w:val="0"/>
              <w:spacing w:before="0" w:after="283"/>
              <w:jc w:val="both"/>
              <w:rPr>
                <w:rFonts w:ascii="Arial" w:hAnsi="Arial"/>
                <w:b w:val="false"/>
                <w:color w:val="000000"/>
                <w:sz w:val="20"/>
              </w:rPr>
            </w:pPr>
            <w:r>
              <w:rPr>
                <w:rFonts w:ascii="Arial" w:hAnsi="Arial"/>
                <w:b w:val="false"/>
                <w:color w:val="000000"/>
                <w:sz w:val="20"/>
              </w:rPr>
              <w:t>101.DEF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317" w:type="dxa"/>
            <w:tcBorders/>
            <w:shd w:fill="FFFFFF" w:val="clear"/>
            <w:tcMar>
              <w:top w:w="0" w:type="dxa"/>
              <w:left w:w="0" w:type="dxa"/>
              <w:bottom w:w="0" w:type="dxa"/>
              <w:right w:w="0" w:type="dxa"/>
            </w:tcMar>
            <w:vAlign w:val="center"/>
          </w:tcPr>
          <w:p>
            <w:pPr>
              <w:pStyle w:val="TableContents"/>
              <w:bidi w:val="0"/>
              <w:spacing w:before="0" w:after="283"/>
              <w:jc w:val="both"/>
              <w:rPr>
                <w:rFonts w:ascii="Arial" w:hAnsi="Arial"/>
                <w:b w:val="false"/>
                <w:color w:val="000000"/>
                <w:sz w:val="20"/>
              </w:rPr>
            </w:pPr>
            <w:r>
              <w:rPr>
                <w:rFonts w:ascii="Arial" w:hAnsi="Arial"/>
                <w:b w:val="false"/>
                <w:color w:val="000000"/>
                <w:sz w:val="20"/>
              </w:rPr>
              <w:t>Inline XBRL Taxonomy Extension Definition Linkbase Document</w:t>
            </w:r>
          </w:p>
        </w:tc>
      </w:tr>
      <w:tr>
        <w:trPr/>
        <w:tc>
          <w:tcPr>
            <w:tcW w:w="742" w:type="dxa"/>
            <w:tcBorders/>
            <w:shd w:fill="FFFFFF" w:val="clear"/>
            <w:tcMar>
              <w:top w:w="0" w:type="dxa"/>
              <w:left w:w="0" w:type="dxa"/>
              <w:bottom w:w="0" w:type="dxa"/>
              <w:right w:w="0" w:type="dxa"/>
            </w:tcMar>
            <w:vAlign w:val="center"/>
          </w:tcPr>
          <w:p>
            <w:pPr>
              <w:pStyle w:val="TableContents"/>
              <w:bidi w:val="0"/>
              <w:spacing w:before="0" w:after="283"/>
              <w:jc w:val="both"/>
              <w:rPr>
                <w:rFonts w:ascii="Arial" w:hAnsi="Arial"/>
                <w:b w:val="false"/>
                <w:color w:val="000000"/>
                <w:sz w:val="20"/>
              </w:rPr>
            </w:pPr>
            <w:r>
              <w:rPr>
                <w:rFonts w:ascii="Arial" w:hAnsi="Arial"/>
                <w:b w:val="false"/>
                <w:color w:val="000000"/>
                <w:sz w:val="20"/>
              </w:rPr>
              <w:t>101.LAB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317" w:type="dxa"/>
            <w:tcBorders/>
            <w:shd w:fill="FFFFFF" w:val="clear"/>
            <w:tcMar>
              <w:top w:w="0" w:type="dxa"/>
              <w:left w:w="0" w:type="dxa"/>
              <w:bottom w:w="0" w:type="dxa"/>
              <w:right w:w="0" w:type="dxa"/>
            </w:tcMar>
            <w:vAlign w:val="center"/>
          </w:tcPr>
          <w:p>
            <w:pPr>
              <w:pStyle w:val="TableContents"/>
              <w:bidi w:val="0"/>
              <w:spacing w:before="0" w:after="283"/>
              <w:jc w:val="both"/>
              <w:rPr>
                <w:rFonts w:ascii="Arial" w:hAnsi="Arial"/>
                <w:b w:val="false"/>
                <w:color w:val="000000"/>
                <w:sz w:val="20"/>
              </w:rPr>
            </w:pPr>
            <w:r>
              <w:rPr>
                <w:rFonts w:ascii="Arial" w:hAnsi="Arial"/>
                <w:b w:val="false"/>
                <w:color w:val="000000"/>
                <w:sz w:val="20"/>
              </w:rPr>
              <w:t>Inline XBRL Taxonomy Extension Label Linkbase Document</w:t>
            </w:r>
          </w:p>
        </w:tc>
      </w:tr>
      <w:tr>
        <w:trPr/>
        <w:tc>
          <w:tcPr>
            <w:tcW w:w="742" w:type="dxa"/>
            <w:tcBorders/>
            <w:shd w:fill="FFFFFF" w:val="clear"/>
            <w:tcMar>
              <w:top w:w="0" w:type="dxa"/>
              <w:left w:w="0" w:type="dxa"/>
              <w:bottom w:w="0" w:type="dxa"/>
              <w:right w:w="0" w:type="dxa"/>
            </w:tcMar>
            <w:vAlign w:val="center"/>
          </w:tcPr>
          <w:p>
            <w:pPr>
              <w:pStyle w:val="TableContents"/>
              <w:bidi w:val="0"/>
              <w:spacing w:before="0" w:after="283"/>
              <w:jc w:val="both"/>
              <w:rPr>
                <w:rFonts w:ascii="Arial" w:hAnsi="Arial"/>
                <w:b w:val="false"/>
                <w:color w:val="000000"/>
                <w:sz w:val="20"/>
              </w:rPr>
            </w:pPr>
            <w:r>
              <w:rPr>
                <w:rFonts w:ascii="Arial" w:hAnsi="Arial"/>
                <w:b w:val="false"/>
                <w:color w:val="000000"/>
                <w:sz w:val="20"/>
              </w:rPr>
              <w:t>101.PRE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317" w:type="dxa"/>
            <w:tcBorders/>
            <w:shd w:fill="FFFFFF" w:val="clear"/>
            <w:tcMar>
              <w:top w:w="0" w:type="dxa"/>
              <w:left w:w="0" w:type="dxa"/>
              <w:bottom w:w="0" w:type="dxa"/>
              <w:right w:w="0" w:type="dxa"/>
            </w:tcMar>
            <w:vAlign w:val="center"/>
          </w:tcPr>
          <w:p>
            <w:pPr>
              <w:pStyle w:val="TableContents"/>
              <w:bidi w:val="0"/>
              <w:spacing w:before="0" w:after="283"/>
              <w:jc w:val="both"/>
              <w:rPr>
                <w:rFonts w:ascii="Arial" w:hAnsi="Arial"/>
                <w:b w:val="false"/>
                <w:color w:val="000000"/>
                <w:sz w:val="20"/>
              </w:rPr>
            </w:pPr>
            <w:r>
              <w:rPr>
                <w:rFonts w:ascii="Arial" w:hAnsi="Arial"/>
                <w:b w:val="false"/>
                <w:color w:val="000000"/>
                <w:sz w:val="20"/>
              </w:rPr>
              <w:t>Inline XBRL Taxonomy Extension Presentation Linkbase Document</w:t>
            </w:r>
          </w:p>
        </w:tc>
      </w:tr>
      <w:tr>
        <w:trPr/>
        <w:tc>
          <w:tcPr>
            <w:tcW w:w="742" w:type="dxa"/>
            <w:tcBorders/>
            <w:shd w:fill="FFFFFF" w:val="clear"/>
            <w:tcMar>
              <w:top w:w="0" w:type="dxa"/>
              <w:left w:w="0" w:type="dxa"/>
              <w:bottom w:w="0" w:type="dxa"/>
              <w:right w:w="0" w:type="dxa"/>
            </w:tcMar>
            <w:vAlign w:val="center"/>
          </w:tcPr>
          <w:p>
            <w:pPr>
              <w:pStyle w:val="TableContents"/>
              <w:bidi w:val="0"/>
              <w:spacing w:before="0" w:after="283"/>
              <w:jc w:val="both"/>
              <w:rPr>
                <w:rFonts w:ascii="Arial" w:hAnsi="Arial"/>
                <w:b w:val="false"/>
                <w:color w:val="000000"/>
                <w:sz w:val="20"/>
              </w:rPr>
            </w:pPr>
            <w:r>
              <w:rPr>
                <w:rFonts w:ascii="Arial" w:hAnsi="Arial"/>
                <w:b w:val="false"/>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317" w:type="dxa"/>
            <w:tcBorders/>
            <w:shd w:fill="FFFFFF" w:val="clear"/>
            <w:tcMar>
              <w:top w:w="0" w:type="dxa"/>
              <w:left w:w="0" w:type="dxa"/>
              <w:bottom w:w="0" w:type="dxa"/>
              <w:right w:w="0" w:type="dxa"/>
            </w:tcMar>
            <w:vAlign w:val="center"/>
          </w:tcPr>
          <w:p>
            <w:pPr>
              <w:pStyle w:val="TableContents"/>
              <w:bidi w:val="0"/>
              <w:spacing w:before="0" w:after="283"/>
              <w:jc w:val="both"/>
              <w:rPr>
                <w:rFonts w:ascii="Arial" w:hAnsi="Arial"/>
                <w:b w:val="false"/>
                <w:color w:val="000000"/>
                <w:sz w:val="20"/>
              </w:rPr>
            </w:pPr>
            <w:r>
              <w:rPr>
                <w:rFonts w:ascii="Arial" w:hAnsi="Arial"/>
                <w:b w:val="false"/>
                <w:color w:val="000000"/>
                <w:sz w:val="20"/>
              </w:rPr>
              <w:t>Cover Page Interactive Data File (embedded within the Inline XBRL document)</w:t>
            </w:r>
          </w:p>
        </w:tc>
      </w:tr>
    </w:tbl>
    <w:p>
      <w:pPr>
        <w:pStyle w:val="TextBody"/>
        <w:pBdr>
          <w:bottom w:val="single" w:sz="4" w:space="1" w:color="000000"/>
        </w:pBdr>
        <w:bidi w:val="0"/>
        <w:jc w:val="left"/>
        <w:rPr/>
      </w:pPr>
      <w:r>
        <w:rPr/>
        <w:t> </w:t>
      </w:r>
    </w:p>
    <w:p>
      <w:pPr>
        <w:pStyle w:val="TextBody"/>
        <w:bidi w:val="0"/>
        <w:spacing w:before="40" w:after="283"/>
        <w:jc w:val="both"/>
        <w:rPr>
          <w:rFonts w:ascii="Arial" w:hAnsi="Arial"/>
          <w:b w:val="false"/>
          <w:color w:val="000000"/>
          <w:sz w:val="20"/>
        </w:rPr>
      </w:pPr>
      <w:r>
        <w:rPr>
          <w:rFonts w:ascii="Arial" w:hAnsi="Arial"/>
          <w:b w:val="false"/>
          <w:color w:val="000000"/>
          <w:sz w:val="20"/>
        </w:rPr>
        <w:t>* Filed herewith.</w:t>
      </w:r>
    </w:p>
    <w:p>
      <w:pPr>
        <w:pStyle w:val="TextBody"/>
        <w:bidi w:val="0"/>
        <w:jc w:val="both"/>
        <w:rPr>
          <w:rFonts w:ascii="Arial" w:hAnsi="Arial"/>
          <w:b w:val="false"/>
          <w:color w:val="000000"/>
          <w:sz w:val="20"/>
        </w:rPr>
      </w:pPr>
      <w:r>
        <w:rPr>
          <w:rFonts w:ascii="Arial" w:hAnsi="Arial"/>
          <w:b w:val="false"/>
          <w:color w:val="000000"/>
          <w:sz w:val="20"/>
        </w:rPr>
        <w:t> Certain exhibits and schedules to this exhibit have been omitted in accordance with Regulation S-K Item 601(b)(2). We agree to furnish supplementally a copy of all omitted exhibits and schedules to the SEC upon its request.</w:t>
      </w:r>
    </w:p>
    <w:p>
      <w:pPr>
        <w:pStyle w:val="TextBody"/>
        <w:bidi w:val="0"/>
        <w:jc w:val="both"/>
        <w:rPr>
          <w:rFonts w:ascii="Arial" w:hAnsi="Arial"/>
          <w:b w:val="false"/>
          <w:color w:val="000000"/>
          <w:sz w:val="20"/>
        </w:rPr>
      </w:pPr>
      <w:r>
        <w:rPr>
          <w:rFonts w:ascii="Arial" w:hAnsi="Arial"/>
          <w:b w:val="false"/>
          <w:color w:val="000000"/>
          <w:sz w:val="20"/>
        </w:rPr>
        <w:t># Indicates management contract or compensatory plan or arrangement.</w:t>
      </w:r>
    </w:p>
    <w:p>
      <w:pPr>
        <w:pStyle w:val="TextBody"/>
        <w:bidi w:val="0"/>
        <w:jc w:val="center"/>
        <w:rPr/>
      </w:pPr>
      <w:r>
        <w:rPr/>
        <w:t> </w:t>
      </w:r>
    </w:p>
    <w:p>
      <w:pPr>
        <w:pStyle w:val="TextBody"/>
        <w:bidi w:val="0"/>
        <w:jc w:val="center"/>
        <w:rPr>
          <w:rFonts w:ascii="Arial" w:hAnsi="Arial"/>
          <w:b w:val="false"/>
          <w:color w:val="000000"/>
          <w:sz w:val="20"/>
        </w:rPr>
      </w:pPr>
      <w:r>
        <w:rPr>
          <w:rFonts w:ascii="Arial" w:hAnsi="Arial"/>
          <w:b w:val="false"/>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bookmarkStart w:id="21" w:name="signatures"/>
      <w:bookmarkEnd w:id="21"/>
      <w:r>
        <w:rPr>
          <w:rFonts w:ascii="Arial" w:hAnsi="Arial"/>
          <w:b/>
          <w:color w:val="000000"/>
          <w:sz w:val="20"/>
        </w:rPr>
        <w:t>SIGNATURES</w:t>
      </w:r>
    </w:p>
    <w:p>
      <w:pPr>
        <w:pStyle w:val="TextBody"/>
        <w:bidi w:val="0"/>
        <w:spacing w:before="240" w:after="283"/>
        <w:jc w:val="both"/>
        <w:rPr>
          <w:rFonts w:ascii="Arial" w:hAnsi="Arial"/>
          <w:b w:val="false"/>
          <w:color w:val="000000"/>
          <w:sz w:val="20"/>
        </w:rPr>
      </w:pPr>
      <w:r>
        <w:rPr>
          <w:rFonts w:ascii="Arial" w:hAnsi="Arial"/>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jc w:val="both"/>
        <w:rPr/>
      </w:pPr>
      <w:r>
        <w:rPr/>
        <w:t> </w:t>
      </w:r>
    </w:p>
    <w:tbl>
      <w:tblPr>
        <w:tblW w:w="6809" w:type="dxa"/>
        <w:jc w:val="left"/>
        <w:tblInd w:w="0" w:type="dxa"/>
        <w:tblLayout w:type="fixed"/>
        <w:tblCellMar>
          <w:top w:w="28" w:type="dxa"/>
          <w:left w:w="28" w:type="dxa"/>
          <w:bottom w:w="28" w:type="dxa"/>
          <w:right w:w="28" w:type="dxa"/>
        </w:tblCellMar>
      </w:tblPr>
      <w:tblGrid>
        <w:gridCol w:w="2341"/>
        <w:gridCol w:w="146"/>
        <w:gridCol w:w="406"/>
        <w:gridCol w:w="3916"/>
      </w:tblGrid>
      <w:tr>
        <w:trPr/>
        <w:tc>
          <w:tcPr>
            <w:tcW w:w="23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916" w:type="dxa"/>
            <w:tcBorders/>
            <w:vAlign w:val="center"/>
          </w:tcPr>
          <w:p>
            <w:pPr>
              <w:pStyle w:val="TableContents"/>
              <w:bidi w:val="0"/>
              <w:spacing w:before="0" w:after="283"/>
              <w:jc w:val="left"/>
              <w:rPr>
                <w:sz w:val="4"/>
                <w:szCs w:val="4"/>
              </w:rPr>
            </w:pPr>
            <w:r>
              <w:rPr>
                <w:sz w:val="4"/>
                <w:szCs w:val="4"/>
              </w:rPr>
            </w:r>
          </w:p>
        </w:tc>
      </w:tr>
      <w:tr>
        <w:trPr/>
        <w:tc>
          <w:tcPr>
            <w:tcW w:w="23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22" w:type="dxa"/>
            <w:gridSpan w:val="2"/>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Drilling Tools International Corporation</w:t>
            </w:r>
          </w:p>
        </w:tc>
      </w:tr>
      <w:tr>
        <w:trPr/>
        <w:tc>
          <w:tcPr>
            <w:tcW w:w="23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left"/>
              <w:rPr/>
            </w:pPr>
            <w:r>
              <w:rPr/>
              <w:t> </w:t>
            </w:r>
          </w:p>
        </w:tc>
        <w:tc>
          <w:tcPr>
            <w:tcW w:w="3916" w:type="dxa"/>
            <w:tcBorders/>
            <w:shd w:fill="FFFFFF" w:val="clear"/>
            <w:vAlign w:val="center"/>
          </w:tcPr>
          <w:p>
            <w:pPr>
              <w:pStyle w:val="TableContents"/>
              <w:bidi w:val="0"/>
              <w:spacing w:before="0" w:after="283"/>
              <w:jc w:val="left"/>
              <w:rPr/>
            </w:pPr>
            <w:r>
              <w:rPr/>
              <w:t> </w:t>
            </w:r>
          </w:p>
        </w:tc>
      </w:tr>
      <w:tr>
        <w:trPr/>
        <w:tc>
          <w:tcPr>
            <w:tcW w:w="234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Date: November 14, 2023</w:t>
            </w:r>
          </w:p>
        </w:tc>
        <w:tc>
          <w:tcPr>
            <w:tcW w:w="146"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By:</w:t>
            </w:r>
          </w:p>
        </w:tc>
        <w:tc>
          <w:tcPr>
            <w:tcW w:w="391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/s/ David R. Johnson</w:t>
            </w:r>
          </w:p>
        </w:tc>
      </w:tr>
      <w:tr>
        <w:trPr/>
        <w:tc>
          <w:tcPr>
            <w:tcW w:w="23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left"/>
              <w:rPr/>
            </w:pPr>
            <w:r>
              <w:rPr/>
              <w:t> </w:t>
            </w:r>
          </w:p>
        </w:tc>
        <w:tc>
          <w:tcPr>
            <w:tcW w:w="391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David R. Johnson</w:t>
            </w:r>
          </w:p>
        </w:tc>
      </w:tr>
      <w:tr>
        <w:trPr/>
        <w:tc>
          <w:tcPr>
            <w:tcW w:w="23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left"/>
              <w:rPr/>
            </w:pPr>
            <w:r>
              <w:rPr/>
              <w:t> </w:t>
            </w:r>
          </w:p>
        </w:tc>
        <w:tc>
          <w:tcPr>
            <w:tcW w:w="391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Chief Financial Officer</w:t>
            </w:r>
          </w:p>
        </w:tc>
      </w:tr>
      <w:tr>
        <w:trPr/>
        <w:tc>
          <w:tcPr>
            <w:tcW w:w="23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left"/>
              <w:rPr/>
            </w:pPr>
            <w:r>
              <w:rPr/>
              <w:t> </w:t>
            </w:r>
          </w:p>
        </w:tc>
        <w:tc>
          <w:tcPr>
            <w:tcW w:w="391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(Principal Financial and Accounting Officer)</w:t>
            </w:r>
          </w:p>
        </w:tc>
      </w:tr>
    </w:tbl>
    <w:p>
      <w:pPr>
        <w:pStyle w:val="TextBody"/>
        <w:bidi w:val="0"/>
        <w:jc w:val="left"/>
        <w:rPr/>
      </w:pPr>
      <w:r>
        <w:rPr/>
        <w:t> </w:t>
      </w:r>
    </w:p>
    <w:p>
      <w:pPr>
        <w:pStyle w:val="TextBody"/>
        <w:bidi w:val="0"/>
        <w:jc w:val="center"/>
        <w:rPr/>
      </w:pPr>
      <w:r>
        <w:rPr/>
        <w:t> </w:t>
      </w:r>
    </w:p>
    <w:p>
      <w:pPr>
        <w:pStyle w:val="TextBody"/>
        <w:bidi w:val="0"/>
        <w:jc w:val="center"/>
        <w:rPr>
          <w:rFonts w:ascii="Arial" w:hAnsi="Arial"/>
          <w:b w:val="false"/>
          <w:color w:val="000000"/>
          <w:sz w:val="20"/>
        </w:rPr>
      </w:pPr>
      <w:r>
        <w:rPr>
          <w:rFonts w:ascii="Arial" w:hAnsi="Arial"/>
          <w:b w:val="false"/>
          <w:color w:val="000000"/>
          <w:sz w:val="20"/>
        </w:rPr>
        <w:t>46</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20"/>
        </w:rPr>
      </w:pPr>
      <w:bookmarkStart w:id="22" w:name="dti-ex31_1.htm"/>
      <w:bookmarkStart w:id="23" w:name="ksdtiex31_1"/>
      <w:bookmarkEnd w:id="22"/>
      <w:bookmarkEnd w:id="23"/>
      <w:r>
        <w:rPr>
          <w:rFonts w:ascii="Arial" w:hAnsi="Arial"/>
          <w:b/>
          <w:color w:val="000000"/>
          <w:sz w:val="20"/>
        </w:rPr>
        <w:t>Exhibit 31.1</w:t>
      </w:r>
      <w:r>
        <w:br w:type="page"/>
      </w:r>
    </w:p>
    <w:p>
      <w:pPr>
        <w:pStyle w:val="TextBody"/>
        <w:bidi w:val="0"/>
        <w:spacing w:before="360" w:after="283"/>
        <w:jc w:val="center"/>
        <w:rPr>
          <w:rFonts w:ascii="Arial" w:hAnsi="Arial"/>
          <w:b/>
          <w:color w:val="000000"/>
          <w:sz w:val="20"/>
        </w:rPr>
      </w:pPr>
      <w:r>
        <w:rPr>
          <w:rFonts w:ascii="Arial" w:hAnsi="Arial"/>
          <w:b/>
          <w:color w:val="000000"/>
          <w:sz w:val="20"/>
        </w:rPr>
        <w:t>CERTIFICATION PURSUANT TO</w:t>
      </w:r>
    </w:p>
    <w:p>
      <w:pPr>
        <w:pStyle w:val="TextBody"/>
        <w:bidi w:val="0"/>
        <w:jc w:val="center"/>
        <w:rPr>
          <w:rFonts w:ascii="Arial" w:hAnsi="Arial"/>
          <w:b/>
          <w:color w:val="000000"/>
          <w:sz w:val="20"/>
        </w:rPr>
      </w:pPr>
      <w:r>
        <w:rPr>
          <w:rFonts w:ascii="Arial" w:hAnsi="Arial"/>
          <w:b/>
          <w:color w:val="000000"/>
          <w:sz w:val="20"/>
        </w:rPr>
        <w:t>RULES 13a-14(a) AND 15d-14(a) UNDER THE SECURITIES EXCHANGE ACT OF 1934,</w:t>
      </w:r>
    </w:p>
    <w:p>
      <w:pPr>
        <w:pStyle w:val="TextBody"/>
        <w:bidi w:val="0"/>
        <w:jc w:val="center"/>
        <w:rPr>
          <w:rFonts w:ascii="Arial" w:hAnsi="Arial"/>
          <w:b/>
          <w:color w:val="000000"/>
          <w:sz w:val="20"/>
        </w:rPr>
      </w:pPr>
      <w:r>
        <w:rPr>
          <w:rFonts w:ascii="Arial" w:hAnsi="Arial"/>
          <w:b/>
          <w:color w:val="000000"/>
          <w:sz w:val="20"/>
        </w:rPr>
        <w:t>AS ADOPTED PURSUANT TO SECTION 302 OF THE SARBANES-OXLEY ACT OF 2002</w:t>
      </w:r>
    </w:p>
    <w:p>
      <w:pPr>
        <w:pStyle w:val="TextBody"/>
        <w:bidi w:val="0"/>
        <w:spacing w:before="240" w:after="283"/>
        <w:jc w:val="both"/>
        <w:rPr>
          <w:rFonts w:ascii="Arial" w:hAnsi="Arial"/>
          <w:b w:val="false"/>
          <w:color w:val="000000"/>
          <w:sz w:val="20"/>
        </w:rPr>
      </w:pPr>
      <w:r>
        <w:rPr>
          <w:rFonts w:ascii="Arial" w:hAnsi="Arial"/>
          <w:b w:val="false"/>
          <w:color w:val="000000"/>
          <w:sz w:val="20"/>
        </w:rPr>
        <w:t>I, R. Wayne Prejean, certify that:</w:t>
      </w:r>
    </w:p>
    <w:p>
      <w:pPr>
        <w:pStyle w:val="TextBody"/>
        <w:bidi w:val="0"/>
        <w:spacing w:before="240" w:after="283"/>
        <w:jc w:val="both"/>
        <w:rPr>
          <w:rFonts w:ascii="Arial" w:hAnsi="Arial"/>
          <w:b w:val="false"/>
          <w:color w:val="000000"/>
          <w:sz w:val="20"/>
        </w:rPr>
      </w:pPr>
      <w:r>
        <w:rPr>
          <w:rFonts w:ascii="Arial" w:hAnsi="Arial"/>
          <w:b w:val="false"/>
          <w:color w:val="000000"/>
          <w:sz w:val="20"/>
        </w:rPr>
        <w:t>1.</w:t>
      </w:r>
    </w:p>
    <w:p>
      <w:pPr>
        <w:pStyle w:val="TextBody"/>
        <w:bidi w:val="0"/>
        <w:spacing w:before="240" w:after="283"/>
        <w:jc w:val="both"/>
        <w:rPr>
          <w:rFonts w:ascii="Arial" w:hAnsi="Arial"/>
          <w:b w:val="false"/>
          <w:color w:val="000000"/>
          <w:sz w:val="20"/>
        </w:rPr>
      </w:pPr>
      <w:r>
        <w:rPr>
          <w:rFonts w:ascii="Arial" w:hAnsi="Arial"/>
          <w:b w:val="false"/>
          <w:color w:val="000000"/>
          <w:sz w:val="20"/>
        </w:rPr>
        <w:t>I have reviewed this Form 10-Q of Drilling Tools International Corporation;</w:t>
      </w:r>
    </w:p>
    <w:p>
      <w:pPr>
        <w:pStyle w:val="TextBody"/>
        <w:bidi w:val="0"/>
        <w:spacing w:before="240" w:after="283"/>
        <w:jc w:val="both"/>
        <w:rPr>
          <w:rFonts w:ascii="Arial" w:hAnsi="Arial"/>
          <w:b w:val="false"/>
          <w:color w:val="000000"/>
          <w:sz w:val="20"/>
        </w:rPr>
      </w:pPr>
      <w:r>
        <w:rPr>
          <w:rFonts w:ascii="Arial" w:hAnsi="Arial"/>
          <w:b w:val="false"/>
          <w:color w:val="000000"/>
          <w:sz w:val="20"/>
        </w:rPr>
        <w:t>2.</w:t>
      </w:r>
    </w:p>
    <w:p>
      <w:pPr>
        <w:pStyle w:val="TextBody"/>
        <w:bidi w:val="0"/>
        <w:spacing w:before="240" w:after="283"/>
        <w:jc w:val="both"/>
        <w:rPr>
          <w:rFonts w:ascii="Arial" w:hAnsi="Arial"/>
          <w:b w:val="false"/>
          <w:color w:val="000000"/>
          <w:sz w:val="20"/>
        </w:rPr>
      </w:pPr>
      <w:r>
        <w:rPr>
          <w:rFonts w:ascii="Arial" w:hAnsi="Arial"/>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both"/>
        <w:rPr>
          <w:rFonts w:ascii="Arial" w:hAnsi="Arial"/>
          <w:b w:val="false"/>
          <w:color w:val="000000"/>
          <w:sz w:val="20"/>
        </w:rPr>
      </w:pPr>
      <w:r>
        <w:rPr>
          <w:rFonts w:ascii="Arial" w:hAnsi="Arial"/>
          <w:b w:val="false"/>
          <w:color w:val="000000"/>
          <w:sz w:val="20"/>
        </w:rPr>
        <w:t>3.</w:t>
      </w:r>
    </w:p>
    <w:p>
      <w:pPr>
        <w:pStyle w:val="TextBody"/>
        <w:bidi w:val="0"/>
        <w:spacing w:before="240" w:after="283"/>
        <w:jc w:val="both"/>
        <w:rPr>
          <w:rFonts w:ascii="Arial" w:hAnsi="Arial"/>
          <w:b w:val="false"/>
          <w:color w:val="000000"/>
          <w:sz w:val="20"/>
        </w:rPr>
      </w:pPr>
      <w:r>
        <w:rPr>
          <w:rFonts w:ascii="Arial" w:hAnsi="Arial"/>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both"/>
        <w:rPr>
          <w:rFonts w:ascii="Arial" w:hAnsi="Arial"/>
          <w:b w:val="false"/>
          <w:color w:val="000000"/>
          <w:sz w:val="20"/>
        </w:rPr>
      </w:pPr>
      <w:r>
        <w:rPr>
          <w:rFonts w:ascii="Arial" w:hAnsi="Arial"/>
          <w:b w:val="false"/>
          <w:color w:val="000000"/>
          <w:sz w:val="20"/>
        </w:rPr>
        <w:t>4.</w:t>
      </w:r>
    </w:p>
    <w:p>
      <w:pPr>
        <w:pStyle w:val="TextBody"/>
        <w:bidi w:val="0"/>
        <w:spacing w:before="240" w:after="283"/>
        <w:jc w:val="both"/>
        <w:rPr>
          <w:rFonts w:ascii="Arial" w:hAnsi="Arial"/>
          <w:b w:val="false"/>
          <w:color w:val="000000"/>
          <w:sz w:val="20"/>
        </w:rPr>
      </w:pPr>
      <w:r>
        <w:rPr>
          <w:rFonts w:ascii="Arial" w:hAnsi="Arial"/>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both"/>
        <w:rPr>
          <w:rFonts w:ascii="Arial" w:hAnsi="Arial"/>
          <w:b w:val="false"/>
          <w:color w:val="000000"/>
          <w:sz w:val="20"/>
        </w:rPr>
      </w:pPr>
      <w:r>
        <w:rPr>
          <w:rFonts w:ascii="Arial" w:hAnsi="Arial"/>
          <w:b w:val="false"/>
          <w:color w:val="000000"/>
          <w:sz w:val="20"/>
        </w:rPr>
        <w:t>(a)</w:t>
      </w:r>
    </w:p>
    <w:p>
      <w:pPr>
        <w:pStyle w:val="TextBody"/>
        <w:bidi w:val="0"/>
        <w:spacing w:before="240" w:after="283"/>
        <w:jc w:val="both"/>
        <w:rPr>
          <w:rFonts w:ascii="Arial" w:hAnsi="Arial"/>
          <w:b w:val="false"/>
          <w:color w:val="000000"/>
          <w:sz w:val="20"/>
        </w:rPr>
      </w:pPr>
      <w:r>
        <w:rPr>
          <w:rFonts w:ascii="Arial" w:hAnsi="Arial"/>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both"/>
        <w:rPr>
          <w:rFonts w:ascii="Arial" w:hAnsi="Arial"/>
          <w:b w:val="false"/>
          <w:color w:val="000000"/>
          <w:sz w:val="20"/>
        </w:rPr>
      </w:pPr>
      <w:r>
        <w:rPr>
          <w:rFonts w:ascii="Arial" w:hAnsi="Arial"/>
          <w:b w:val="false"/>
          <w:color w:val="000000"/>
          <w:sz w:val="20"/>
        </w:rPr>
        <w:t>(b)</w:t>
      </w:r>
    </w:p>
    <w:p>
      <w:pPr>
        <w:pStyle w:val="TextBody"/>
        <w:bidi w:val="0"/>
        <w:spacing w:before="240" w:after="283"/>
        <w:jc w:val="both"/>
        <w:rPr>
          <w:rFonts w:ascii="Arial" w:hAnsi="Arial"/>
          <w:b w:val="false"/>
          <w:color w:val="000000"/>
          <w:sz w:val="20"/>
        </w:rPr>
      </w:pPr>
      <w:r>
        <w:rPr>
          <w:rFonts w:ascii="Arial" w:hAnsi="Arial"/>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both"/>
        <w:rPr>
          <w:rFonts w:ascii="Arial" w:hAnsi="Arial"/>
          <w:b w:val="false"/>
          <w:color w:val="000000"/>
          <w:sz w:val="20"/>
        </w:rPr>
      </w:pPr>
      <w:r>
        <w:rPr>
          <w:rFonts w:ascii="Arial" w:hAnsi="Arial"/>
          <w:b w:val="false"/>
          <w:color w:val="000000"/>
          <w:sz w:val="20"/>
        </w:rPr>
        <w:t>(c)</w:t>
      </w:r>
    </w:p>
    <w:p>
      <w:pPr>
        <w:pStyle w:val="TextBody"/>
        <w:bidi w:val="0"/>
        <w:spacing w:before="240" w:after="283"/>
        <w:jc w:val="both"/>
        <w:rPr>
          <w:rFonts w:ascii="Arial" w:hAnsi="Arial"/>
          <w:b w:val="false"/>
          <w:color w:val="000000"/>
          <w:sz w:val="20"/>
        </w:rPr>
      </w:pPr>
      <w:r>
        <w:rPr>
          <w:rFonts w:ascii="Arial" w:hAnsi="Arial"/>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both"/>
        <w:rPr>
          <w:rFonts w:ascii="Arial" w:hAnsi="Arial"/>
          <w:b w:val="false"/>
          <w:color w:val="000000"/>
          <w:sz w:val="20"/>
        </w:rPr>
      </w:pPr>
      <w:r>
        <w:rPr>
          <w:rFonts w:ascii="Arial" w:hAnsi="Arial"/>
          <w:b w:val="false"/>
          <w:color w:val="000000"/>
          <w:sz w:val="20"/>
        </w:rPr>
        <w:t>(d)</w:t>
      </w:r>
    </w:p>
    <w:p>
      <w:pPr>
        <w:pStyle w:val="TextBody"/>
        <w:bidi w:val="0"/>
        <w:spacing w:before="240" w:after="283"/>
        <w:jc w:val="both"/>
        <w:rPr>
          <w:rFonts w:ascii="Arial" w:hAnsi="Arial"/>
          <w:b w:val="false"/>
          <w:color w:val="000000"/>
          <w:sz w:val="20"/>
        </w:rPr>
      </w:pPr>
      <w:r>
        <w:rPr>
          <w:rFonts w:ascii="Arial" w:hAnsi="Arial"/>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both"/>
        <w:rPr>
          <w:rFonts w:ascii="Arial" w:hAnsi="Arial"/>
          <w:b w:val="false"/>
          <w:color w:val="000000"/>
          <w:sz w:val="20"/>
        </w:rPr>
      </w:pPr>
      <w:r>
        <w:rPr>
          <w:rFonts w:ascii="Arial" w:hAnsi="Arial"/>
          <w:b w:val="false"/>
          <w:color w:val="000000"/>
          <w:sz w:val="20"/>
        </w:rPr>
        <w:t>5.</w:t>
      </w:r>
    </w:p>
    <w:p>
      <w:pPr>
        <w:pStyle w:val="TextBody"/>
        <w:bidi w:val="0"/>
        <w:spacing w:before="240" w:after="283"/>
        <w:jc w:val="both"/>
        <w:rPr>
          <w:rFonts w:ascii="Arial" w:hAnsi="Arial"/>
          <w:b w:val="false"/>
          <w:color w:val="000000"/>
          <w:sz w:val="20"/>
        </w:rPr>
      </w:pPr>
      <w:r>
        <w:rPr>
          <w:rFonts w:ascii="Arial" w:hAnsi="Arial"/>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both"/>
        <w:rPr>
          <w:rFonts w:ascii="Arial" w:hAnsi="Arial"/>
          <w:b w:val="false"/>
          <w:color w:val="000000"/>
          <w:sz w:val="20"/>
        </w:rPr>
      </w:pPr>
      <w:r>
        <w:rPr>
          <w:rFonts w:ascii="Arial" w:hAnsi="Arial"/>
          <w:b w:val="false"/>
          <w:color w:val="000000"/>
          <w:sz w:val="20"/>
        </w:rPr>
        <w:t>(a)</w:t>
      </w:r>
    </w:p>
    <w:p>
      <w:pPr>
        <w:pStyle w:val="TextBody"/>
        <w:bidi w:val="0"/>
        <w:spacing w:before="240" w:after="283"/>
        <w:jc w:val="both"/>
        <w:rPr>
          <w:rFonts w:ascii="Arial" w:hAnsi="Arial"/>
          <w:b w:val="false"/>
          <w:color w:val="000000"/>
          <w:sz w:val="20"/>
        </w:rPr>
      </w:pPr>
      <w:r>
        <w:rPr>
          <w:rFonts w:ascii="Arial" w:hAnsi="Arial"/>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both"/>
        <w:rPr>
          <w:rFonts w:ascii="Arial" w:hAnsi="Arial"/>
          <w:b w:val="false"/>
          <w:color w:val="000000"/>
          <w:sz w:val="20"/>
        </w:rPr>
      </w:pPr>
      <w:r>
        <w:rPr>
          <w:rFonts w:ascii="Arial" w:hAnsi="Arial"/>
          <w:b w:val="false"/>
          <w:color w:val="000000"/>
          <w:sz w:val="20"/>
        </w:rPr>
        <w:t>(b)</w:t>
      </w:r>
    </w:p>
    <w:p>
      <w:pPr>
        <w:pStyle w:val="TextBody"/>
        <w:bidi w:val="0"/>
        <w:spacing w:before="240" w:after="283"/>
        <w:jc w:val="both"/>
        <w:rPr>
          <w:rFonts w:ascii="Arial" w:hAnsi="Arial"/>
          <w:b w:val="false"/>
          <w:color w:val="000000"/>
          <w:sz w:val="20"/>
        </w:rPr>
      </w:pPr>
      <w:r>
        <w:rPr>
          <w:rFonts w:ascii="Arial" w:hAnsi="Arial"/>
          <w:b w:val="false"/>
          <w:color w:val="000000"/>
          <w:sz w:val="20"/>
        </w:rPr>
        <w:t>Any fraud, whether or not material, that involves management or other employees who have a significant role in the registrant's internal control over financial reporting.</w:t>
      </w:r>
    </w:p>
    <w:p>
      <w:pPr>
        <w:pStyle w:val="TextBody"/>
        <w:bidi w:val="0"/>
        <w:jc w:val="both"/>
        <w:rPr/>
      </w:pPr>
      <w:r>
        <w:rPr/>
        <w:t> </w:t>
      </w:r>
    </w:p>
    <w:tbl>
      <w:tblPr>
        <w:tblW w:w="5159" w:type="dxa"/>
        <w:jc w:val="left"/>
        <w:tblInd w:w="0" w:type="dxa"/>
        <w:tblLayout w:type="fixed"/>
        <w:tblCellMar>
          <w:top w:w="28" w:type="dxa"/>
          <w:left w:w="28" w:type="dxa"/>
          <w:bottom w:w="28" w:type="dxa"/>
          <w:right w:w="28" w:type="dxa"/>
        </w:tblCellMar>
      </w:tblPr>
      <w:tblGrid>
        <w:gridCol w:w="2341"/>
        <w:gridCol w:w="146"/>
        <w:gridCol w:w="406"/>
        <w:gridCol w:w="2266"/>
      </w:tblGrid>
      <w:tr>
        <w:trPr/>
        <w:tc>
          <w:tcPr>
            <w:tcW w:w="23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266" w:type="dxa"/>
            <w:tcBorders/>
            <w:vAlign w:val="center"/>
          </w:tcPr>
          <w:p>
            <w:pPr>
              <w:pStyle w:val="TableContents"/>
              <w:bidi w:val="0"/>
              <w:spacing w:before="0" w:after="283"/>
              <w:jc w:val="left"/>
              <w:rPr>
                <w:sz w:val="4"/>
                <w:szCs w:val="4"/>
              </w:rPr>
            </w:pPr>
            <w:r>
              <w:rPr>
                <w:sz w:val="4"/>
                <w:szCs w:val="4"/>
              </w:rPr>
            </w:r>
          </w:p>
        </w:tc>
      </w:tr>
      <w:tr>
        <w:trPr/>
        <w:tc>
          <w:tcPr>
            <w:tcW w:w="234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Date: November 14, 2023</w:t>
            </w:r>
          </w:p>
        </w:tc>
        <w:tc>
          <w:tcPr>
            <w:tcW w:w="146"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By:</w:t>
            </w:r>
          </w:p>
        </w:tc>
        <w:tc>
          <w:tcPr>
            <w:tcW w:w="22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/s/ R. Wayne Prejean</w:t>
            </w:r>
          </w:p>
        </w:tc>
      </w:tr>
      <w:tr>
        <w:trPr/>
        <w:tc>
          <w:tcPr>
            <w:tcW w:w="23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left"/>
              <w:rPr/>
            </w:pPr>
            <w:r>
              <w:rPr/>
              <w:t> </w:t>
            </w:r>
          </w:p>
        </w:tc>
        <w:tc>
          <w:tcPr>
            <w:tcW w:w="2266" w:type="dxa"/>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R. Wayne Prejean</w:t>
            </w:r>
          </w:p>
        </w:tc>
      </w:tr>
      <w:tr>
        <w:trPr/>
        <w:tc>
          <w:tcPr>
            <w:tcW w:w="23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left"/>
              <w:rPr/>
            </w:pPr>
            <w:r>
              <w:rPr/>
              <w:t> </w:t>
            </w:r>
          </w:p>
        </w:tc>
        <w:tc>
          <w:tcPr>
            <w:tcW w:w="2266" w:type="dxa"/>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Chief Executive Officer</w:t>
            </w:r>
          </w:p>
        </w:tc>
      </w:tr>
    </w:tbl>
    <w:p>
      <w:pPr>
        <w:pStyle w:val="TextBody"/>
        <w:bidi w:val="0"/>
        <w:spacing w:before="240" w:after="283"/>
        <w:jc w:val="both"/>
        <w:rPr/>
      </w:pPr>
      <w:r>
        <w:rPr/>
        <w:t> </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20"/>
        </w:rPr>
      </w:pPr>
      <w:bookmarkStart w:id="24" w:name="dti-ex31_2.htm"/>
      <w:bookmarkStart w:id="25" w:name="ksdtiex31_2"/>
      <w:bookmarkEnd w:id="24"/>
      <w:bookmarkEnd w:id="25"/>
      <w:r>
        <w:rPr>
          <w:rFonts w:ascii="Arial" w:hAnsi="Arial"/>
          <w:b/>
          <w:color w:val="000000"/>
          <w:sz w:val="20"/>
        </w:rPr>
        <w:t>Exhibit 31.2</w:t>
      </w:r>
      <w:r>
        <w:br w:type="page"/>
      </w:r>
    </w:p>
    <w:p>
      <w:pPr>
        <w:pStyle w:val="TextBody"/>
        <w:bidi w:val="0"/>
        <w:spacing w:before="360" w:after="283"/>
        <w:jc w:val="center"/>
        <w:rPr>
          <w:rFonts w:ascii="Arial" w:hAnsi="Arial"/>
          <w:b/>
          <w:color w:val="000000"/>
          <w:sz w:val="20"/>
        </w:rPr>
      </w:pPr>
      <w:r>
        <w:rPr>
          <w:rFonts w:ascii="Arial" w:hAnsi="Arial"/>
          <w:b/>
          <w:color w:val="000000"/>
          <w:sz w:val="20"/>
        </w:rPr>
        <w:t>CERTIFICATION PURSUANT TO</w:t>
      </w:r>
    </w:p>
    <w:p>
      <w:pPr>
        <w:pStyle w:val="TextBody"/>
        <w:bidi w:val="0"/>
        <w:jc w:val="center"/>
        <w:rPr>
          <w:rFonts w:ascii="Arial" w:hAnsi="Arial"/>
          <w:b/>
          <w:color w:val="000000"/>
          <w:sz w:val="20"/>
        </w:rPr>
      </w:pPr>
      <w:r>
        <w:rPr>
          <w:rFonts w:ascii="Arial" w:hAnsi="Arial"/>
          <w:b/>
          <w:color w:val="000000"/>
          <w:sz w:val="20"/>
        </w:rPr>
        <w:t>RULES 13a-14(a) AND 15d-14(a) UNDER THE SECURITIES EXCHANGE ACT OF 1934,</w:t>
      </w:r>
    </w:p>
    <w:p>
      <w:pPr>
        <w:pStyle w:val="TextBody"/>
        <w:bidi w:val="0"/>
        <w:jc w:val="center"/>
        <w:rPr>
          <w:rFonts w:ascii="Arial" w:hAnsi="Arial"/>
          <w:b/>
          <w:color w:val="000000"/>
          <w:sz w:val="20"/>
        </w:rPr>
      </w:pPr>
      <w:r>
        <w:rPr>
          <w:rFonts w:ascii="Arial" w:hAnsi="Arial"/>
          <w:b/>
          <w:color w:val="000000"/>
          <w:sz w:val="20"/>
        </w:rPr>
        <w:t>AS ADOPTED PURSUANT TO SECTION 302 OF THE SARBANES-OXLEY ACT OF 2002</w:t>
      </w:r>
    </w:p>
    <w:p>
      <w:pPr>
        <w:pStyle w:val="TextBody"/>
        <w:bidi w:val="0"/>
        <w:spacing w:before="240" w:after="283"/>
        <w:jc w:val="both"/>
        <w:rPr>
          <w:rFonts w:ascii="Arial" w:hAnsi="Arial"/>
          <w:b w:val="false"/>
          <w:color w:val="000000"/>
          <w:sz w:val="20"/>
        </w:rPr>
      </w:pPr>
      <w:r>
        <w:rPr>
          <w:rFonts w:ascii="Arial" w:hAnsi="Arial"/>
          <w:b w:val="false"/>
          <w:color w:val="000000"/>
          <w:sz w:val="20"/>
        </w:rPr>
        <w:t>I, David R. Johnson, certify that:</w:t>
      </w:r>
    </w:p>
    <w:p>
      <w:pPr>
        <w:pStyle w:val="TextBody"/>
        <w:bidi w:val="0"/>
        <w:spacing w:before="240" w:after="283"/>
        <w:jc w:val="both"/>
        <w:rPr>
          <w:rFonts w:ascii="Arial" w:hAnsi="Arial"/>
          <w:b w:val="false"/>
          <w:color w:val="000000"/>
          <w:sz w:val="20"/>
        </w:rPr>
      </w:pPr>
      <w:r>
        <w:rPr>
          <w:rFonts w:ascii="Arial" w:hAnsi="Arial"/>
          <w:b w:val="false"/>
          <w:color w:val="000000"/>
          <w:sz w:val="20"/>
        </w:rPr>
        <w:t>1.</w:t>
      </w:r>
    </w:p>
    <w:p>
      <w:pPr>
        <w:pStyle w:val="TextBody"/>
        <w:bidi w:val="0"/>
        <w:spacing w:before="240" w:after="283"/>
        <w:jc w:val="both"/>
        <w:rPr>
          <w:rFonts w:ascii="Arial" w:hAnsi="Arial"/>
          <w:b w:val="false"/>
          <w:color w:val="000000"/>
          <w:sz w:val="20"/>
        </w:rPr>
      </w:pPr>
      <w:r>
        <w:rPr>
          <w:rFonts w:ascii="Arial" w:hAnsi="Arial"/>
          <w:b w:val="false"/>
          <w:color w:val="000000"/>
          <w:sz w:val="20"/>
        </w:rPr>
        <w:t>I have reviewed this Form 10-Q of Drilling Tools International Corporation;</w:t>
      </w:r>
    </w:p>
    <w:p>
      <w:pPr>
        <w:pStyle w:val="TextBody"/>
        <w:bidi w:val="0"/>
        <w:spacing w:before="240" w:after="283"/>
        <w:jc w:val="both"/>
        <w:rPr>
          <w:rFonts w:ascii="Arial" w:hAnsi="Arial"/>
          <w:b w:val="false"/>
          <w:color w:val="000000"/>
          <w:sz w:val="20"/>
        </w:rPr>
      </w:pPr>
      <w:r>
        <w:rPr>
          <w:rFonts w:ascii="Arial" w:hAnsi="Arial"/>
          <w:b w:val="false"/>
          <w:color w:val="000000"/>
          <w:sz w:val="20"/>
        </w:rPr>
        <w:t>2.</w:t>
      </w:r>
    </w:p>
    <w:p>
      <w:pPr>
        <w:pStyle w:val="TextBody"/>
        <w:bidi w:val="0"/>
        <w:spacing w:before="240" w:after="283"/>
        <w:jc w:val="both"/>
        <w:rPr>
          <w:rFonts w:ascii="Arial" w:hAnsi="Arial"/>
          <w:b w:val="false"/>
          <w:color w:val="000000"/>
          <w:sz w:val="20"/>
        </w:rPr>
      </w:pPr>
      <w:r>
        <w:rPr>
          <w:rFonts w:ascii="Arial" w:hAnsi="Arial"/>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both"/>
        <w:rPr>
          <w:rFonts w:ascii="Arial" w:hAnsi="Arial"/>
          <w:b w:val="false"/>
          <w:color w:val="000000"/>
          <w:sz w:val="20"/>
        </w:rPr>
      </w:pPr>
      <w:r>
        <w:rPr>
          <w:rFonts w:ascii="Arial" w:hAnsi="Arial"/>
          <w:b w:val="false"/>
          <w:color w:val="000000"/>
          <w:sz w:val="20"/>
        </w:rPr>
        <w:t>3.</w:t>
      </w:r>
    </w:p>
    <w:p>
      <w:pPr>
        <w:pStyle w:val="TextBody"/>
        <w:bidi w:val="0"/>
        <w:spacing w:before="240" w:after="283"/>
        <w:jc w:val="both"/>
        <w:rPr>
          <w:rFonts w:ascii="Arial" w:hAnsi="Arial"/>
          <w:b w:val="false"/>
          <w:color w:val="000000"/>
          <w:sz w:val="20"/>
        </w:rPr>
      </w:pPr>
      <w:r>
        <w:rPr>
          <w:rFonts w:ascii="Arial" w:hAnsi="Arial"/>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both"/>
        <w:rPr>
          <w:rFonts w:ascii="Arial" w:hAnsi="Arial"/>
          <w:b w:val="false"/>
          <w:color w:val="000000"/>
          <w:sz w:val="20"/>
        </w:rPr>
      </w:pPr>
      <w:r>
        <w:rPr>
          <w:rFonts w:ascii="Arial" w:hAnsi="Arial"/>
          <w:b w:val="false"/>
          <w:color w:val="000000"/>
          <w:sz w:val="20"/>
        </w:rPr>
        <w:t>4.</w:t>
      </w:r>
    </w:p>
    <w:p>
      <w:pPr>
        <w:pStyle w:val="TextBody"/>
        <w:bidi w:val="0"/>
        <w:spacing w:before="240" w:after="283"/>
        <w:jc w:val="both"/>
        <w:rPr>
          <w:rFonts w:ascii="Arial" w:hAnsi="Arial"/>
          <w:b w:val="false"/>
          <w:color w:val="000000"/>
          <w:sz w:val="20"/>
        </w:rPr>
      </w:pPr>
      <w:r>
        <w:rPr>
          <w:rFonts w:ascii="Arial" w:hAnsi="Arial"/>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both"/>
        <w:rPr>
          <w:rFonts w:ascii="Arial" w:hAnsi="Arial"/>
          <w:b w:val="false"/>
          <w:color w:val="000000"/>
          <w:sz w:val="20"/>
        </w:rPr>
      </w:pPr>
      <w:r>
        <w:rPr>
          <w:rFonts w:ascii="Arial" w:hAnsi="Arial"/>
          <w:b w:val="false"/>
          <w:color w:val="000000"/>
          <w:sz w:val="20"/>
        </w:rPr>
        <w:t>(a)</w:t>
      </w:r>
    </w:p>
    <w:p>
      <w:pPr>
        <w:pStyle w:val="TextBody"/>
        <w:bidi w:val="0"/>
        <w:spacing w:before="240" w:after="283"/>
        <w:jc w:val="both"/>
        <w:rPr>
          <w:rFonts w:ascii="Arial" w:hAnsi="Arial"/>
          <w:b w:val="false"/>
          <w:color w:val="000000"/>
          <w:sz w:val="20"/>
        </w:rPr>
      </w:pPr>
      <w:r>
        <w:rPr>
          <w:rFonts w:ascii="Arial" w:hAnsi="Arial"/>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both"/>
        <w:rPr>
          <w:rFonts w:ascii="Arial" w:hAnsi="Arial"/>
          <w:b w:val="false"/>
          <w:color w:val="000000"/>
          <w:sz w:val="20"/>
        </w:rPr>
      </w:pPr>
      <w:r>
        <w:rPr>
          <w:rFonts w:ascii="Arial" w:hAnsi="Arial"/>
          <w:b w:val="false"/>
          <w:color w:val="000000"/>
          <w:sz w:val="20"/>
        </w:rPr>
        <w:t>(b)</w:t>
      </w:r>
    </w:p>
    <w:p>
      <w:pPr>
        <w:pStyle w:val="TextBody"/>
        <w:bidi w:val="0"/>
        <w:spacing w:before="240" w:after="283"/>
        <w:jc w:val="both"/>
        <w:rPr>
          <w:rFonts w:ascii="Arial" w:hAnsi="Arial"/>
          <w:b w:val="false"/>
          <w:color w:val="000000"/>
          <w:sz w:val="20"/>
        </w:rPr>
      </w:pPr>
      <w:r>
        <w:rPr>
          <w:rFonts w:ascii="Arial" w:hAnsi="Arial"/>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both"/>
        <w:rPr>
          <w:rFonts w:ascii="Arial" w:hAnsi="Arial"/>
          <w:b w:val="false"/>
          <w:color w:val="000000"/>
          <w:sz w:val="20"/>
        </w:rPr>
      </w:pPr>
      <w:r>
        <w:rPr>
          <w:rFonts w:ascii="Arial" w:hAnsi="Arial"/>
          <w:b w:val="false"/>
          <w:color w:val="000000"/>
          <w:sz w:val="20"/>
        </w:rPr>
        <w:t>(c)</w:t>
      </w:r>
    </w:p>
    <w:p>
      <w:pPr>
        <w:pStyle w:val="TextBody"/>
        <w:bidi w:val="0"/>
        <w:spacing w:before="240" w:after="283"/>
        <w:jc w:val="both"/>
        <w:rPr>
          <w:rFonts w:ascii="Arial" w:hAnsi="Arial"/>
          <w:b w:val="false"/>
          <w:color w:val="000000"/>
          <w:sz w:val="20"/>
        </w:rPr>
      </w:pPr>
      <w:r>
        <w:rPr>
          <w:rFonts w:ascii="Arial" w:hAnsi="Arial"/>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both"/>
        <w:rPr>
          <w:rFonts w:ascii="Arial" w:hAnsi="Arial"/>
          <w:b w:val="false"/>
          <w:color w:val="000000"/>
          <w:sz w:val="20"/>
        </w:rPr>
      </w:pPr>
      <w:r>
        <w:rPr>
          <w:rFonts w:ascii="Arial" w:hAnsi="Arial"/>
          <w:b w:val="false"/>
          <w:color w:val="000000"/>
          <w:sz w:val="20"/>
        </w:rPr>
        <w:t>(d)</w:t>
      </w:r>
    </w:p>
    <w:p>
      <w:pPr>
        <w:pStyle w:val="TextBody"/>
        <w:bidi w:val="0"/>
        <w:spacing w:before="240" w:after="283"/>
        <w:jc w:val="both"/>
        <w:rPr>
          <w:rFonts w:ascii="Arial" w:hAnsi="Arial"/>
          <w:b w:val="false"/>
          <w:color w:val="000000"/>
          <w:sz w:val="20"/>
        </w:rPr>
      </w:pPr>
      <w:r>
        <w:rPr>
          <w:rFonts w:ascii="Arial" w:hAnsi="Arial"/>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both"/>
        <w:rPr>
          <w:rFonts w:ascii="Arial" w:hAnsi="Arial"/>
          <w:b w:val="false"/>
          <w:color w:val="000000"/>
          <w:sz w:val="20"/>
        </w:rPr>
      </w:pPr>
      <w:r>
        <w:rPr>
          <w:rFonts w:ascii="Arial" w:hAnsi="Arial"/>
          <w:b w:val="false"/>
          <w:color w:val="000000"/>
          <w:sz w:val="20"/>
        </w:rPr>
        <w:t>5.</w:t>
      </w:r>
    </w:p>
    <w:p>
      <w:pPr>
        <w:pStyle w:val="TextBody"/>
        <w:bidi w:val="0"/>
        <w:spacing w:before="240" w:after="283"/>
        <w:jc w:val="both"/>
        <w:rPr>
          <w:rFonts w:ascii="Arial" w:hAnsi="Arial"/>
          <w:b w:val="false"/>
          <w:color w:val="000000"/>
          <w:sz w:val="20"/>
        </w:rPr>
      </w:pPr>
      <w:r>
        <w:rPr>
          <w:rFonts w:ascii="Arial" w:hAnsi="Arial"/>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both"/>
        <w:rPr>
          <w:rFonts w:ascii="Arial" w:hAnsi="Arial"/>
          <w:b w:val="false"/>
          <w:color w:val="000000"/>
          <w:sz w:val="20"/>
        </w:rPr>
      </w:pPr>
      <w:r>
        <w:rPr>
          <w:rFonts w:ascii="Arial" w:hAnsi="Arial"/>
          <w:b w:val="false"/>
          <w:color w:val="000000"/>
          <w:sz w:val="20"/>
        </w:rPr>
        <w:t>(a)</w:t>
      </w:r>
    </w:p>
    <w:p>
      <w:pPr>
        <w:pStyle w:val="TextBody"/>
        <w:bidi w:val="0"/>
        <w:spacing w:before="240" w:after="283"/>
        <w:jc w:val="both"/>
        <w:rPr>
          <w:rFonts w:ascii="Arial" w:hAnsi="Arial"/>
          <w:b w:val="false"/>
          <w:color w:val="000000"/>
          <w:sz w:val="20"/>
        </w:rPr>
      </w:pPr>
      <w:r>
        <w:rPr>
          <w:rFonts w:ascii="Arial" w:hAnsi="Arial"/>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both"/>
        <w:rPr>
          <w:rFonts w:ascii="Arial" w:hAnsi="Arial"/>
          <w:b w:val="false"/>
          <w:color w:val="000000"/>
          <w:sz w:val="20"/>
        </w:rPr>
      </w:pPr>
      <w:r>
        <w:rPr>
          <w:rFonts w:ascii="Arial" w:hAnsi="Arial"/>
          <w:b w:val="false"/>
          <w:color w:val="000000"/>
          <w:sz w:val="20"/>
        </w:rPr>
        <w:t>(b)</w:t>
      </w:r>
    </w:p>
    <w:p>
      <w:pPr>
        <w:pStyle w:val="TextBody"/>
        <w:bidi w:val="0"/>
        <w:spacing w:before="240" w:after="283"/>
        <w:jc w:val="both"/>
        <w:rPr>
          <w:rFonts w:ascii="Arial" w:hAnsi="Arial"/>
          <w:b w:val="false"/>
          <w:color w:val="000000"/>
          <w:sz w:val="20"/>
        </w:rPr>
      </w:pPr>
      <w:r>
        <w:rPr>
          <w:rFonts w:ascii="Arial" w:hAnsi="Arial"/>
          <w:b w:val="false"/>
          <w:color w:val="000000"/>
          <w:sz w:val="20"/>
        </w:rPr>
        <w:t>Any fraud, whether or not material, that involves management or other employees who have a significant role in the registrant's internal control over financial reporting.</w:t>
      </w:r>
    </w:p>
    <w:p>
      <w:pPr>
        <w:pStyle w:val="TextBody"/>
        <w:bidi w:val="0"/>
        <w:jc w:val="both"/>
        <w:rPr/>
      </w:pPr>
      <w:r>
        <w:rPr/>
        <w:t> </w:t>
      </w:r>
    </w:p>
    <w:tbl>
      <w:tblPr>
        <w:tblW w:w="5114" w:type="dxa"/>
        <w:jc w:val="left"/>
        <w:tblInd w:w="0" w:type="dxa"/>
        <w:tblLayout w:type="fixed"/>
        <w:tblCellMar>
          <w:top w:w="28" w:type="dxa"/>
          <w:left w:w="28" w:type="dxa"/>
          <w:bottom w:w="28" w:type="dxa"/>
          <w:right w:w="28" w:type="dxa"/>
        </w:tblCellMar>
      </w:tblPr>
      <w:tblGrid>
        <w:gridCol w:w="2341"/>
        <w:gridCol w:w="146"/>
        <w:gridCol w:w="406"/>
        <w:gridCol w:w="2221"/>
      </w:tblGrid>
      <w:tr>
        <w:trPr/>
        <w:tc>
          <w:tcPr>
            <w:tcW w:w="23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221" w:type="dxa"/>
            <w:tcBorders/>
            <w:vAlign w:val="center"/>
          </w:tcPr>
          <w:p>
            <w:pPr>
              <w:pStyle w:val="TableContents"/>
              <w:bidi w:val="0"/>
              <w:spacing w:before="0" w:after="283"/>
              <w:jc w:val="left"/>
              <w:rPr>
                <w:sz w:val="4"/>
                <w:szCs w:val="4"/>
              </w:rPr>
            </w:pPr>
            <w:r>
              <w:rPr>
                <w:sz w:val="4"/>
                <w:szCs w:val="4"/>
              </w:rPr>
            </w:r>
          </w:p>
        </w:tc>
      </w:tr>
      <w:tr>
        <w:trPr/>
        <w:tc>
          <w:tcPr>
            <w:tcW w:w="234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Date: November 14, 2023</w:t>
            </w:r>
          </w:p>
        </w:tc>
        <w:tc>
          <w:tcPr>
            <w:tcW w:w="146"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By:</w:t>
            </w:r>
          </w:p>
        </w:tc>
        <w:tc>
          <w:tcPr>
            <w:tcW w:w="222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/s/ David R. Johnson</w:t>
            </w:r>
          </w:p>
        </w:tc>
      </w:tr>
      <w:tr>
        <w:trPr/>
        <w:tc>
          <w:tcPr>
            <w:tcW w:w="23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left"/>
              <w:rPr/>
            </w:pPr>
            <w:r>
              <w:rPr/>
              <w:t> </w:t>
            </w:r>
          </w:p>
        </w:tc>
        <w:tc>
          <w:tcPr>
            <w:tcW w:w="2221" w:type="dxa"/>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David R. Johnson</w:t>
            </w:r>
          </w:p>
        </w:tc>
      </w:tr>
      <w:tr>
        <w:trPr/>
        <w:tc>
          <w:tcPr>
            <w:tcW w:w="23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left"/>
              <w:rPr/>
            </w:pPr>
            <w:r>
              <w:rPr/>
              <w:t> </w:t>
            </w:r>
          </w:p>
        </w:tc>
        <w:tc>
          <w:tcPr>
            <w:tcW w:w="2221" w:type="dxa"/>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Chief Financial Officer</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20"/>
        </w:rPr>
      </w:pPr>
      <w:bookmarkStart w:id="26" w:name="dti-ex32_1.htm"/>
      <w:bookmarkStart w:id="27" w:name="ksdtiex32_1"/>
      <w:bookmarkEnd w:id="26"/>
      <w:bookmarkEnd w:id="27"/>
      <w:r>
        <w:rPr>
          <w:rFonts w:ascii="Arial" w:hAnsi="Arial"/>
          <w:b/>
          <w:color w:val="000000"/>
          <w:sz w:val="20"/>
        </w:rPr>
        <w:t>Exhibit 32.1</w:t>
      </w:r>
      <w:r>
        <w:br w:type="page"/>
      </w:r>
    </w:p>
    <w:p>
      <w:pPr>
        <w:pStyle w:val="TextBody"/>
        <w:bidi w:val="0"/>
        <w:spacing w:before="360" w:after="283"/>
        <w:jc w:val="center"/>
        <w:rPr>
          <w:rFonts w:ascii="Arial" w:hAnsi="Arial"/>
          <w:b/>
          <w:color w:val="000000"/>
          <w:sz w:val="20"/>
        </w:rPr>
      </w:pPr>
      <w:r>
        <w:rPr>
          <w:rFonts w:ascii="Arial" w:hAnsi="Arial"/>
          <w:b/>
          <w:color w:val="000000"/>
          <w:sz w:val="20"/>
        </w:rPr>
        <w:t>CERTIFICATION PURSUANT TO</w:t>
      </w:r>
    </w:p>
    <w:p>
      <w:pPr>
        <w:pStyle w:val="TextBody"/>
        <w:bidi w:val="0"/>
        <w:jc w:val="center"/>
        <w:rPr>
          <w:rFonts w:ascii="Arial" w:hAnsi="Arial"/>
          <w:b/>
          <w:color w:val="000000"/>
          <w:sz w:val="20"/>
        </w:rPr>
      </w:pPr>
      <w:r>
        <w:rPr>
          <w:rFonts w:ascii="Arial" w:hAnsi="Arial"/>
          <w:b/>
          <w:color w:val="000000"/>
          <w:sz w:val="20"/>
        </w:rPr>
        <w:t>18 U.S.C. SECTION 1350, AS ADOPTED PURSUANT TO</w:t>
      </w:r>
    </w:p>
    <w:p>
      <w:pPr>
        <w:pStyle w:val="TextBody"/>
        <w:bidi w:val="0"/>
        <w:jc w:val="center"/>
        <w:rPr>
          <w:rFonts w:ascii="Arial" w:hAnsi="Arial"/>
          <w:b/>
          <w:color w:val="000000"/>
          <w:sz w:val="20"/>
        </w:rPr>
      </w:pPr>
      <w:r>
        <w:rPr>
          <w:rFonts w:ascii="Arial" w:hAnsi="Arial"/>
          <w:b/>
          <w:color w:val="000000"/>
          <w:sz w:val="20"/>
        </w:rPr>
        <w:t>SECTION 906 OF THE SARBANES-OXLEY ACT OF 2002</w:t>
      </w:r>
    </w:p>
    <w:p>
      <w:pPr>
        <w:pStyle w:val="TextBody"/>
        <w:bidi w:val="0"/>
        <w:spacing w:before="240" w:after="283"/>
        <w:jc w:val="both"/>
        <w:rPr>
          <w:rFonts w:ascii="Arial" w:hAnsi="Arial"/>
          <w:b w:val="false"/>
          <w:color w:val="000000"/>
          <w:sz w:val="20"/>
        </w:rPr>
      </w:pPr>
      <w:r>
        <w:rPr>
          <w:rFonts w:ascii="Arial" w:hAnsi="Arial"/>
          <w:b w:val="false"/>
          <w:color w:val="000000"/>
          <w:sz w:val="20"/>
        </w:rPr>
        <w:t>In connection with the Quarterly Report of Drilling Tools International (the “Company”) on Form 10-Q for the period ending September 30, 2023 as filed with the Securities and Exchange Commission on the date hereof (the “Report”), I certify, pursuant to 18 U.S.C. § 1350, as adopted pursuant to § 906 of the Sarbanes-Oxley Act of 2002, that:</w:t>
      </w:r>
    </w:p>
    <w:p>
      <w:pPr>
        <w:pStyle w:val="TextBody"/>
        <w:bidi w:val="0"/>
        <w:spacing w:before="240" w:after="283"/>
        <w:jc w:val="both"/>
        <w:rPr>
          <w:rFonts w:ascii="Arial" w:hAnsi="Arial"/>
          <w:b w:val="false"/>
          <w:color w:val="000000"/>
          <w:sz w:val="20"/>
        </w:rPr>
      </w:pPr>
      <w:r>
        <w:rPr>
          <w:rFonts w:ascii="Arial" w:hAnsi="Arial"/>
          <w:b w:val="false"/>
          <w:color w:val="000000"/>
          <w:sz w:val="20"/>
        </w:rPr>
        <w:t>(1)</w:t>
      </w:r>
    </w:p>
    <w:p>
      <w:pPr>
        <w:pStyle w:val="TextBody"/>
        <w:bidi w:val="0"/>
        <w:spacing w:before="240" w:after="283"/>
        <w:jc w:val="both"/>
        <w:rPr>
          <w:rFonts w:ascii="Arial" w:hAnsi="Arial"/>
          <w:b w:val="false"/>
          <w:color w:val="000000"/>
          <w:sz w:val="20"/>
        </w:rPr>
      </w:pPr>
      <w:r>
        <w:rPr>
          <w:rFonts w:ascii="Arial" w:hAnsi="Arial"/>
          <w:b w:val="false"/>
          <w:color w:val="000000"/>
          <w:sz w:val="20"/>
        </w:rPr>
        <w:t>The Report fully complies with the requirements of section 13(a) or 15(d) of the Securities Exchange Act of 1934; and</w:t>
      </w:r>
    </w:p>
    <w:p>
      <w:pPr>
        <w:pStyle w:val="TextBody"/>
        <w:bidi w:val="0"/>
        <w:spacing w:before="240" w:after="283"/>
        <w:jc w:val="both"/>
        <w:rPr>
          <w:rFonts w:ascii="Arial" w:hAnsi="Arial"/>
          <w:b w:val="false"/>
          <w:color w:val="000000"/>
          <w:sz w:val="20"/>
        </w:rPr>
      </w:pPr>
      <w:r>
        <w:rPr>
          <w:rFonts w:ascii="Arial" w:hAnsi="Arial"/>
          <w:b w:val="false"/>
          <w:color w:val="000000"/>
          <w:sz w:val="20"/>
        </w:rPr>
        <w:t>(2)</w:t>
      </w:r>
    </w:p>
    <w:p>
      <w:pPr>
        <w:pStyle w:val="TextBody"/>
        <w:bidi w:val="0"/>
        <w:spacing w:before="240" w:after="283"/>
        <w:jc w:val="both"/>
        <w:rPr>
          <w:rFonts w:ascii="Arial" w:hAnsi="Arial"/>
          <w:b w:val="false"/>
          <w:color w:val="000000"/>
          <w:sz w:val="20"/>
        </w:rPr>
      </w:pPr>
      <w:r>
        <w:rPr>
          <w:rFonts w:ascii="Arial" w:hAnsi="Arial"/>
          <w:b w:val="false"/>
          <w:color w:val="000000"/>
          <w:sz w:val="20"/>
        </w:rPr>
        <w:t>The information contained in the Report fairly presents, in all material respects, the financial condition and result of operations of the Company.</w:t>
      </w:r>
    </w:p>
    <w:p>
      <w:pPr>
        <w:pStyle w:val="TextBody"/>
        <w:bidi w:val="0"/>
        <w:jc w:val="left"/>
        <w:rPr/>
      </w:pPr>
      <w:r>
        <w:rPr/>
        <w:t> </w:t>
      </w:r>
    </w:p>
    <w:tbl>
      <w:tblPr>
        <w:tblW w:w="5122" w:type="dxa"/>
        <w:jc w:val="left"/>
        <w:tblInd w:w="0" w:type="dxa"/>
        <w:tblLayout w:type="fixed"/>
        <w:tblCellMar>
          <w:top w:w="28" w:type="dxa"/>
          <w:left w:w="28" w:type="dxa"/>
          <w:bottom w:w="28" w:type="dxa"/>
          <w:right w:w="28" w:type="dxa"/>
        </w:tblCellMar>
      </w:tblPr>
      <w:tblGrid>
        <w:gridCol w:w="2341"/>
        <w:gridCol w:w="109"/>
        <w:gridCol w:w="406"/>
        <w:gridCol w:w="2266"/>
      </w:tblGrid>
      <w:tr>
        <w:trPr/>
        <w:tc>
          <w:tcPr>
            <w:tcW w:w="2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266" w:type="dxa"/>
            <w:tcBorders/>
            <w:vAlign w:val="center"/>
          </w:tcPr>
          <w:p>
            <w:pPr>
              <w:pStyle w:val="TableContents"/>
              <w:bidi w:val="0"/>
              <w:spacing w:before="0" w:after="283"/>
              <w:jc w:val="left"/>
              <w:rPr>
                <w:sz w:val="4"/>
                <w:szCs w:val="4"/>
              </w:rPr>
            </w:pPr>
            <w:r>
              <w:rPr>
                <w:sz w:val="4"/>
                <w:szCs w:val="4"/>
              </w:rPr>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Date: November 14, 2023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By:</w:t>
            </w:r>
          </w:p>
        </w:tc>
        <w:tc>
          <w:tcPr>
            <w:tcW w:w="22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/s/ R. Wayne Prejean</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R. Wayne Prejean</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8" w:name="dti-ex32_2.htm"/>
      <w:bookmarkStart w:id="29" w:name="ksdtiex32_2"/>
      <w:bookmarkEnd w:id="28"/>
      <w:bookmarkEnd w:id="29"/>
      <w:r>
        <w:rPr/>
        <w:t> </w:t>
      </w:r>
      <w:r>
        <w:br w:type="page"/>
      </w:r>
    </w:p>
    <w:p>
      <w:pPr>
        <w:pStyle w:val="TextBody"/>
        <w:bidi w:val="0"/>
        <w:jc w:val="right"/>
        <w:rPr>
          <w:rFonts w:ascii="Arial" w:hAnsi="Arial"/>
          <w:b/>
          <w:color w:val="000000"/>
          <w:sz w:val="20"/>
        </w:rPr>
      </w:pPr>
      <w:r>
        <w:rPr>
          <w:rFonts w:ascii="Arial" w:hAnsi="Arial"/>
          <w:b/>
          <w:color w:val="000000"/>
          <w:sz w:val="20"/>
        </w:rPr>
        <w:t>Exhibit 32.2</w:t>
      </w:r>
    </w:p>
    <w:p>
      <w:pPr>
        <w:pStyle w:val="TextBody"/>
        <w:bidi w:val="0"/>
        <w:spacing w:before="360" w:after="283"/>
        <w:jc w:val="center"/>
        <w:rPr>
          <w:rFonts w:ascii="Arial" w:hAnsi="Arial"/>
          <w:b/>
          <w:color w:val="000000"/>
          <w:sz w:val="20"/>
        </w:rPr>
      </w:pPr>
      <w:r>
        <w:rPr>
          <w:rFonts w:ascii="Arial" w:hAnsi="Arial"/>
          <w:b/>
          <w:color w:val="000000"/>
          <w:sz w:val="20"/>
        </w:rPr>
        <w:t>CERTIFICATION PURSUANT TO</w:t>
      </w:r>
    </w:p>
    <w:p>
      <w:pPr>
        <w:pStyle w:val="TextBody"/>
        <w:bidi w:val="0"/>
        <w:jc w:val="center"/>
        <w:rPr>
          <w:rFonts w:ascii="Arial" w:hAnsi="Arial"/>
          <w:b/>
          <w:color w:val="000000"/>
          <w:sz w:val="20"/>
        </w:rPr>
      </w:pPr>
      <w:r>
        <w:rPr>
          <w:rFonts w:ascii="Arial" w:hAnsi="Arial"/>
          <w:b/>
          <w:color w:val="000000"/>
          <w:sz w:val="20"/>
        </w:rPr>
        <w:t>18 U.S.C. SECTION 1350, AS ADOPTED PURSUANT TO</w:t>
      </w:r>
    </w:p>
    <w:p>
      <w:pPr>
        <w:pStyle w:val="TextBody"/>
        <w:bidi w:val="0"/>
        <w:jc w:val="center"/>
        <w:rPr>
          <w:rFonts w:ascii="Arial" w:hAnsi="Arial"/>
          <w:b/>
          <w:color w:val="000000"/>
          <w:sz w:val="20"/>
        </w:rPr>
      </w:pPr>
      <w:r>
        <w:rPr>
          <w:rFonts w:ascii="Arial" w:hAnsi="Arial"/>
          <w:b/>
          <w:color w:val="000000"/>
          <w:sz w:val="20"/>
        </w:rPr>
        <w:t>SECTION 906 OF THE SARBANES-OXLEY ACT OF 2002</w:t>
      </w:r>
    </w:p>
    <w:p>
      <w:pPr>
        <w:pStyle w:val="TextBody"/>
        <w:bidi w:val="0"/>
        <w:spacing w:before="240" w:after="283"/>
        <w:jc w:val="both"/>
        <w:rPr>
          <w:rFonts w:ascii="Arial" w:hAnsi="Arial"/>
          <w:b w:val="false"/>
          <w:color w:val="000000"/>
          <w:sz w:val="20"/>
        </w:rPr>
      </w:pPr>
      <w:r>
        <w:rPr>
          <w:rFonts w:ascii="Arial" w:hAnsi="Arial"/>
          <w:b w:val="false"/>
          <w:color w:val="000000"/>
          <w:sz w:val="20"/>
        </w:rPr>
        <w:t>In connection with the Quarterly Report of Drilling Tools International Corporation (the “Company”) on Form 10-Q for the period ending September 30, 2023 as filed with the Securities and Exchange Commission on the date hereof (the “Report”), I certify, pursuant to 18 U.S.C. § 1350, as adopted pursuant to § 906 of the Sarbanes-Oxley Act of 2002, that:</w:t>
      </w:r>
    </w:p>
    <w:p>
      <w:pPr>
        <w:pStyle w:val="TextBody"/>
        <w:bidi w:val="0"/>
        <w:spacing w:before="240" w:after="283"/>
        <w:jc w:val="both"/>
        <w:rPr>
          <w:rFonts w:ascii="Arial" w:hAnsi="Arial"/>
          <w:b w:val="false"/>
          <w:color w:val="000000"/>
          <w:sz w:val="20"/>
        </w:rPr>
      </w:pPr>
      <w:r>
        <w:rPr>
          <w:rFonts w:ascii="Arial" w:hAnsi="Arial"/>
          <w:b w:val="false"/>
          <w:color w:val="000000"/>
          <w:sz w:val="20"/>
        </w:rPr>
        <w:t>(1)</w:t>
      </w:r>
    </w:p>
    <w:p>
      <w:pPr>
        <w:pStyle w:val="TextBody"/>
        <w:bidi w:val="0"/>
        <w:spacing w:before="240" w:after="283"/>
        <w:jc w:val="both"/>
        <w:rPr>
          <w:rFonts w:ascii="Arial" w:hAnsi="Arial"/>
          <w:b w:val="false"/>
          <w:color w:val="000000"/>
          <w:sz w:val="20"/>
        </w:rPr>
      </w:pPr>
      <w:r>
        <w:rPr>
          <w:rFonts w:ascii="Arial" w:hAnsi="Arial"/>
          <w:b w:val="false"/>
          <w:color w:val="000000"/>
          <w:sz w:val="20"/>
        </w:rPr>
        <w:t>The Report fully complies with the requirements of section 13(a) or 15(d) of the Securities Exchange Act of 1934; and</w:t>
      </w:r>
    </w:p>
    <w:p>
      <w:pPr>
        <w:pStyle w:val="TextBody"/>
        <w:bidi w:val="0"/>
        <w:spacing w:before="240" w:after="283"/>
        <w:jc w:val="both"/>
        <w:rPr>
          <w:rFonts w:ascii="Arial" w:hAnsi="Arial"/>
          <w:b w:val="false"/>
          <w:color w:val="000000"/>
          <w:sz w:val="20"/>
        </w:rPr>
      </w:pPr>
      <w:r>
        <w:rPr>
          <w:rFonts w:ascii="Arial" w:hAnsi="Arial"/>
          <w:b w:val="false"/>
          <w:color w:val="000000"/>
          <w:sz w:val="20"/>
        </w:rPr>
        <w:t>(2)</w:t>
      </w:r>
    </w:p>
    <w:p>
      <w:pPr>
        <w:pStyle w:val="TextBody"/>
        <w:bidi w:val="0"/>
        <w:spacing w:before="240" w:after="283"/>
        <w:jc w:val="both"/>
        <w:rPr>
          <w:rFonts w:ascii="Arial" w:hAnsi="Arial"/>
          <w:b w:val="false"/>
          <w:color w:val="000000"/>
          <w:sz w:val="20"/>
        </w:rPr>
      </w:pPr>
      <w:r>
        <w:rPr>
          <w:rFonts w:ascii="Arial" w:hAnsi="Arial"/>
          <w:b w:val="false"/>
          <w:color w:val="000000"/>
          <w:sz w:val="20"/>
        </w:rPr>
        <w:t>The information contained in the Report fairly presents, in all material respects, the financial condition and result of operations of the Company.</w:t>
      </w:r>
    </w:p>
    <w:p>
      <w:pPr>
        <w:pStyle w:val="TextBody"/>
        <w:bidi w:val="0"/>
        <w:jc w:val="left"/>
        <w:rPr/>
      </w:pPr>
      <w:r>
        <w:rPr/>
        <w:t> </w:t>
      </w:r>
    </w:p>
    <w:tbl>
      <w:tblPr>
        <w:tblW w:w="5077" w:type="dxa"/>
        <w:jc w:val="left"/>
        <w:tblInd w:w="0" w:type="dxa"/>
        <w:tblLayout w:type="fixed"/>
        <w:tblCellMar>
          <w:top w:w="28" w:type="dxa"/>
          <w:left w:w="28" w:type="dxa"/>
          <w:bottom w:w="28" w:type="dxa"/>
          <w:right w:w="28" w:type="dxa"/>
        </w:tblCellMar>
      </w:tblPr>
      <w:tblGrid>
        <w:gridCol w:w="2341"/>
        <w:gridCol w:w="109"/>
        <w:gridCol w:w="406"/>
        <w:gridCol w:w="2221"/>
      </w:tblGrid>
      <w:tr>
        <w:trPr/>
        <w:tc>
          <w:tcPr>
            <w:tcW w:w="2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221" w:type="dxa"/>
            <w:tcBorders/>
            <w:vAlign w:val="center"/>
          </w:tcPr>
          <w:p>
            <w:pPr>
              <w:pStyle w:val="TableContents"/>
              <w:bidi w:val="0"/>
              <w:spacing w:before="0" w:after="283"/>
              <w:jc w:val="left"/>
              <w:rPr>
                <w:sz w:val="4"/>
                <w:szCs w:val="4"/>
              </w:rPr>
            </w:pPr>
            <w:r>
              <w:rPr>
                <w:sz w:val="4"/>
                <w:szCs w:val="4"/>
              </w:rPr>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Date: November 14, 2023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By:</w:t>
            </w:r>
          </w:p>
        </w:tc>
        <w:tc>
          <w:tcPr>
            <w:tcW w:w="222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/s/ David R. Johnson</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David R. Johnson</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84516/000110465923020480/tm236420d1_ex2-1.htm" TargetMode="External"/><Relationship Id="rId3" Type="http://schemas.openxmlformats.org/officeDocument/2006/relationships/hyperlink" Target="https://www.sec.gov/Archives/edgar/data/1884516/000110465923069995/tm2317528d1_ex2-1.htm" TargetMode="External"/><Relationship Id="rId4" Type="http://schemas.openxmlformats.org/officeDocument/2006/relationships/hyperlink" Target="https://www.sec.gov/Archives/edgar/data/1884516/000119312523175331/d498600dex31.htm" TargetMode="External"/><Relationship Id="rId5" Type="http://schemas.openxmlformats.org/officeDocument/2006/relationships/hyperlink" Target="https://www.sec.gov/Archives/edgar/data/1884516/000119312523175331/d498600dex32.htm" TargetMode="External"/><Relationship Id="rId6" Type="http://schemas.openxmlformats.org/officeDocument/2006/relationships/hyperlink" Target="https://www.sec.gov/Archives/edgar/data/1884516/000119312523175331/d498600dex41.htm" TargetMode="External"/><Relationship Id="rId7" Type="http://schemas.openxmlformats.org/officeDocument/2006/relationships/hyperlink" Target="https://www.sec.gov/Archives/edgar/data/1884516/000110465923048548/tm236205d14_ex10-13.htm" TargetMode="External"/><Relationship Id="rId8" Type="http://schemas.openxmlformats.org/officeDocument/2006/relationships/hyperlink" Target="https://www.sec.gov/Archives/edgar/data/1884516/000119312523175331/d498600dex102.htm" TargetMode="External"/><Relationship Id="rId9" Type="http://schemas.openxmlformats.org/officeDocument/2006/relationships/hyperlink" Target="https://www.sec.gov/Archives/edgar/data/1884516/000119312523175331/d498600dex103.htm" TargetMode="External"/><Relationship Id="rId10" Type="http://schemas.openxmlformats.org/officeDocument/2006/relationships/hyperlink" Target="https://www.sec.gov/Archives/edgar/data/1884516/000119312523175331/d498600dex105.htm" TargetMode="External"/><Relationship Id="rId11" Type="http://schemas.openxmlformats.org/officeDocument/2006/relationships/hyperlink" Target="https://www.sec.gov/Archives/edgar/data/1884516/000110465923021677/rocau-20220930xex10d12.htm" TargetMode="External"/><Relationship Id="rId12" Type="http://schemas.openxmlformats.org/officeDocument/2006/relationships/hyperlink" Target="https://www.sec.gov/Archives/edgar/data/1884516/000119312523175331/d498600dex107.htm" TargetMode="External"/><Relationship Id="rId13" Type="http://schemas.openxmlformats.org/officeDocument/2006/relationships/hyperlink" Target="https://www.sec.gov/Archives/edgar/data/1884516/000110465923021677/rocau-20220930xex10d18.htm" TargetMode="External"/><Relationship Id="rId14" Type="http://schemas.openxmlformats.org/officeDocument/2006/relationships/hyperlink" Target="https://www.sec.gov/Archives/edgar/data/1884516/000119312523190490/d537847dex1013.htm" TargetMode="External"/><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26217</Words>
  <Characters>142608</Characters>
  <CharactersWithSpaces>169972</CharactersWithSpaces>
  <Paragraphs>6672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