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42"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960" w:right="1600" w:hanging="393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DRILLING TOOLS INTERNATIONAL CORPORATION</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0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10370 Richmond Ave.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-17780</wp:posOffset>
            </wp:positionV>
            <wp:extent cx="204851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8510" cy="316865"/>
                    </a:xfrm>
                    <a:prstGeom prst="rect">
                      <a:avLst/>
                    </a:prstGeom>
                    <a:noFill/>
                  </pic:spPr>
                </pic:pic>
              </a:graphicData>
            </a:graphic>
          </wp:anchor>
        </w:drawing>
      </w:r>
    </w:p>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3" w:lineRule="exact"/>
        <w:rPr>
          <w:sz w:val="24"/>
          <w:szCs w:val="24"/>
          <w:color w:val="auto"/>
        </w:rPr>
      </w:pPr>
    </w:p>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3"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35" w:lineRule="exact"/>
        <w:rPr>
          <w:sz w:val="24"/>
          <w:szCs w:val="24"/>
          <w:color w:val="auto"/>
        </w:rPr>
      </w:pPr>
    </w:p>
    <w:p>
      <w:pPr>
        <w:sectPr>
          <w:pgSz w:w="11900" w:h="16838" w:orient="portrait"/>
          <w:cols w:equalWidth="0" w:num="2">
            <w:col w:w="8140" w:space="720"/>
            <w:col w:w="2380"/>
          </w:cols>
          <w:pgMar w:left="320" w:top="133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5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4" w:lineRule="exact"/>
        <w:rPr>
          <w:sz w:val="24"/>
          <w:szCs w:val="24"/>
          <w:color w:val="auto"/>
        </w:rPr>
      </w:pPr>
    </w:p>
    <w:p>
      <w:pPr>
        <w:jc w:val="both"/>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right="2580"/>
        <w:spacing w:after="0" w:line="23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May 3, 2026, the registrant had 35,139,094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243"/>
        </w:trPr>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200" w:lineRule="exact"/>
        <w:rPr>
          <w:sz w:val="20"/>
          <w:szCs w:val="20"/>
          <w:color w:val="auto"/>
        </w:rPr>
      </w:pPr>
    </w:p>
    <w:p>
      <w:pPr>
        <w:spacing w:after="0" w:line="32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of activity in the oil and gas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DTIC Common Stock and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3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222,181</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99,308</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8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500,000,000 as of March 31, 2026 and</w:t>
            </w: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35,901,128 issued and outstanding as of March 31, 2026 and 35,661,297 shares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December 31, 2025</w:t>
            </w:r>
          </w:p>
        </w:tc>
        <w:tc>
          <w:tcPr>
            <w:tcW w:w="3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198"/>
        </w:trPr>
        <w:tc>
          <w:tcPr>
            <w:tcW w:w="4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Treasury stock at cost, 775,368 and 505,169 shares as of</w:t>
            </w:r>
          </w:p>
        </w:tc>
        <w:tc>
          <w:tcPr>
            <w:tcW w:w="3300" w:type="dxa"/>
            <w:vAlign w:val="bottom"/>
            <w:gridSpan w:val="2"/>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March 31, 2026 and December 31,</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130,801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(7,343)</w:t>
            </w: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18"/>
                <w:szCs w:val="18"/>
                <w:color w:val="auto"/>
              </w:rPr>
            </w:pPr>
          </w:p>
        </w:tc>
      </w:tr>
      <w:tr>
        <w:trPr>
          <w:trHeight w:val="210"/>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Drilling Tools International stockholder's equity</w:t>
            </w:r>
          </w:p>
        </w:tc>
        <w:tc>
          <w:tcPr>
            <w:tcW w:w="30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120,419</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122,861</w:t>
            </w:r>
          </w:p>
        </w:tc>
        <w:tc>
          <w:tcPr>
            <w:tcW w:w="100" w:type="dxa"/>
            <w:vAlign w:val="bottom"/>
            <w:tcBorders>
              <w:top w:val="single" w:sz="8" w:color="CFF0FC"/>
            </w:tcBorders>
          </w:tcPr>
          <w:p>
            <w:pPr>
              <w:spacing w:after="0"/>
              <w:rPr>
                <w:sz w:val="18"/>
                <w:szCs w:val="18"/>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100" w:type="dxa"/>
            <w:vAlign w:val="bottom"/>
          </w:tcPr>
          <w:p>
            <w:pPr>
              <w:spacing w:after="0"/>
              <w:rPr>
                <w:sz w:val="18"/>
                <w:szCs w:val="18"/>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224,700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222,181</w:t>
            </w:r>
          </w:p>
        </w:tc>
        <w:tc>
          <w:tcPr>
            <w:tcW w:w="10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-4902835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-3796665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60" w:type="dxa"/>
            <w:vAlign w:val="bottom"/>
            <w:gridSpan w:val="6"/>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5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Tool rental</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28,910</w:t>
            </w:r>
          </w:p>
        </w:tc>
        <w:tc>
          <w:tcPr>
            <w:tcW w:w="200" w:type="dxa"/>
            <w:vAlign w:val="bottom"/>
          </w:tcPr>
          <w:p>
            <w:pPr>
              <w:spacing w:after="0"/>
              <w:rPr>
                <w:sz w:val="17"/>
                <w:szCs w:val="17"/>
                <w:color w:val="auto"/>
              </w:rPr>
            </w:pPr>
          </w:p>
        </w:tc>
        <w:tc>
          <w:tcPr>
            <w:tcW w:w="5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34,533</w:t>
            </w:r>
          </w:p>
        </w:tc>
        <w:tc>
          <w:tcPr>
            <w:tcW w:w="12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w:t>
            </w:r>
          </w:p>
        </w:tc>
        <w:tc>
          <w:tcPr>
            <w:tcW w:w="5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42,880</w:t>
            </w:r>
          </w:p>
        </w:tc>
        <w:tc>
          <w:tcPr>
            <w:tcW w:w="1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Costs and other deductions:</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Cost of tool rental revenue</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product sale revenue</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21,609</w:t>
            </w:r>
          </w:p>
        </w:tc>
        <w:tc>
          <w:tcPr>
            <w:tcW w:w="1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6,722</w:t>
            </w:r>
          </w:p>
        </w:tc>
        <w:tc>
          <w:tcPr>
            <w:tcW w:w="12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asset disposal</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and non-operating expense, net</w:t>
            </w:r>
          </w:p>
        </w:tc>
        <w:tc>
          <w:tcPr>
            <w:tcW w:w="5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44,708</w:t>
            </w:r>
          </w:p>
        </w:tc>
        <w:tc>
          <w:tcPr>
            <w:tcW w:w="120" w:type="dxa"/>
            <w:vAlign w:val="bottom"/>
          </w:tcPr>
          <w:p>
            <w:pPr>
              <w:spacing w:after="0"/>
              <w:rPr>
                <w:sz w:val="17"/>
                <w:szCs w:val="17"/>
                <w:color w:val="auto"/>
              </w:rPr>
            </w:pP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before income tax expense</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(2,095)</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(1,828)</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(1,538)</w:t>
            </w:r>
          </w:p>
        </w:tc>
        <w:tc>
          <w:tcPr>
            <w:tcW w:w="5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54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Drilling Tools International stockholders</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(1,540)</w:t>
            </w:r>
          </w:p>
        </w:tc>
        <w:tc>
          <w:tcPr>
            <w:tcW w:w="5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540" w:type="dxa"/>
            <w:vAlign w:val="bottom"/>
          </w:tcPr>
          <w:p>
            <w:pPr>
              <w:spacing w:after="0"/>
              <w:rPr>
                <w:sz w:val="15"/>
                <w:szCs w:val="15"/>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5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r>
      <w:tr>
        <w:trPr>
          <w:trHeight w:val="20"/>
        </w:trPr>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9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5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r>
      <w:tr>
        <w:trPr>
          <w:trHeight w:val="183"/>
        </w:trPr>
        <w:tc>
          <w:tcPr>
            <w:tcW w:w="6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Basic weighted-average common shares outstanding</w:t>
            </w:r>
          </w:p>
        </w:tc>
        <w:tc>
          <w:tcPr>
            <w:tcW w:w="5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35,116,094</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35,592,737</w:t>
            </w:r>
          </w:p>
        </w:tc>
        <w:tc>
          <w:tcPr>
            <w:tcW w:w="120" w:type="dxa"/>
            <w:vAlign w:val="bottom"/>
            <w:tcBorders>
              <w:top w:val="single" w:sz="8" w:color="CFF0FC"/>
            </w:tcBorders>
          </w:tcPr>
          <w:p>
            <w:pPr>
              <w:spacing w:after="0"/>
              <w:rPr>
                <w:sz w:val="15"/>
                <w:szCs w:val="15"/>
                <w:color w:val="auto"/>
              </w:rPr>
            </w:pPr>
          </w:p>
        </w:tc>
      </w:tr>
      <w:tr>
        <w:trPr>
          <w:trHeight w:val="203"/>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weighted-average common shares outstanding</w:t>
            </w:r>
          </w:p>
        </w:tc>
        <w:tc>
          <w:tcPr>
            <w:tcW w:w="5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35,116,094</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35,592,737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(1,538)</w:t>
            </w:r>
          </w:p>
        </w:tc>
        <w:tc>
          <w:tcPr>
            <w:tcW w:w="5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(2,292)</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(727)</w:t>
            </w: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Drilling Tools International stockholders</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(2,294)</w:t>
            </w:r>
          </w:p>
        </w:tc>
        <w:tc>
          <w:tcPr>
            <w:tcW w:w="5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(727)</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-3514090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-3514090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-2219325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-1413510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-1396365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-1104900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-1088390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-1088390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-822325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left="340" w:right="1740"/>
        <w:spacing w:after="0" w:line="27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CONDENSED CONSOLIDATED STATEMENTS OF CHANGES IN SHAREHOLDERS’ EQUITY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6"/>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5"/>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4"/>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Additi</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4"/>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4"/>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960" w:type="dxa"/>
            <w:vAlign w:val="bottom"/>
            <w:gridSpan w:val="5"/>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100" w:type="dxa"/>
            <w:vAlign w:val="bottom"/>
          </w:tcPr>
          <w:p>
            <w:pPr>
              <w:spacing w:after="0"/>
              <w:rPr>
                <w:sz w:val="12"/>
                <w:szCs w:val="12"/>
                <w:color w:val="auto"/>
              </w:rPr>
            </w:pPr>
          </w:p>
        </w:tc>
        <w:tc>
          <w:tcPr>
            <w:tcW w:w="66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 per</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3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160" w:type="dxa"/>
            <w:vAlign w:val="bottom"/>
          </w:tcPr>
          <w:p>
            <w:pPr>
              <w:spacing w:after="0"/>
              <w:rPr>
                <w:sz w:val="13"/>
                <w:szCs w:val="13"/>
                <w:color w:val="auto"/>
              </w:rPr>
            </w:pPr>
          </w:p>
        </w:tc>
        <w:tc>
          <w:tcPr>
            <w:tcW w:w="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Shar</w:t>
            </w:r>
          </w:p>
        </w:tc>
        <w:tc>
          <w:tcPr>
            <w:tcW w:w="200" w:type="dxa"/>
            <w:vAlign w:val="bottom"/>
          </w:tcPr>
          <w:p>
            <w:pPr>
              <w:spacing w:after="0"/>
              <w:rPr>
                <w:sz w:val="13"/>
                <w:szCs w:val="13"/>
                <w:color w:val="auto"/>
              </w:rPr>
            </w:pPr>
          </w:p>
        </w:tc>
        <w:tc>
          <w:tcPr>
            <w:tcW w:w="500" w:type="dxa"/>
            <w:vAlign w:val="bottom"/>
            <w:gridSpan w:val="3"/>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640" w:type="dxa"/>
            <w:vAlign w:val="bottom"/>
            <w:gridSpan w:val="4"/>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3"/>
                <w:szCs w:val="13"/>
                <w:color w:val="auto"/>
              </w:rPr>
            </w:pPr>
          </w:p>
        </w:tc>
        <w:tc>
          <w:tcPr>
            <w:tcW w:w="800" w:type="dxa"/>
            <w:vAlign w:val="bottom"/>
            <w:gridSpan w:val="4"/>
          </w:tcPr>
          <w:p>
            <w:pPr>
              <w:jc w:val="center"/>
              <w:ind w:right="428"/>
              <w:spacing w:after="0" w:line="160" w:lineRule="exact"/>
              <w:rPr>
                <w:sz w:val="20"/>
                <w:szCs w:val="20"/>
                <w:color w:val="auto"/>
              </w:rPr>
            </w:pPr>
            <w:r>
              <w:rPr>
                <w:rFonts w:ascii="Times New Roman" w:cs="Times New Roman" w:eastAsia="Times New Roman" w:hAnsi="Times New Roman"/>
                <w:sz w:val="14"/>
                <w:szCs w:val="14"/>
                <w:b w:val="1"/>
                <w:bCs w:val="1"/>
                <w:color w:val="auto"/>
                <w:w w:val="96"/>
              </w:rPr>
              <w:t>ted</w:t>
            </w:r>
          </w:p>
        </w:tc>
        <w:tc>
          <w:tcPr>
            <w:tcW w:w="760" w:type="dxa"/>
            <w:vAlign w:val="bottom"/>
            <w:gridSpan w:val="3"/>
          </w:tcPr>
          <w:p>
            <w:pPr>
              <w:jc w:val="center"/>
              <w:ind w:right="268"/>
              <w:spacing w:after="0" w:line="160"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160" w:type="dxa"/>
            <w:vAlign w:val="bottom"/>
          </w:tcPr>
          <w:p>
            <w:pPr>
              <w:spacing w:after="0"/>
              <w:rPr>
                <w:sz w:val="13"/>
                <w:szCs w:val="13"/>
                <w:color w:val="auto"/>
              </w:rPr>
            </w:pPr>
          </w:p>
        </w:tc>
        <w:tc>
          <w:tcPr>
            <w:tcW w:w="24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Total Drilling Tools International</w:t>
            </w:r>
          </w:p>
        </w:tc>
        <w:tc>
          <w:tcPr>
            <w:tcW w:w="1080" w:type="dxa"/>
            <w:vAlign w:val="bottom"/>
            <w:gridSpan w:val="2"/>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es</w:t>
            </w:r>
          </w:p>
        </w:tc>
        <w:tc>
          <w:tcPr>
            <w:tcW w:w="200" w:type="dxa"/>
            <w:vAlign w:val="bottom"/>
          </w:tcPr>
          <w:p>
            <w:pPr>
              <w:spacing w:after="0"/>
              <w:rPr>
                <w:sz w:val="14"/>
                <w:szCs w:val="14"/>
                <w:color w:val="auto"/>
              </w:rPr>
            </w:pPr>
          </w:p>
        </w:tc>
        <w:tc>
          <w:tcPr>
            <w:tcW w:w="3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unt</w:t>
            </w:r>
          </w:p>
        </w:tc>
        <w:tc>
          <w:tcPr>
            <w:tcW w:w="160" w:type="dxa"/>
            <w:vAlign w:val="bottom"/>
          </w:tcPr>
          <w:p>
            <w:pPr>
              <w:spacing w:after="0"/>
              <w:rPr>
                <w:sz w:val="14"/>
                <w:szCs w:val="14"/>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gridSpan w:val="2"/>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right w:val="single" w:sz="8" w:color="CFF0FC"/>
            </w:tcBorders>
            <w:shd w:val="clear" w:color="auto" w:fill="CFF0FC"/>
          </w:tcPr>
          <w:p>
            <w:pPr>
              <w:spacing w:after="0"/>
              <w:rPr>
                <w:sz w:val="10"/>
                <w:szCs w:val="10"/>
                <w:color w:val="auto"/>
              </w:rPr>
            </w:pP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FF0FC"/>
          </w:tcPr>
          <w:p>
            <w:pPr>
              <w:spacing w:after="0"/>
              <w:rPr>
                <w:sz w:val="10"/>
                <w:szCs w:val="10"/>
                <w:color w:val="auto"/>
              </w:rPr>
            </w:pPr>
          </w:p>
        </w:tc>
        <w:tc>
          <w:tcPr>
            <w:tcW w:w="4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tcBorders>
              <w:right w:val="single" w:sz="8" w:color="CFF0FC"/>
            </w:tcBorders>
            <w:shd w:val="clear" w:color="auto" w:fill="CFF0FC"/>
          </w:tcPr>
          <w:p>
            <w:pPr>
              <w:spacing w:after="0"/>
              <w:rPr>
                <w:sz w:val="12"/>
                <w:szCs w:val="12"/>
                <w:color w:val="auto"/>
              </w:rPr>
            </w:pPr>
          </w:p>
        </w:tc>
        <w:tc>
          <w:tcPr>
            <w:tcW w:w="3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gridSpan w:val="3"/>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(7,343)</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6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2"/>
                <w:szCs w:val="12"/>
                <w:color w:val="auto"/>
              </w:rPr>
            </w:pPr>
          </w:p>
        </w:tc>
        <w:tc>
          <w:tcPr>
            <w:tcW w:w="22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122,861</w:t>
            </w:r>
          </w:p>
        </w:tc>
        <w:tc>
          <w:tcPr>
            <w:tcW w:w="100" w:type="dxa"/>
            <w:vAlign w:val="bottom"/>
            <w:shd w:val="clear" w:color="auto" w:fill="CFF0FC"/>
          </w:tcPr>
          <w:p>
            <w:pPr>
              <w:spacing w:after="0"/>
              <w:rPr>
                <w:sz w:val="12"/>
                <w:szCs w:val="12"/>
                <w:color w:val="auto"/>
              </w:rPr>
            </w:pPr>
          </w:p>
        </w:tc>
        <w:tc>
          <w:tcPr>
            <w:tcW w:w="200" w:type="dxa"/>
            <w:vAlign w:val="bottom"/>
            <w:tcBorders>
              <w:left w:val="single" w:sz="8" w:color="CFF0FC"/>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left w:val="single" w:sz="8" w:color="CFF0FC"/>
            </w:tcBorders>
            <w:vMerge w:val="continue"/>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719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Treasury stock purchases</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right w:val="single" w:sz="8" w:color="CFF0FC"/>
            </w:tcBorders>
            <w:shd w:val="clear" w:color="auto" w:fill="CFF0FC"/>
          </w:tcPr>
          <w:p>
            <w:pPr>
              <w:spacing w:after="0"/>
              <w:rPr>
                <w:sz w:val="10"/>
                <w:szCs w:val="10"/>
                <w:color w:val="auto"/>
              </w:rPr>
            </w:pP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00" w:type="dxa"/>
            <w:vAlign w:val="bottom"/>
            <w:tcBorders>
              <w:right w:val="single" w:sz="8" w:color="CFF0FC"/>
            </w:tcBorders>
            <w:shd w:val="clear" w:color="auto" w:fill="CFF0FC"/>
          </w:tcPr>
          <w:p>
            <w:pPr>
              <w:spacing w:after="0"/>
              <w:rPr>
                <w:sz w:val="12"/>
                <w:szCs w:val="12"/>
                <w:color w:val="auto"/>
              </w:rPr>
            </w:pPr>
          </w:p>
        </w:tc>
        <w:tc>
          <w:tcPr>
            <w:tcW w:w="3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3"/>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Restricted stock vesting</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4"/>
                <w:szCs w:val="14"/>
                <w:color w:val="auto"/>
              </w:rPr>
            </w:pPr>
          </w:p>
        </w:tc>
        <w:tc>
          <w:tcPr>
            <w:tcW w:w="5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 option exercise</w:t>
            </w:r>
          </w:p>
        </w:tc>
        <w:tc>
          <w:tcPr>
            <w:tcW w:w="4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3"/>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19"/>
        </w:trPr>
        <w:tc>
          <w:tcPr>
            <w:tcW w:w="216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March 31, 2026</w:t>
            </w: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77</w:t>
            </w:r>
          </w:p>
        </w:tc>
        <w:tc>
          <w:tcPr>
            <w:tcW w:w="20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7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(8,883)  $</w:t>
            </w:r>
          </w:p>
        </w:tc>
        <w:tc>
          <w:tcPr>
            <w:tcW w:w="100" w:type="dxa"/>
            <w:vAlign w:val="bottom"/>
          </w:tcPr>
          <w:p>
            <w:pPr>
              <w:spacing w:after="0"/>
              <w:rPr>
                <w:sz w:val="12"/>
                <w:szCs w:val="12"/>
                <w:color w:val="auto"/>
              </w:rPr>
            </w:pPr>
          </w:p>
        </w:tc>
        <w:tc>
          <w:tcPr>
            <w:tcW w:w="6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2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120,419</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24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7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  92)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Additi</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160" w:type="dxa"/>
            <w:vAlign w:val="bottom"/>
          </w:tcPr>
          <w:p>
            <w:pPr>
              <w:spacing w:after="0"/>
              <w:rPr>
                <w:sz w:val="12"/>
                <w:szCs w:val="12"/>
                <w:color w:val="auto"/>
              </w:rPr>
            </w:pPr>
          </w:p>
        </w:tc>
        <w:tc>
          <w:tcPr>
            <w:tcW w:w="800" w:type="dxa"/>
            <w:vAlign w:val="bottom"/>
            <w:gridSpan w:val="4"/>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 per</w:t>
            </w:r>
          </w:p>
        </w:tc>
        <w:tc>
          <w:tcPr>
            <w:tcW w:w="240" w:type="dxa"/>
            <w:vAlign w:val="bottom"/>
          </w:tcPr>
          <w:p>
            <w:pPr>
              <w:spacing w:after="0"/>
              <w:rPr>
                <w:sz w:val="13"/>
                <w:szCs w:val="13"/>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3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160" w:type="dxa"/>
            <w:vAlign w:val="bottom"/>
          </w:tcPr>
          <w:p>
            <w:pPr>
              <w:spacing w:after="0"/>
              <w:rPr>
                <w:sz w:val="13"/>
                <w:szCs w:val="13"/>
                <w:color w:val="auto"/>
              </w:rPr>
            </w:pPr>
          </w:p>
        </w:tc>
        <w:tc>
          <w:tcPr>
            <w:tcW w:w="2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w:t>
            </w:r>
          </w:p>
        </w:tc>
        <w:tc>
          <w:tcPr>
            <w:tcW w:w="160" w:type="dxa"/>
            <w:vAlign w:val="bottom"/>
          </w:tcPr>
          <w:p>
            <w:pPr>
              <w:spacing w:after="0"/>
              <w:rPr>
                <w:sz w:val="13"/>
                <w:szCs w:val="13"/>
                <w:color w:val="auto"/>
              </w:rPr>
            </w:pPr>
          </w:p>
        </w:tc>
        <w:tc>
          <w:tcPr>
            <w:tcW w:w="3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Amo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ted</w:t>
            </w:r>
          </w:p>
        </w:tc>
        <w:tc>
          <w:tcPr>
            <w:tcW w:w="100" w:type="dxa"/>
            <w:vAlign w:val="bottom"/>
          </w:tcPr>
          <w:p>
            <w:pPr>
              <w:spacing w:after="0"/>
              <w:rPr>
                <w:sz w:val="13"/>
                <w:szCs w:val="13"/>
                <w:color w:val="auto"/>
              </w:rPr>
            </w:pPr>
          </w:p>
        </w:tc>
        <w:tc>
          <w:tcPr>
            <w:tcW w:w="660" w:type="dxa"/>
            <w:vAlign w:val="bottom"/>
            <w:gridSpan w:val="2"/>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Total Drilling Tools International</w:t>
            </w: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240" w:type="dxa"/>
            <w:vAlign w:val="bottom"/>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unt</w:t>
            </w:r>
          </w:p>
        </w:tc>
        <w:tc>
          <w:tcPr>
            <w:tcW w:w="160" w:type="dxa"/>
            <w:vAlign w:val="bottom"/>
          </w:tcPr>
          <w:p>
            <w:pPr>
              <w:spacing w:after="0"/>
              <w:rPr>
                <w:sz w:val="14"/>
                <w:szCs w:val="14"/>
                <w:color w:val="auto"/>
              </w:rPr>
            </w:pPr>
          </w:p>
        </w:tc>
        <w:tc>
          <w:tcPr>
            <w:tcW w:w="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w:t>
            </w:r>
          </w:p>
        </w:tc>
        <w:tc>
          <w:tcPr>
            <w:tcW w:w="160" w:type="dxa"/>
            <w:vAlign w:val="bottom"/>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unt</w:t>
            </w:r>
          </w:p>
        </w:tc>
        <w:tc>
          <w:tcPr>
            <w:tcW w:w="160" w:type="dxa"/>
            <w:vAlign w:val="bottom"/>
          </w:tcPr>
          <w:p>
            <w:pPr>
              <w:spacing w:after="0"/>
              <w:rPr>
                <w:sz w:val="14"/>
                <w:szCs w:val="14"/>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gridSpan w:val="2"/>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720" w:type="dxa"/>
            <w:vAlign w:val="bottom"/>
            <w:gridSpan w:val="4"/>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34,70</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0"/>
                <w:szCs w:val="10"/>
                <w:color w:val="auto"/>
              </w:rPr>
            </w:pP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125,4</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(3,582)</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119,959</w:t>
            </w:r>
          </w:p>
        </w:tc>
        <w:tc>
          <w:tcPr>
            <w:tcW w:w="100" w:type="dxa"/>
            <w:vAlign w:val="bottom"/>
            <w:shd w:val="clear" w:color="auto" w:fill="CFF0FC"/>
          </w:tcPr>
          <w:p>
            <w:pPr>
              <w:spacing w:after="0"/>
              <w:rPr>
                <w:sz w:val="10"/>
                <w:szCs w:val="10"/>
                <w:color w:val="auto"/>
              </w:rPr>
            </w:pPr>
          </w:p>
        </w:tc>
        <w:tc>
          <w:tcPr>
            <w:tcW w:w="200" w:type="dxa"/>
            <w:vAlign w:val="bottom"/>
            <w:tcBorders>
              <w:lef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119,95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26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gridSpan w:val="2"/>
            <w:vMerge w:val="continue"/>
            <w:shd w:val="clear" w:color="auto" w:fill="CFF0FC"/>
          </w:tcPr>
          <w:p>
            <w:pPr>
              <w:spacing w:after="0"/>
              <w:rPr>
                <w:sz w:val="14"/>
                <w:szCs w:val="14"/>
                <w:color w:val="auto"/>
              </w:rPr>
            </w:pPr>
          </w:p>
        </w:tc>
        <w:tc>
          <w:tcPr>
            <w:tcW w:w="720" w:type="dxa"/>
            <w:vAlign w:val="bottom"/>
            <w:tcBorders>
              <w:right w:val="single" w:sz="8" w:color="CFF0FC"/>
            </w:tcBorders>
            <w:gridSpan w:val="3"/>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22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left w:val="single" w:sz="8" w:color="CFF0FC"/>
            </w:tcBorders>
            <w:vMerge w:val="continue"/>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w:t>
            </w:r>
          </w:p>
        </w:tc>
        <w:tc>
          <w:tcPr>
            <w:tcW w:w="720" w:type="dxa"/>
            <w:vAlign w:val="bottom"/>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888,0</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20" w:type="dxa"/>
            <w:vAlign w:val="bottom"/>
            <w:tcBorders>
              <w:right w:val="single" w:sz="8" w:color="CFF0FC"/>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combination</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2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of tax</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3"/>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200" w:type="dxa"/>
            <w:vAlign w:val="bottom"/>
            <w:tcBorders>
              <w:left w:val="single" w:sz="8" w:color="CFF0FC"/>
            </w:tcBorders>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8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240" w:type="dxa"/>
            <w:vAlign w:val="bottom"/>
          </w:tcPr>
          <w:p>
            <w:pPr>
              <w:spacing w:after="0"/>
              <w:rPr>
                <w:sz w:val="10"/>
                <w:szCs w:val="10"/>
                <w:color w:val="auto"/>
              </w:rPr>
            </w:pPr>
          </w:p>
        </w:tc>
        <w:tc>
          <w:tcPr>
            <w:tcW w:w="48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3"/>
                <w:szCs w:val="13"/>
                <w:color w:val="auto"/>
              </w:rPr>
              <w:t>35,59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128,8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122,696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122,69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-2390775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-2390775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-2390775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-2390775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-2390775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-2390775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-2390775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-2390775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-2390775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-222250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-222250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-222250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-222250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-222250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-222250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-222250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-222250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-222250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UNAUDITED CONDENSED CONSOLIDATED STATEMENTS OF CASH FLOWS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8"/>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Unrealized loss (gain) on currency translation</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Write off of excess and obsolete inventory</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Write off of excess and obsolete property and equipment</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(recovery) for credit losses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(gain) on sale of property</w:t>
            </w:r>
          </w:p>
        </w:tc>
        <w:tc>
          <w:tcPr>
            <w:tcW w:w="3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Gain on sale of lost-in-hole equipment</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(3,914)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Interest income on related party note receivable</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impairment</w:t>
            </w:r>
          </w:p>
        </w:tc>
        <w:tc>
          <w:tcPr>
            <w:tcW w:w="3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(2,438)</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(1,147)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(862)</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flows from operating activities</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a business, net of cash acquired</w:t>
            </w:r>
          </w:p>
        </w:tc>
        <w:tc>
          <w:tcPr>
            <w:tcW w:w="3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property, plant, and equipment</w:t>
            </w:r>
          </w:p>
        </w:tc>
        <w:tc>
          <w:tcPr>
            <w:tcW w:w="3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(7,687)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lost-in-hole equipment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cash flows from investing activities</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(2,971)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(7,280)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deferred financing costs</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 of term loan</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Repayment of promissory note</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revolving line of credit</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Repayment on revolving line of credit</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(12,270)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(16,491)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Net cash flows from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5,282</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Effect of changes in foreign exchange rates</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3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at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at end of period</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-2785110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-2785110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-1731010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-1731010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-693420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-693420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-162560</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-162560</wp:posOffset>
            </wp:positionV>
            <wp:extent cx="59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2, 2025, the Company’s wholly owned subsidiary, Drilling Tools International, Inc., completed the acquisition of 100% of the shares of Titan Tools Group Limited (“Titan”) for a total consideration of $10.8 million. For further details regarding the acquisition, refer to Note 3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March 31, 2026, and its results of operations for the three months ended March 31, 2026 and 2025, and cash flows for the three months ended March 31, 2026 and 2025. The condensed consolidated balance sheet at December 31, 2025, was derived from the audited annual financial statements but does not contain all of the footnote disclosures from the annual financial statements.</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changed the presentation of its interim condensed consolidated statements of comprehensive income (loss) from a two-step format to a one-step format. Under the previous two-step format, operating income was presented as a subtotal. Under the new one-step format, all revenues are presented, followed by all expenses and losses, including income taxes, without the presentation of intermediate subtotals such as operating income. This change was made to simplify the presentation and enhance comparability with peer companies that use a similar format. The prior period’s income statement has been revised to conform to the current year’s presentation. This change in format does not affect the recognition, measurement, or classification of individual line items and has no impact on net income or other key financial metrics.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numerous geopolitical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entities, Casing Technologies Group Limited and Titan Tools Services, which operate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comprehensive income (loss)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other operating and non-operating expenses, net in the accompanying unaudited condensed consolidated statements of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Contract assets were recorded in accounts receivable, net in the accompanying unaudited condensed consolidated balance sheets. The changes in contract assets for the year ended December 31, 2025 and three months ended March 31, 2026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1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20"/>
                <w:szCs w:val="20"/>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44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4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(40,851)</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48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4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44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(9,502)</w:t>
            </w:r>
          </w:p>
        </w:tc>
      </w:tr>
      <w:tr>
        <w:trPr>
          <w:trHeight w:val="230"/>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48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Borders>
              <w:top w:val="single" w:sz="8" w:color="CFF0FC"/>
            </w:tcBorders>
          </w:tcPr>
          <w:p>
            <w:pPr>
              <w:spacing w:after="0"/>
              <w:rPr>
                <w:sz w:val="20"/>
                <w:szCs w:val="20"/>
                <w:color w:val="auto"/>
              </w:rPr>
            </w:pPr>
          </w:p>
        </w:tc>
      </w:tr>
      <w:tr>
        <w:trPr>
          <w:trHeight w:val="635"/>
        </w:trPr>
        <w:tc>
          <w:tcPr>
            <w:tcW w:w="4780" w:type="dxa"/>
            <w:vAlign w:val="bottom"/>
          </w:tcPr>
          <w:p>
            <w:pPr>
              <w:spacing w:after="0"/>
              <w:rPr>
                <w:sz w:val="24"/>
                <w:szCs w:val="24"/>
                <w:color w:val="auto"/>
              </w:rPr>
            </w:pPr>
          </w:p>
        </w:tc>
        <w:tc>
          <w:tcPr>
            <w:tcW w:w="448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March 31, 2026, December 31, 2025 and December 31, 2024, the Company did not have any contract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March 31,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as well as contract assets for work complete but not yet billed.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2025 and the three months ended March 31, 2026 were as follows (in thousands):</w:t>
      </w:r>
    </w:p>
    <w:p>
      <w:pPr>
        <w:sectPr>
          <w:pgSz w:w="11900" w:h="16838" w:orient="portrait"/>
          <w:cols w:equalWidth="0" w:num="1">
            <w:col w:w="11240"/>
          </w:cols>
          <w:pgMar w:left="320" w:top="1201" w:right="339" w:bottom="1440" w:gutter="0" w:footer="0" w:header="0"/>
        </w:sectPr>
      </w:pPr>
    </w:p>
    <w:p>
      <w:pPr>
        <w:spacing w:after="0" w:line="162" w:lineRule="exact"/>
        <w:rPr>
          <w:sz w:val="20"/>
          <w:szCs w:val="20"/>
          <w:color w:val="auto"/>
        </w:rPr>
      </w:pPr>
    </w:p>
    <w:p>
      <w:pPr>
        <w:ind w:right="2040"/>
        <w:spacing w:after="0" w:line="260" w:lineRule="auto"/>
        <w:rPr>
          <w:sz w:val="20"/>
          <w:szCs w:val="20"/>
          <w:color w:val="auto"/>
        </w:rPr>
      </w:pPr>
      <w:r>
        <w:rPr>
          <w:rFonts w:ascii="Times New Roman" w:cs="Times New Roman" w:eastAsia="Times New Roman" w:hAnsi="Times New Roman"/>
          <w:sz w:val="18"/>
          <w:szCs w:val="18"/>
          <w:color w:val="auto"/>
        </w:rPr>
        <w:t>Balance at December 31, 2024 Provisions for expected credit losses Foreign currency adjustments Utilization of allowance for credit losses Balance at December 31, 2025 Provisions for expected credit losses Foreign currency adjustments Utilization of allowances for credit losses Balance at March 31, 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jc w:val="right"/>
              <w:ind w:right="2296"/>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16"/>
        </w:trPr>
        <w:tc>
          <w:tcPr>
            <w:tcW w:w="246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246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2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0"/>
                <w:szCs w:val="20"/>
                <w:color w:val="auto"/>
              </w:rPr>
            </w:pPr>
          </w:p>
        </w:tc>
      </w:tr>
      <w:tr>
        <w:trPr>
          <w:trHeight w:val="210"/>
        </w:trPr>
        <w:tc>
          <w:tcPr>
            <w:tcW w:w="2460" w:type="dxa"/>
            <w:vAlign w:val="bottom"/>
            <w:tcBorders>
              <w:bottom w:val="single" w:sz="8" w:color="auto"/>
            </w:tcBorders>
          </w:tcPr>
          <w:p>
            <w:pPr>
              <w:jc w:val="right"/>
              <w:ind w:right="229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18"/>
                <w:szCs w:val="18"/>
                <w:color w:val="auto"/>
              </w:rPr>
            </w:pPr>
          </w:p>
        </w:tc>
      </w:tr>
      <w:tr>
        <w:trPr>
          <w:trHeight w:val="191"/>
        </w:trPr>
        <w:tc>
          <w:tcPr>
            <w:tcW w:w="2460" w:type="dxa"/>
            <w:vAlign w:val="bottom"/>
          </w:tcPr>
          <w:p>
            <w:pPr>
              <w:spacing w:after="0"/>
              <w:rPr>
                <w:sz w:val="16"/>
                <w:szCs w:val="16"/>
                <w:color w:val="auto"/>
              </w:rPr>
            </w:pPr>
          </w:p>
        </w:tc>
        <w:tc>
          <w:tcPr>
            <w:tcW w:w="2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0"/>
        </w:trPr>
        <w:tc>
          <w:tcPr>
            <w:tcW w:w="2460" w:type="dxa"/>
            <w:vAlign w:val="bottom"/>
            <w:tcBorders>
              <w:bottom w:val="single" w:sz="8" w:color="auto"/>
            </w:tcBorders>
          </w:tcPr>
          <w:p>
            <w:pPr>
              <w:jc w:val="right"/>
              <w:ind w:right="229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-1285240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-1010920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-728345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-162560</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5100" w:space="720"/>
            <w:col w:w="5420"/>
          </w:cols>
          <w:pgMar w:left="320" w:top="1201"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generated approximately 29% and 29%, respectively, of its revenue from 2 customers. Amounts due from these customers included in accounts receivable at March 31, 2026 and December 31, 2025 were approximately $4.6 million and $5.7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have any vendors that represented over 10% of total purchases.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the operating costs section of the unaudited condensed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statements of comprehensive income (loss) and establish a new cost basis for the inventory. Inventory includes raw material, work in progress, and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expense when incurred. When property, plant and equipment is retired or otherwise disposed of, the related cost and accumulated depreciation are removed from the accounts and any resulting gain or loss is included in loss (gain) on asset disposal.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During the three months ended March 31, 2026, management determined that there were no triggering events necessitating impairment testing of property, plant and equipment,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reassessas the lease classification as of the effective date of the modification.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the economic benefits from the use of the identified asset throughout the period of use and (iii) the customer directs the use of the identified assets throughout the period of 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and developed technology.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The Company assesses goodwill impairment annually on October 31.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In determining the appropriate levels, the Company performs a detailed analysis of the assets and liabilities that are measured and reported on a fair value basis. The valuation of assets and liabilities recognized in business combinations are considered level 3 fair value measurements on the closing date of the acquisition. These assets and liabilities are not remeasured at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31, 2026 and December 31, 2025, the Company did not have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Level 1, 2 or 3 assets or liabilities measured on a recurring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comprehensive income (loss). All indirect operating costs, including labor, freight, contract labor and others, are included in selling, general, and administrative expense in the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 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 stock units, the grant date fair value is determined based on quoted market price for the Company's common stock as of the grant date. The Company applies a graded vesting attribution method, recognizing expense over the entire tranche of awards and updating the estimate of probable achievement of performance conditions at each reporting period. Changes in estimated outcomes are recognized prospectively through cumulative catch-up adjustments to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holds an equity method investment in a Variable Interest Entity ("VIE") and is determined to be the primary beneficiary, the VIE is consolidated in accordance with ASC 810, Consolidation. Upon consolidation, any equity interests in the VIE not held by the Company are presented as non-controlling interests in the unaudited condensed consolidated financial statements. The non-controlling interest represents the portion of the VIE’s net assets and net income attributable to other equity holders. The Company reassesses its status as the primary beneficiary of the VIE on an ongoing basis and adjusts the non-controlling interest accordingly. Changes in ownership interests that do not result in a loss of control are accounted for as equity transactions.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are computed by dividing the diluted net income (loss) by the weighted-average number of common shares outstanding for the period, including potential dilutive common stock. For the purposes of this calculation, outstanding stock options, restricted stock units, and performance-based awards are considered potential dilutive common stock and are excluded from the computation of net loss per share if their effect is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attributable to differences between the unaudited condensed consolidated financial statement carrying amounts of existing assets and liabilities and their respective tax bases.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uncertain tax position is assessed using a two-step process. A determination is first made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March 31, 2026 and December 31, 2025. The Company believes there are no tax positions taken or expected to be taken that would significantly increase or decrease unrecognized tax benefits within twelve months of the reporting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comprehensive income (loss) for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purposes of making operations decisions,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restructuring charges in accordance with ASC 420, Exit or Disposal Cost Obligations. Restructuring costs primarily include severance and other employee-related termination benefits, as well as reorganization costs associated with strategic initiatives to streamline operations or reduce overhead. These costs are recognized when a formal plan has been approved, communicated to affected employees, and the obligation is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B333D"/>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ENTITY AND JOINT VENTURE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22, 2025, the Company, through its wholly owned subsidiary DTI Canada 1, LLC, entered into a Joint Venture and Shareholders’ Agreement with Upstream Energy SDN. BHD. (“Upstream Energy”), a Malaysian entity, to form Drilling Tools International SDN. BHD. (“DTI Malaysia”), a Malaysian corporation. The purpose of DTI Malaysia is to expand the Company’s geographic footprint to serve a broader customer base in the Asia-Pacific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contributed $11.6 thousand and Upstream Energy contributed $12.1 thousand to the initial share capital of $23.7 thousand, resulting in ownership interests of 49% and 51%, respectively. Despite holding a minority equity interest, the Company was appointed as the sole manager of DTI Malaysia under a separate Management Agreement, granting it full operational and financial control over the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DTI Malaysia is considered a variable interest entity (“VIE”) under ASC 810 due to the disproportionality between DTI’s voting interest and its control and economic exposure. DTI has the power to direct the activities that most significantly impact the economic performance of DTI Malaysia and is entitled to receive substantially all the economic returns from its operations. As such, DTI is the primary beneficiary of DTI Malaysia and consolidates its financial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DTI consolidates 100% of DTI Malaysia’s assets, liabilities, revenues, and expenses. The portion of net assets and net income attributable to Upstream Energy is presented as a noncontrolling interest in the Company’s consolidated financial statements. There are no assets of DTI Malaysia that can be used only to settle its obligations nor are there liabilities for which creditors do not have recourse to the general credit of DTI.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Titan is a full-service, down-hole tool rental company for land and offshore operations focused on wellbore construction rental items for both traditional hydrocarbon extraction and geothermal industries. Titan's primary operations are located in the United Kingdom, Europe, and Africa.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to Titan shareholders</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Titan transaction costs to be paid by DTI</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Closing date equity consideration </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Effective settlement of preexisting relationship between DTI and Titan </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1680" w:hanging="175"/>
        <w:spacing w:after="0"/>
        <w:tabs>
          <w:tab w:leader="none" w:pos="16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1500" w:right="2700" w:firstLine="5"/>
        <w:spacing w:after="0"/>
        <w:tabs>
          <w:tab w:leader="none" w:pos="167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 The purchase price allocation for the acquisition is final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is as follows (in thousands):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0"/>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09"/>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Titan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101600</wp:posOffset>
            </wp:positionV>
            <wp:extent cx="85725" cy="316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316865"/>
                    </a:xfrm>
                    <a:prstGeom prst="rect">
                      <a:avLst/>
                    </a:prstGeom>
                    <a:noFill/>
                  </pic:spPr>
                </pic:pic>
              </a:graphicData>
            </a:graphic>
          </wp:anchor>
        </w:drawing>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Useful life</w:t>
            </w:r>
          </w:p>
        </w:tc>
        <w:tc>
          <w:tcPr>
            <w:tcW w:w="3640" w:type="dxa"/>
            <w:vAlign w:val="bottom"/>
            <w:tcBorders>
              <w:top w:val="single" w:sz="8" w:color="auto"/>
            </w:tcBorders>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(in years)</w:t>
            </w:r>
          </w:p>
        </w:tc>
        <w:tc>
          <w:tcPr>
            <w:tcW w:w="36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Fair value methodology</w:t>
            </w:r>
          </w:p>
        </w:tc>
      </w:tr>
      <w:tr>
        <w:trPr>
          <w:trHeight w:val="210"/>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36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25</w:t>
            </w:r>
          </w:p>
        </w:tc>
        <w:tc>
          <w:tcPr>
            <w:tcW w:w="3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-170815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$0.3 million during the three months ended March 31, 2025, which is included in other operating and non-operating expenses, net in the consolidated statements of comprehensive income (loss).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comprehensive income (loss) for the three months ended March 31, 2026 and 2025 include Titan’s revenues of $2.1 million and $2.6 million, respectively, and net income of $0.1 million and $0.1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0" w:type="dxa"/>
            <w:vAlign w:val="bottom"/>
            <w:gridSpan w:val="2"/>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0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3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-1070610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 on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rent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software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5,395</w:t>
            </w:r>
          </w:p>
        </w:tc>
        <w:tc>
          <w:tcPr>
            <w:tcW w:w="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4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9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insurance</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inventory and property, plant, and equipment purchases</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property taxes</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monitoring fees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tax payable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w:t>
            </w:r>
          </w:p>
        </w:tc>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r>
      <w:tr>
        <w:trPr>
          <w:trHeight w:val="25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9,119</w:t>
            </w:r>
          </w:p>
        </w:tc>
        <w:tc>
          <w:tcPr>
            <w:tcW w:w="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10,711</w:t>
            </w:r>
          </w:p>
        </w:tc>
        <w:tc>
          <w:tcPr>
            <w:tcW w:w="100" w:type="dxa"/>
            <w:vAlign w:val="bottom"/>
            <w:shd w:val="clear" w:color="auto" w:fill="CFF0FC"/>
          </w:tcPr>
          <w:p>
            <w:pPr>
              <w:spacing w:after="0"/>
              <w:rPr>
                <w:sz w:val="21"/>
                <w:szCs w:val="21"/>
                <w:color w:val="auto"/>
              </w:rPr>
            </w:pPr>
          </w:p>
        </w:tc>
      </w:tr>
      <w:tr>
        <w:trPr>
          <w:trHeight w:val="831"/>
        </w:trPr>
        <w:tc>
          <w:tcPr>
            <w:tcW w:w="5180" w:type="dxa"/>
            <w:vAlign w:val="bottom"/>
            <w:tcBorders>
              <w:top w:val="single" w:sz="8" w:color="CFF0FC"/>
            </w:tcBorders>
          </w:tcPr>
          <w:p>
            <w:pPr>
              <w:spacing w:after="0"/>
              <w:rPr>
                <w:sz w:val="24"/>
                <w:szCs w:val="24"/>
                <w:color w:val="auto"/>
              </w:rPr>
            </w:pPr>
          </w:p>
        </w:tc>
        <w:tc>
          <w:tcPr>
            <w:tcW w:w="2480" w:type="dxa"/>
            <w:vAlign w:val="bottom"/>
            <w:tcBorders>
              <w:top w:val="single" w:sz="8" w:color="CFF0FC"/>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-1062355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-1045210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240" w:type="dxa"/>
            <w:vAlign w:val="bottom"/>
          </w:tcPr>
          <w:p>
            <w:pPr>
              <w:spacing w:after="0"/>
              <w:rPr>
                <w:sz w:val="24"/>
                <w:szCs w:val="24"/>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240" w:type="dxa"/>
            <w:vAlign w:val="bottom"/>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219,829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215,596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0"/>
        </w:trPr>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231,921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227,317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(156,382)</w:t>
            </w:r>
          </w:p>
        </w:tc>
      </w:tr>
      <w:tr>
        <w:trPr>
          <w:trHeight w:val="187"/>
        </w:trPr>
        <w:tc>
          <w:tcPr>
            <w:tcW w:w="52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 construction in</w:t>
            </w:r>
          </w:p>
        </w:tc>
        <w:tc>
          <w:tcPr>
            <w:tcW w:w="1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9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progress)</w:t>
            </w:r>
          </w:p>
        </w:tc>
        <w:tc>
          <w:tcPr>
            <w:tcW w:w="19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71,274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70,935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r>
      <w:tr>
        <w:trPr>
          <w:trHeight w:val="20"/>
        </w:trPr>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73,026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72,602</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depreciation expense for the three months ended March 31, 2026 and 2025 was approximately $6.2 million and $6.1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000" w:type="dxa"/>
            <w:vAlign w:val="bottom"/>
          </w:tcPr>
          <w:p>
            <w:pPr>
              <w:spacing w:after="0"/>
              <w:rPr>
                <w:sz w:val="20"/>
                <w:szCs w:val="20"/>
                <w:color w:val="auto"/>
              </w:rPr>
            </w:pPr>
          </w:p>
        </w:tc>
        <w:tc>
          <w:tcPr>
            <w:tcW w:w="1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period (in years)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44,850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(5,176)</w:t>
            </w:r>
          </w:p>
        </w:tc>
      </w:tr>
      <w:tr>
        <w:trPr>
          <w:trHeight w:val="20"/>
        </w:trPr>
        <w:tc>
          <w:tcPr>
            <w:tcW w:w="5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38,437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39,674</w:t>
            </w:r>
          </w:p>
        </w:tc>
        <w:tc>
          <w:tcPr>
            <w:tcW w:w="12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March 31, 2026 and 2025 was approximately $0.7 million and $0.6 million, respectively. Estimated future amortization expense for the next five years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9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9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9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9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9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38,437</w:t>
            </w:r>
          </w:p>
        </w:tc>
        <w:tc>
          <w:tcPr>
            <w:tcW w:w="100" w:type="dxa"/>
            <w:vAlign w:val="bottom"/>
            <w:shd w:val="clear" w:color="auto" w:fill="CFF0FC"/>
          </w:tcPr>
          <w:p>
            <w:pPr>
              <w:spacing w:after="0"/>
              <w:rPr>
                <w:sz w:val="19"/>
                <w:szCs w:val="19"/>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three months ended March 31, 2026 was as follows (in thousands):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2025</w:t>
            </w:r>
          </w:p>
        </w:tc>
        <w:tc>
          <w:tcPr>
            <w:tcW w:w="3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100" w:type="dxa"/>
            <w:vAlign w:val="bottom"/>
            <w:shd w:val="clear" w:color="auto" w:fill="CFF0FC"/>
          </w:tcPr>
          <w:p>
            <w:pPr>
              <w:spacing w:after="0"/>
              <w:rPr>
                <w:sz w:val="18"/>
                <w:szCs w:val="18"/>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r>
      <w:tr>
        <w:trPr>
          <w:trHeight w:val="20"/>
        </w:trPr>
        <w:tc>
          <w:tcPr>
            <w:tcW w:w="6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balance as of March 31, 2026</w:t>
            </w:r>
          </w:p>
        </w:tc>
        <w:tc>
          <w:tcPr>
            <w:tcW w:w="3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14,524</w:t>
            </w:r>
          </w:p>
        </w:tc>
        <w:tc>
          <w:tcPr>
            <w:tcW w:w="100" w:type="dxa"/>
            <w:vAlign w:val="bottom"/>
            <w:shd w:val="clear" w:color="auto" w:fill="CFF0FC"/>
          </w:tcPr>
          <w:p>
            <w:pPr>
              <w:spacing w:after="0"/>
              <w:rPr>
                <w:sz w:val="18"/>
                <w:szCs w:val="18"/>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3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 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“Revolving Line of Credit”)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the Company is required to make an annual payment of up to $5.0 million, to be determined based on the Excess Cash Flows generated each fiscal year commencing with the year ended December 31, 2024, as defined in the Credit Facility.</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interest on the amount drawn on the Revolving Line of Credit and Term Loan and the outstanding Term Loan balance are based on the Secured Overnight Financing Rate ("SOFR") or the bank’s base lending rate plus applicable margin (approximately 6.64% and 7.73%, respectively, at March 31, 2026). The Credit Facility is collateralized by substantially all the assets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was $32.5 million drawn against the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 of EDP, the Company issued an unsecured Promissory Note to the former parent company of EDP, totaling $5.2 million. On April 22, 2025, the First Amendment to the note was signed, reducing the balance by $0.3 million. The note bears an interest rate of 8% per annum. The note matures in December 2029 and payments are made quarterly. The note is a foreign currency denominated monetary liability (issuance and payments are denominated in Euros), and as such, is measured at the end of each reporting period based on the exchange rate at that date. The remaining balance on the Promissory Note was $3.8 million as of March 31, 2026. For the three months ended March 31, 2026 and 2025, the Company recognized a gain of $0.1 million and $0.1 million, respectively, on the unaudited condensed consolidated statements of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future maturities of long-term debt consisted of the following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80" w:type="dxa"/>
            <w:vAlign w:val="bottom"/>
          </w:tcPr>
          <w:p>
            <w:pPr>
              <w:spacing w:after="0"/>
              <w:rPr>
                <w:sz w:val="18"/>
                <w:szCs w:val="18"/>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80" w:type="dxa"/>
            <w:vAlign w:val="bottom"/>
          </w:tcPr>
          <w:p>
            <w:pPr>
              <w:spacing w:after="0"/>
              <w:rPr>
                <w:sz w:val="18"/>
                <w:szCs w:val="18"/>
                <w:color w:val="auto"/>
              </w:rPr>
            </w:pPr>
          </w:p>
        </w:tc>
      </w:tr>
      <w:tr>
        <w:trPr>
          <w:trHeight w:val="25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 term debt</w:t>
            </w:r>
          </w:p>
        </w:tc>
        <w:tc>
          <w:tcPr>
            <w:tcW w:w="20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51,753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March 31, 2026 and December 31, 2025 and therefore no amounts were recorded as of March 31, 2026 or December 31, 2025.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benefit on the unaudited condensed consolidated statements of comprehensive income (loss) of $0.6 million and $0.2 million for the three months ended March 31, 2026 and 2025,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expense for the three months ended March 31, 2026 was calculated using a discrete approach. This methodology was used because changes in the Company's results of operations and acquisitions can materially impact the estimated annual effective tax rate. The Company’s effective tax rate for the three months ended March 31, 2026 and 2025 was 26.6% and 8.7%, respectively. Such rates differed from the Federal Statutory rate of 21.0% primarily due to the state taxes, foreign income taxes on the Company’s international operations, and permanent differences.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signficant changes to the valuation allowance during the three months ended March 31, 2026 and 2025.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March 31, 2026, there were 1,928,447 shares of Common Stock available for issuance under the 2023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33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stock options issued are service based with a vest term ranging from one to three years. The awards have contractual terms of ten years. 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 will use the quoted market price as of the grant date as an input into the Black-Scholes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March 31,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Aggregate</w:t>
            </w:r>
          </w:p>
        </w:tc>
      </w:tr>
      <w:tr>
        <w:trPr>
          <w:trHeight w:val="162"/>
        </w:trPr>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Weighted Average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Intrinsic</w:t>
            </w:r>
          </w:p>
        </w:tc>
      </w:tr>
      <w:tr>
        <w:trPr>
          <w:trHeight w:val="183"/>
        </w:trPr>
        <w:tc>
          <w:tcPr>
            <w:tcW w:w="4880" w:type="dxa"/>
            <w:vAlign w:val="bottom"/>
          </w:tcPr>
          <w:p>
            <w:pPr>
              <w:spacing w:after="0"/>
              <w:rPr>
                <w:sz w:val="15"/>
                <w:szCs w:val="15"/>
                <w:color w:val="auto"/>
              </w:rPr>
            </w:pPr>
          </w:p>
        </w:tc>
        <w:tc>
          <w:tcPr>
            <w:tcW w:w="11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Pr>
          <w:p>
            <w:pPr>
              <w:spacing w:after="0"/>
              <w:rPr>
                <w:sz w:val="15"/>
                <w:szCs w:val="15"/>
                <w:color w:val="auto"/>
              </w:rPr>
            </w:pPr>
          </w:p>
        </w:tc>
      </w:tr>
      <w:tr>
        <w:trPr>
          <w:trHeight w:val="155"/>
        </w:trPr>
        <w:tc>
          <w:tcPr>
            <w:tcW w:w="604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December 31, 2025</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4,933,626</w:t>
            </w: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3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3.50</w:t>
            </w:r>
          </w:p>
        </w:tc>
        <w:tc>
          <w:tcPr>
            <w:tcW w:w="1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4.97</w:t>
            </w:r>
          </w:p>
        </w:tc>
        <w:tc>
          <w:tcPr>
            <w:tcW w:w="3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0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Granted</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04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Exercised</w:t>
            </w:r>
          </w:p>
        </w:tc>
        <w:tc>
          <w:tcPr>
            <w:tcW w:w="9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(20,000)</w:t>
            </w: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3.02</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w:t>
            </w: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r>
      <w:tr>
        <w:trPr>
          <w:trHeight w:val="176"/>
        </w:trPr>
        <w:tc>
          <w:tcPr>
            <w:tcW w:w="48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March 31, 2026</w:t>
            </w:r>
          </w:p>
        </w:tc>
        <w:tc>
          <w:tcPr>
            <w:tcW w:w="1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4,913,626</w:t>
            </w: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3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3.51</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4.66</w:t>
            </w:r>
          </w:p>
        </w:tc>
        <w:tc>
          <w:tcPr>
            <w:tcW w:w="3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4,708</w:t>
            </w:r>
          </w:p>
        </w:tc>
        <w:tc>
          <w:tcPr>
            <w:tcW w:w="100" w:type="dxa"/>
            <w:vAlign w:val="bottom"/>
            <w:shd w:val="clear" w:color="auto" w:fill="CFF0FC"/>
          </w:tcPr>
          <w:p>
            <w:pPr>
              <w:spacing w:after="0"/>
              <w:rPr>
                <w:sz w:val="15"/>
                <w:szCs w:val="15"/>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488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UNVESTED, March 31, 2026</w:t>
            </w:r>
          </w:p>
        </w:tc>
        <w:tc>
          <w:tcPr>
            <w:tcW w:w="11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828,330</w:t>
            </w:r>
          </w:p>
        </w:tc>
        <w:tc>
          <w:tcPr>
            <w:tcW w:w="240" w:type="dxa"/>
            <w:vAlign w:val="bottom"/>
          </w:tcPr>
          <w:p>
            <w:pPr>
              <w:spacing w:after="0"/>
              <w:rPr>
                <w:sz w:val="12"/>
                <w:szCs w:val="12"/>
                <w:color w:val="auto"/>
              </w:rPr>
            </w:pPr>
          </w:p>
        </w:tc>
        <w:tc>
          <w:tcPr>
            <w:tcW w:w="1500" w:type="dxa"/>
            <w:vAlign w:val="bottom"/>
          </w:tcPr>
          <w:p>
            <w:pPr>
              <w:jc w:val="right"/>
              <w:ind w:right="13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w w:val="98"/>
              </w:rPr>
              <w:t>3.02</w:t>
            </w:r>
          </w:p>
        </w:tc>
        <w:tc>
          <w:tcPr>
            <w:tcW w:w="22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7.88</w:t>
            </w:r>
          </w:p>
        </w:tc>
        <w:tc>
          <w:tcPr>
            <w:tcW w:w="32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1,085</w:t>
            </w:r>
          </w:p>
        </w:tc>
        <w:tc>
          <w:tcPr>
            <w:tcW w:w="100" w:type="dxa"/>
            <w:vAlign w:val="bottom"/>
          </w:tcPr>
          <w:p>
            <w:pPr>
              <w:spacing w:after="0"/>
              <w:rPr>
                <w:sz w:val="12"/>
                <w:szCs w:val="12"/>
                <w:color w:val="auto"/>
              </w:rPr>
            </w:pPr>
          </w:p>
        </w:tc>
      </w:tr>
      <w:tr>
        <w:trPr>
          <w:trHeight w:val="20"/>
        </w:trPr>
        <w:tc>
          <w:tcPr>
            <w:tcW w:w="4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48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EXERCISABLE, March 31, 2026</w:t>
            </w:r>
          </w:p>
        </w:tc>
        <w:tc>
          <w:tcPr>
            <w:tcW w:w="1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4,085,296</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13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w w:val="98"/>
              </w:rPr>
              <w:t>3.61</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4.01</w:t>
            </w:r>
          </w:p>
        </w:tc>
        <w:tc>
          <w:tcPr>
            <w:tcW w:w="320" w:type="dxa"/>
            <w:vAlign w:val="bottom"/>
            <w:gridSpan w:val="2"/>
            <w:shd w:val="clear" w:color="auto" w:fill="CFF0FC"/>
          </w:tcPr>
          <w:p>
            <w:pPr>
              <w:jc w:val="right"/>
              <w:ind w:right="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3,623</w:t>
            </w:r>
          </w:p>
        </w:tc>
        <w:tc>
          <w:tcPr>
            <w:tcW w:w="100" w:type="dxa"/>
            <w:vAlign w:val="bottom"/>
            <w:shd w:val="clear" w:color="auto" w:fill="CFF0FC"/>
          </w:tcPr>
          <w:p>
            <w:pPr>
              <w:spacing w:after="0"/>
              <w:rPr>
                <w:sz w:val="14"/>
                <w:szCs w:val="14"/>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-281940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-265430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-281940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-265430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-281940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-265430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$0.4 million and $0.4 million, respectively, of stock-based compensation expense related to stock options within selling, general, and administrative expenses on the unaudited condensed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comprehensive income (loss). As of March 31, 2026, total unrecognized compensation expense related to the stock options totaled $1.3 million which will be recognized over the next 0.8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are granted to employees as well as members of the Board of Directors.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activity for the three months ended March 31, 2026:</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5580" w:type="dxa"/>
            <w:vAlign w:val="bottom"/>
          </w:tcPr>
          <w:p>
            <w:pPr>
              <w:spacing w:after="0"/>
              <w:rPr>
                <w:sz w:val="20"/>
                <w:szCs w:val="20"/>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09"/>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(219,831)</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March 31, 2026</w:t>
            </w:r>
          </w:p>
        </w:tc>
        <w:tc>
          <w:tcPr>
            <w:tcW w:w="1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1,113,615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-25400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$0.3 million and $0.2 million, respectively, of stock-based compensation related to RSUs within selling, general, and administrative expenses on the unaudited condensed consolidated statements of comprehensive income (loss). As of March 31, 2026, total unrecognized compensation expense related to the restricted stock units totaled $3.2 million which will be recognized over the next 2.9 years.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performance-based restricted stock units (“PSUs”) under the Drilling Tools International Corporation 2023 Omnibus Incentive Plan. The Company granted 665,836 to certain employees. Each PSU represents the right to receive one share of the Company’s common stock upon vesting, subject to the achievement of specified performance conditions and continued service. The PSUs are subject to a three-year performance period and vest, if at all, based on the Company's achievement of cumulative performance goals. The PSUs are eligible to vest based on the achievement of a performance metric, with payouts at the end of the vesting period ranging from 50% to 200% of target. The performance target is established annually within the three-year cumulative performance period, and final payout is determined following certification by the Compensation Committee after the end of the performance period. During the three months ended March 31, 2026, the Company recognized $0.1 million of stock-based compensation related to PSUs within selling, general, and administrative expenses on the unaudited condensed consolidated statements of comprehensive income (loss). As of March 31, 2026, total unrecognized compensation expense related to the stock options totaled $1.8 million which will be recognized over the next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11 – OTHER OPERATING AND NON-OPERATING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three months ended March 31, 2026 and 2025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1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expenses, net</w:t>
            </w:r>
          </w:p>
        </w:tc>
        <w:tc>
          <w:tcPr>
            <w:tcW w:w="11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775</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management fees paid to Hicks Holdings Operating LLC ("HHLLC"), a shareholder of the Company, were approximately $0.2 million and $0.2 million, respectively. Management fees paid to a shareholder are included in selling, general and administrative expense in the accompanying unaudited condensed consolidated statements of comprehensive income (loss). The last payment under this arrangement is set to be made in December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 fees for the three months ended March 31, 2026 and 2025 were approximately $0.2 million and $0.1 million, respectively. Director fees are included in selling, general and administrative expense in the accompanying unaudited condensed consolidated statements of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The face value of the note is $6.5 million. Pursuant to the Sixth Amendment and Restated Promissory Note, Tronco will make payments to the Company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specified in the agreement. The first payment due on July 31, 2025 was deferred as the 20-day volume-weighted average price of DTI was below $3.20 per share. Payment deferrals can continue for any period in which the 20-day-volume-weighted average price leading up to the anniversary date falls below $3.20 per share, up to the fifth anniversary. If at the fifth anniversary the 20-day-volume-weighted average price is below $3.20, the entire principal balance would be due upon the sixth anniversary. Any payments due and not received by the Company before the fifth day following the anniversary date will bear interest from the date of nonpayment until paid equal to 3%. In accordance with ASC 805, the receivable's fair value was measured at the present value of future cash flows upon the Closing Date. Based on the present value calculation, the note was discounted by $1 million. For the three months ended March 31, 2026 and 2025, interest income recognized on the discounted note totaled $0.1 million and $0.1 million, respectively. The carrying value of the note as of March 31, 2026 was $5.5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March 31, 2026.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components of the Company’s lease expense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60" w:type="dxa"/>
            <w:vAlign w:val="bottom"/>
            <w:shd w:val="clear" w:color="auto" w:fill="CFF0FC"/>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560" w:type="dxa"/>
            <w:vAlign w:val="bottom"/>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c>
          <w:tcPr>
            <w:tcW w:w="14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jc w:val="right"/>
              <w:ind w:right="167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leases was as follows (in thousands):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6960" w:type="dxa"/>
            <w:vAlign w:val="bottom"/>
            <w:gridSpan w:val="2"/>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5"/>
              </w:rPr>
              <w:t>7.74</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5"/>
              </w:rPr>
              <w:t>7.15</w:t>
            </w:r>
          </w:p>
        </w:tc>
        <w:tc>
          <w:tcPr>
            <w:tcW w:w="18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8.22%</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7.73%</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March 31, 2026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12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34,220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(9,254)</w:t>
            </w:r>
          </w:p>
        </w:tc>
      </w:tr>
      <w:tr>
        <w:trPr>
          <w:trHeight w:val="249"/>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12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months ended March 31, 2026 and 2025, tool rental revenue was approximately $28.9 million and $34.5 million, respectively. Our lease contract periods are short-term in nature and are typically daily, monthly, per well, or footage based. Due to the short term nature of the contracts, no maturity table is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three months ended March 31, 2026 and 2025 was approximately $0.3 million and $0.3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20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indemnification claims and the unique facts and circumstances that are likely to be involved in each particular claim.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depreciation and amortization amount, as defined in the management agreement (refer to Note 12 –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months ended March 31, 2026 and 2025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8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Drilling Tools International stockholders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in computing</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35,116,094</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35,592,737</w:t>
            </w:r>
          </w:p>
        </w:tc>
        <w:tc>
          <w:tcPr>
            <w:tcW w:w="100" w:type="dxa"/>
            <w:vAlign w:val="bottom"/>
          </w:tcPr>
          <w:p>
            <w:pPr>
              <w:spacing w:after="0"/>
              <w:rPr>
                <w:sz w:val="20"/>
                <w:szCs w:val="20"/>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2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2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35,116,094</w:t>
            </w:r>
          </w:p>
        </w:tc>
        <w:tc>
          <w:tcPr>
            <w:tcW w:w="4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35,592,737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20"/>
        </w:trPr>
        <w:tc>
          <w:tcPr>
            <w:tcW w:w="7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-350520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-333375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potentially dilutive securities consisted of options to purchase common stock and restricted stock units. Based on the amounts outstanding as of the three months ended March 31, 2026 and 2025, the Company excluded the following potential common shares from the computation of diluted net income per share because including them would have had an anti-dilutive effect:</w:t>
      </w:r>
    </w:p>
    <w:p>
      <w:pPr>
        <w:spacing w:after="0" w:line="19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00" w:type="dxa"/>
            <w:vAlign w:val="bottom"/>
            <w:shd w:val="clear" w:color="auto" w:fill="CFF0FC"/>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4,379,571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4,396,855</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stock units outstanding</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1,113,616</w:t>
            </w:r>
          </w:p>
        </w:tc>
        <w:tc>
          <w:tcPr>
            <w:tcW w:w="3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6,027,250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4,930,918</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3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two operating segments derive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stock-option expense and monitoring fees. Additionally, the Company’s CODM reviews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three months ended March 31, 2026 and 2025 are summarized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5220" w:type="dxa"/>
            <w:vAlign w:val="bottom"/>
            <w:tcBorders>
              <w:bottom w:val="single" w:sz="8" w:color="auto"/>
            </w:tcBorders>
            <w:gridSpan w:val="5"/>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0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25,704</w:t>
            </w:r>
          </w:p>
        </w:tc>
        <w:tc>
          <w:tcPr>
            <w:tcW w:w="2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4,856</w:t>
            </w: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30,560</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7,692</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9,550</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33,396</w:t>
            </w:r>
          </w:p>
        </w:tc>
        <w:tc>
          <w:tcPr>
            <w:tcW w:w="2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6,714</w:t>
            </w: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40,110</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(2,152)</w:t>
            </w:r>
          </w:p>
        </w:tc>
      </w:tr>
      <w:tr>
        <w:trPr>
          <w:trHeight w:val="115"/>
        </w:trPr>
        <w:tc>
          <w:tcPr>
            <w:tcW w:w="4320" w:type="dxa"/>
            <w:vAlign w:val="bottom"/>
            <w:tcBorders>
              <w:top w:val="single" w:sz="8" w:color="CFF0FC"/>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6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60" w:type="dxa"/>
            <w:vAlign w:val="bottom"/>
            <w:tcBorders>
              <w:top w:val="single" w:sz="8" w:color="CFF0FC"/>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37,959</w:t>
            </w:r>
          </w:p>
        </w:tc>
        <w:tc>
          <w:tcPr>
            <w:tcW w:w="100" w:type="dxa"/>
            <w:vAlign w:val="bottom"/>
            <w:tcBorders>
              <w:top w:val="single" w:sz="8" w:color="CFF0FC"/>
            </w:tcBorders>
          </w:tcPr>
          <w:p>
            <w:pPr>
              <w:spacing w:after="0"/>
              <w:rPr>
                <w:sz w:val="10"/>
                <w:szCs w:val="10"/>
                <w:color w:val="auto"/>
              </w:rPr>
            </w:pPr>
          </w:p>
        </w:tc>
      </w:tr>
      <w:tr>
        <w:trPr>
          <w:trHeight w:val="153"/>
        </w:trPr>
        <w:tc>
          <w:tcPr>
            <w:tcW w:w="43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100" w:type="dxa"/>
            <w:vAlign w:val="bottom"/>
          </w:tcPr>
          <w:p>
            <w:pPr>
              <w:spacing w:after="0"/>
              <w:rPr>
                <w:sz w:val="14"/>
                <w:szCs w:val="14"/>
                <w:color w:val="auto"/>
              </w:rPr>
            </w:pPr>
          </w:p>
        </w:tc>
      </w:tr>
      <w:tr>
        <w:trPr>
          <w:trHeight w:val="148"/>
        </w:trPr>
        <w:tc>
          <w:tcPr>
            <w:tcW w:w="4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w:t>
            </w:r>
          </w:p>
        </w:tc>
        <w:tc>
          <w:tcPr>
            <w:tcW w:w="320" w:type="dxa"/>
            <w:vAlign w:val="bottom"/>
            <w:tcBorders>
              <w:bottom w:val="single" w:sz="8" w:color="CFF0FC"/>
            </w:tcBorders>
            <w:shd w:val="clear" w:color="auto" w:fill="CFF0FC"/>
          </w:tcPr>
          <w:p>
            <w:pPr>
              <w:spacing w:after="0"/>
              <w:rPr>
                <w:sz w:val="12"/>
                <w:szCs w:val="12"/>
                <w:color w:val="auto"/>
              </w:rPr>
            </w:pP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3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3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9,963</w:t>
            </w:r>
          </w:p>
        </w:tc>
        <w:tc>
          <w:tcPr>
            <w:tcW w:w="2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3,301</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13,264</w:t>
            </w:r>
          </w:p>
        </w:tc>
        <w:tc>
          <w:tcPr>
            <w:tcW w:w="100" w:type="dxa"/>
            <w:vAlign w:val="bottom"/>
          </w:tcPr>
          <w:p>
            <w:pPr>
              <w:spacing w:after="0"/>
              <w:rPr>
                <w:sz w:val="12"/>
                <w:szCs w:val="12"/>
                <w:color w:val="auto"/>
              </w:rPr>
            </w:pPr>
          </w:p>
        </w:tc>
      </w:tr>
      <w:tr>
        <w:trPr>
          <w:trHeight w:val="148"/>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(2,152)</w:t>
            </w:r>
          </w:p>
        </w:tc>
      </w:tr>
      <w:tr>
        <w:trPr>
          <w:trHeight w:val="142"/>
        </w:trPr>
        <w:tc>
          <w:tcPr>
            <w:tcW w:w="43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11,112</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13,362</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16,887</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10,071</w:t>
            </w:r>
          </w:p>
        </w:tc>
        <w:tc>
          <w:tcPr>
            <w:tcW w:w="2680" w:type="dxa"/>
            <w:vAlign w:val="bottom"/>
            <w:gridSpan w:val="3"/>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(112)</w:t>
            </w: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9,960</w:t>
            </w:r>
          </w:p>
        </w:tc>
        <w:tc>
          <w:tcPr>
            <w:tcW w:w="100" w:type="dxa"/>
            <w:vAlign w:val="bottom"/>
            <w:shd w:val="clear" w:color="auto" w:fill="CFF0FC"/>
          </w:tcPr>
          <w:p>
            <w:pPr>
              <w:spacing w:after="0"/>
              <w:rPr>
                <w:sz w:val="12"/>
                <w:szCs w:val="12"/>
                <w:color w:val="auto"/>
              </w:rPr>
            </w:pPr>
          </w:p>
        </w:tc>
      </w:tr>
      <w:tr>
        <w:trPr>
          <w:trHeight w:val="115"/>
        </w:trPr>
        <w:tc>
          <w:tcPr>
            <w:tcW w:w="43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6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43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3"/>
                <w:szCs w:val="13"/>
                <w:color w:val="auto"/>
              </w:rPr>
            </w:pPr>
          </w:p>
        </w:tc>
      </w:tr>
      <w:tr>
        <w:trPr>
          <w:trHeight w:val="171"/>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100" w:type="dxa"/>
            <w:vAlign w:val="bottom"/>
          </w:tcPr>
          <w:p>
            <w:pPr>
              <w:spacing w:after="0"/>
              <w:rPr>
                <w:sz w:val="14"/>
                <w:szCs w:val="14"/>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2"/>
                <w:szCs w:val="12"/>
                <w:color w:val="auto"/>
              </w:rPr>
            </w:pPr>
          </w:p>
        </w:tc>
      </w:tr>
      <w:tr>
        <w:trPr>
          <w:trHeight w:val="16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2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(2,095)</w:t>
            </w: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61"/>
        </w:trPr>
        <w:tc>
          <w:tcPr>
            <w:tcW w:w="4320" w:type="dxa"/>
            <w:vAlign w:val="bottom"/>
          </w:tcPr>
          <w:p>
            <w:pPr>
              <w:spacing w:after="0"/>
              <w:rPr>
                <w:sz w:val="24"/>
                <w:szCs w:val="24"/>
                <w:color w:val="auto"/>
              </w:rPr>
            </w:pPr>
          </w:p>
        </w:tc>
        <w:tc>
          <w:tcPr>
            <w:tcW w:w="5220" w:type="dxa"/>
            <w:vAlign w:val="bottom"/>
            <w:tcBorders>
              <w:bottom w:val="single" w:sz="8" w:color="auto"/>
            </w:tcBorders>
            <w:gridSpan w:val="5"/>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20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32,662</w:t>
            </w:r>
          </w:p>
        </w:tc>
        <w:tc>
          <w:tcPr>
            <w:tcW w:w="2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4,525</w:t>
            </w: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37,186</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8,534</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9,061</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41,196</w:t>
            </w:r>
          </w:p>
        </w:tc>
        <w:tc>
          <w:tcPr>
            <w:tcW w:w="2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5,052</w:t>
            </w: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46,248</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(3,368)</w:t>
            </w:r>
          </w:p>
        </w:tc>
      </w:tr>
      <w:tr>
        <w:trPr>
          <w:trHeight w:val="115"/>
        </w:trPr>
        <w:tc>
          <w:tcPr>
            <w:tcW w:w="4320" w:type="dxa"/>
            <w:vAlign w:val="bottom"/>
            <w:tcBorders>
              <w:top w:val="single" w:sz="8" w:color="CFF0FC"/>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6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60" w:type="dxa"/>
            <w:vAlign w:val="bottom"/>
            <w:tcBorders>
              <w:top w:val="single" w:sz="8" w:color="CFF0FC"/>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42,880</w:t>
            </w:r>
          </w:p>
        </w:tc>
        <w:tc>
          <w:tcPr>
            <w:tcW w:w="100" w:type="dxa"/>
            <w:vAlign w:val="bottom"/>
            <w:tcBorders>
              <w:top w:val="single" w:sz="8" w:color="CFF0FC"/>
            </w:tcBorders>
          </w:tcPr>
          <w:p>
            <w:pPr>
              <w:spacing w:after="0"/>
              <w:rPr>
                <w:sz w:val="10"/>
                <w:szCs w:val="10"/>
                <w:color w:val="auto"/>
              </w:rPr>
            </w:pPr>
          </w:p>
        </w:tc>
      </w:tr>
      <w:tr>
        <w:trPr>
          <w:trHeight w:val="153"/>
        </w:trPr>
        <w:tc>
          <w:tcPr>
            <w:tcW w:w="43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00" w:type="dxa"/>
            <w:vAlign w:val="bottom"/>
          </w:tcPr>
          <w:p>
            <w:pPr>
              <w:spacing w:after="0"/>
              <w:rPr>
                <w:sz w:val="14"/>
                <w:szCs w:val="14"/>
                <w:color w:val="auto"/>
              </w:rPr>
            </w:pPr>
          </w:p>
        </w:tc>
      </w:tr>
      <w:tr>
        <w:trPr>
          <w:trHeight w:val="149"/>
        </w:trPr>
        <w:tc>
          <w:tcPr>
            <w:tcW w:w="4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320" w:type="dxa"/>
            <w:vAlign w:val="bottom"/>
            <w:tcBorders>
              <w:bottom w:val="single" w:sz="8" w:color="CFF0FC"/>
            </w:tcBorders>
            <w:shd w:val="clear" w:color="auto" w:fill="CFF0FC"/>
          </w:tcPr>
          <w:p>
            <w:pPr>
              <w:spacing w:after="0"/>
              <w:rPr>
                <w:sz w:val="12"/>
                <w:szCs w:val="12"/>
                <w:color w:val="auto"/>
              </w:rPr>
            </w:pPr>
          </w:p>
        </w:tc>
        <w:tc>
          <w:tcPr>
            <w:tcW w:w="2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3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3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12,140</w:t>
            </w:r>
          </w:p>
        </w:tc>
        <w:tc>
          <w:tcPr>
            <w:tcW w:w="2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2,473</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14,614</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(3,368)</w:t>
            </w:r>
          </w:p>
        </w:tc>
      </w:tr>
      <w:tr>
        <w:trPr>
          <w:trHeight w:val="142"/>
        </w:trPr>
        <w:tc>
          <w:tcPr>
            <w:tcW w:w="43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11,246</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15,479</w:t>
            </w:r>
          </w:p>
        </w:tc>
        <w:tc>
          <w:tcPr>
            <w:tcW w:w="320" w:type="dxa"/>
            <w:vAlign w:val="bottom"/>
          </w:tcPr>
          <w:p>
            <w:pPr>
              <w:spacing w:after="0"/>
              <w:rPr>
                <w:sz w:val="12"/>
                <w:szCs w:val="12"/>
                <w:color w:val="auto"/>
              </w:rPr>
            </w:pPr>
          </w:p>
        </w:tc>
        <w:tc>
          <w:tcPr>
            <w:tcW w:w="2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18,246</w:t>
            </w:r>
          </w:p>
        </w:tc>
        <w:tc>
          <w:tcPr>
            <w:tcW w:w="100" w:type="dxa"/>
            <w:vAlign w:val="bottom"/>
          </w:tcPr>
          <w:p>
            <w:pPr>
              <w:spacing w:after="0"/>
              <w:rPr>
                <w:sz w:val="12"/>
                <w:szCs w:val="12"/>
                <w:color w:val="auto"/>
              </w:rPr>
            </w:pPr>
          </w:p>
        </w:tc>
      </w:tr>
      <w:tr>
        <w:trPr>
          <w:trHeight w:val="142"/>
        </w:trPr>
        <w:tc>
          <w:tcPr>
            <w:tcW w:w="43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13,576</w:t>
            </w:r>
          </w:p>
        </w:tc>
        <w:tc>
          <w:tcPr>
            <w:tcW w:w="2680" w:type="dxa"/>
            <w:vAlign w:val="bottom"/>
            <w:gridSpan w:val="3"/>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(188)</w:t>
            </w: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13,388</w:t>
            </w:r>
          </w:p>
        </w:tc>
        <w:tc>
          <w:tcPr>
            <w:tcW w:w="100" w:type="dxa"/>
            <w:vAlign w:val="bottom"/>
            <w:shd w:val="clear" w:color="auto" w:fill="CFF0FC"/>
          </w:tcPr>
          <w:p>
            <w:pPr>
              <w:spacing w:after="0"/>
              <w:rPr>
                <w:sz w:val="12"/>
                <w:szCs w:val="12"/>
                <w:color w:val="auto"/>
              </w:rPr>
            </w:pPr>
          </w:p>
        </w:tc>
      </w:tr>
      <w:tr>
        <w:trPr>
          <w:trHeight w:val="115"/>
        </w:trPr>
        <w:tc>
          <w:tcPr>
            <w:tcW w:w="43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6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43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2,634</w:t>
            </w:r>
          </w:p>
        </w:tc>
        <w:tc>
          <w:tcPr>
            <w:tcW w:w="100" w:type="dxa"/>
            <w:vAlign w:val="bottom"/>
          </w:tcPr>
          <w:p>
            <w:pPr>
              <w:spacing w:after="0"/>
              <w:rPr>
                <w:sz w:val="13"/>
                <w:szCs w:val="13"/>
                <w:color w:val="auto"/>
              </w:rPr>
            </w:pPr>
          </w:p>
        </w:tc>
      </w:tr>
      <w:tr>
        <w:trPr>
          <w:trHeight w:val="171"/>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100" w:type="dxa"/>
            <w:vAlign w:val="bottom"/>
          </w:tcPr>
          <w:p>
            <w:pPr>
              <w:spacing w:after="0"/>
              <w:rPr>
                <w:sz w:val="14"/>
                <w:szCs w:val="14"/>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FF0FC"/>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2"/>
                <w:szCs w:val="12"/>
                <w:color w:val="auto"/>
              </w:rPr>
            </w:pPr>
          </w:p>
        </w:tc>
      </w:tr>
      <w:tr>
        <w:trPr>
          <w:trHeight w:val="148"/>
        </w:trPr>
        <w:tc>
          <w:tcPr>
            <w:tcW w:w="4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20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income before taxes</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(1,828)</w:t>
            </w:r>
          </w:p>
        </w:tc>
      </w:tr>
      <w:tr>
        <w:trPr>
          <w:trHeight w:val="20"/>
        </w:trPr>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93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93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-4217035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-4217035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-3625215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-3625215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-1482090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-1482090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-890905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-890905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1500" w:right="1640" w:firstLine="5"/>
        <w:spacing w:after="0" w:line="233" w:lineRule="auto"/>
        <w:tabs>
          <w:tab w:leader="none" w:pos="17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as of March 31, 2026 and 2025 are summarized below:</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Pr>
          <w:p>
            <w:pPr>
              <w:spacing w:after="0"/>
              <w:rPr>
                <w:sz w:val="18"/>
                <w:szCs w:val="18"/>
                <w:color w:val="auto"/>
              </w:rPr>
            </w:pPr>
          </w:p>
        </w:tc>
      </w:tr>
      <w:tr>
        <w:trPr>
          <w:trHeight w:val="209"/>
        </w:trPr>
        <w:tc>
          <w:tcPr>
            <w:tcW w:w="8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Segment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157,743</w:t>
            </w: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159,598</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58,133</w:t>
            </w:r>
          </w:p>
        </w:tc>
        <w:tc>
          <w:tcPr>
            <w:tcW w:w="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224,787</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224,700</w:t>
            </w:r>
          </w:p>
        </w:tc>
        <w:tc>
          <w:tcPr>
            <w:tcW w:w="5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233,169</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-1002665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-1002665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-436245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1500" w:right="1540" w:firstLine="5"/>
        <w:spacing w:after="0" w:line="229" w:lineRule="auto"/>
        <w:tabs>
          <w:tab w:leader="none" w:pos="17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goodwill allocated to the four reporting units is included within their respective segment asset totals. The goodwill amount included in segment assets is net of impairment losses of $0.9 million and $1.0 million at the Western Hemisphere and Eastern Hemisphere segments, respectively. Refer to </w:t>
      </w:r>
      <w:r>
        <w:rPr>
          <w:rFonts w:ascii="Times New Roman" w:cs="Times New Roman" w:eastAsia="Times New Roman" w:hAnsi="Times New Roman"/>
          <w:sz w:val="14"/>
          <w:szCs w:val="14"/>
          <w:i w:val="1"/>
          <w:iCs w:val="1"/>
          <w:color w:val="auto"/>
        </w:rPr>
        <w:t>Note 7 - Goodwill</w:t>
      </w:r>
      <w:r>
        <w:rPr>
          <w:rFonts w:ascii="Times New Roman" w:cs="Times New Roman" w:eastAsia="Times New Roman" w:hAnsi="Times New Roman"/>
          <w:sz w:val="14"/>
          <w:szCs w:val="14"/>
          <w:color w:val="auto"/>
        </w:rPr>
        <w:t xml:space="preserve"> for further details.</w:t>
      </w:r>
    </w:p>
    <w:p>
      <w:pPr>
        <w:ind w:left="1700" w:hanging="195"/>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consists of cash, related party notes receivables, and deferred financing costs.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8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Measurement period adjustment related to EDP Acquisition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Titan liabilities assumed in Titan Acquisition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consideration in Titan Acquisition</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obtained in exchange for shares withheld on vesting</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inventory included in accounts payable and accrued expenses and other current liabilities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FF0FC"/>
          </w:tcPr>
          <w:p>
            <w:pPr>
              <w:spacing w:after="0"/>
              <w:rPr>
                <w:sz w:val="18"/>
                <w:szCs w:val="18"/>
                <w:color w:val="auto"/>
              </w:rPr>
            </w:pPr>
          </w:p>
        </w:tc>
      </w:tr>
      <w:tr>
        <w:trPr>
          <w:trHeight w:val="198"/>
        </w:trPr>
        <w:tc>
          <w:tcPr>
            <w:tcW w:w="8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 current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SHARE REPURCHASES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December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by quarter are summarized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40" w:type="dxa"/>
            <w:vAlign w:val="bottom"/>
          </w:tcPr>
          <w:p>
            <w:pPr>
              <w:spacing w:after="0"/>
              <w:rPr>
                <w:sz w:val="18"/>
                <w:szCs w:val="18"/>
                <w:color w:val="auto"/>
              </w:rPr>
            </w:pPr>
          </w:p>
        </w:tc>
        <w:tc>
          <w:tcPr>
            <w:tcW w:w="19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Aggregate purchase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 aggregate</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40" w:type="dxa"/>
            <w:vAlign w:val="bottom"/>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24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Common Stock</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authorized for</w:t>
            </w: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 of Common Stock</w:t>
            </w:r>
          </w:p>
        </w:tc>
        <w:tc>
          <w:tcPr>
            <w:tcW w:w="26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Purchases</w:t>
            </w:r>
          </w:p>
        </w:tc>
        <w:tc>
          <w:tcPr>
            <w:tcW w:w="24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repurchases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repurchase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Fiscal year 2025</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505,169</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First quarter 2026</w:t>
            </w:r>
          </w:p>
        </w:tc>
        <w:tc>
          <w:tcPr>
            <w:tcW w:w="14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206,800</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706,050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711,969</w:t>
            </w:r>
          </w:p>
        </w:tc>
        <w:tc>
          <w:tcPr>
            <w:tcW w:w="110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1,971,079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8,028,921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March 31, 2026, and for the three months ended March 31, 2026 and 2025, included elsewhere herein. For additional information pertaining to our business, including risk factors which should be considered before investing in our common stock, refer to our Annual Report on Form 10-K for the fiscal year ended December 31, 2025. Our historical results are not necessarily indicative of the results that may be expected for any period in the future. All dollar amounts are expressed in thousands of United States dollars (“$”), unless otherwise indicated. Capitalized terms used in this section, but not otherwise defined, have the meanings ascribed to them in the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ended March 31, 2026 and 2025, we derived 76% and 81% of total revenues from tool rentals and 24% and 19% from product sales,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reporting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Prices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average oil and natural gas prices in North America over the indicated periods as well as International and Domestic industry activity levels as reflected by the average number of active onshore drilling rigs during the same periods.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r>
      <w:tr>
        <w:trPr>
          <w:trHeight w:val="209"/>
        </w:trPr>
        <w:tc>
          <w:tcPr>
            <w:tcW w:w="30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WTI Oil Price ($/bbl.)</w:t>
            </w:r>
            <w:r>
              <w:rPr>
                <w:rFonts w:ascii="Times New Roman" w:cs="Times New Roman" w:eastAsia="Times New Roman" w:hAnsi="Times New Roman"/>
                <w:sz w:val="24"/>
                <w:szCs w:val="24"/>
                <w:color w:val="auto"/>
                <w:vertAlign w:val="superscript"/>
              </w:rPr>
              <w:t>(1)</w:t>
            </w:r>
          </w:p>
        </w:tc>
        <w:tc>
          <w:tcPr>
            <w:tcW w:w="190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200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2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Natural Gas Price ($/MMBtu)</w:t>
            </w:r>
            <w:r>
              <w:rPr>
                <w:rFonts w:ascii="Times New Roman" w:cs="Times New Roman" w:eastAsia="Times New Roman" w:hAnsi="Times New Roman"/>
                <w:sz w:val="24"/>
                <w:szCs w:val="24"/>
                <w:color w:val="auto"/>
                <w:vertAlign w:val="superscript"/>
              </w:rPr>
              <w:t>(2)</w:t>
            </w:r>
          </w:p>
        </w:tc>
        <w:tc>
          <w:tcPr>
            <w:tcW w:w="19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Western Hemisphere Drilling Rigs </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31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Eastern Hemisphere Drilling Rigs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bl>
    <w:p>
      <w:pPr>
        <w:spacing w:after="0" w:line="2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Energy Information Administration (“EIA”) Cushing, OK WTI (“West Texas Intermediate”) monthly average spot price per barrel of crude oil.</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EIA Henry Hub Natural Gas monthly average spot price per million British Thermal Unit (“MMBtu”).</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Baker Hughes, includes land and offshore activity and does not include miscellaneous rigs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oil and gas market continued to reflect a dynamic interplay of geopolitical tensions, shifting demand patterns, and broader macroeconomic factors. U.S. oil production remained near record levels, supported by sustained activity in the Permian Basin and offshore developments. However, elevated supply, combined with moderating global demand growth, contributed to a continued imbalance in global oil markets and exerted downward pressure on prices. Crude oil prices, including WTI, remained volatile during the quarter and generally trended below prior-year levels. Despite this near-term volatility, our customers continue to prioritize medium- and long-term commodity price expectations when making investment decisions, given the extended lead times associated with offshore projects.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U.S. natural gas prices continued to strengthen, building on the recovery observed in 2025 following the record lows of 2024. Market fundamentals remained supportive, with demand growth continuing to outpace increases in U.S. production, contributing to tighter inventory levels. As a result, natural gas prices remained elevated during the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significant commodity price volatility over the past several years, we have seen decreases in both the Western and Eastern Hemisphere. However, notwithstanding the impact of longer laterals, improved rig efficiencies have partially offset the impact of this reduction. As a result, while overall activity has moderated, productivity per rig has increased, helping to cushion the effect of reduced drilling activity on overall output.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drilling rigs and execute capital projects. While we are currently unable to estimate the ultimate impact of rising prices, we do expect that our costs will continue to rise in the near term and will impact our profitability.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5"/>
                <w:szCs w:val="15"/>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2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(4,922)</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6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income/(loss)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income/(loss)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(3,429)</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asset disposal</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(1,901)</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(1,828)</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-2125345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-2125345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-2125345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-2125345</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-454025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-454025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-454025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-454025</wp:posOffset>
            </wp:positionV>
            <wp:extent cx="1200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stock compensation expense, monitoring expenses, and unallocated corporate expenses.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Western Hemisphere revenue was $33.4 million for the three months ended March 31, 2026, a decrease of $7.8 million, or 19%, compared to the three months ended March 31, 2025. The decrease in revenues was driven by a decrease in tool rental revenue as a result of lower customer activity levels and pricing pressures during the three months ended March 31, 2026. Western Hemisphere segment income was $10.1 million for the three months ended March 31, 2026, a decrease of $3.5 million, or 26%, compared to three months ended March 31, 2025. The decrease was in line with the decrease in revenue and driven by lower customer activity levels and pricing pressures during the three months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Eastern Hemisphere revenue was $6.7 million for the three months ended March 31, 2026, an increase of $1.7 million, or 33%, compared to the three months ended March 31, 2025. The increase in revenues was driven by increases in our product sales in the Eastern Hemisphere as well as increased rental activity in geographies into which the Company has expanded. Eastern Hemisphere segment loss was $0.1 million for the three months ended March 31, 2026, an increase of $0.1 million, or 41%, compared to the three months ended March 31, 2025. This increase was in line with the increase seen in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$6.9 million for the three months ended March 31, 2026, an increase of $0.2 million, or 3%, compared to the three months ended March 31, 2025. The increase corresponds with the increasing property, plant, and equipment and intangible asset balances as a result of acquisitions and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was $1.0 million for the three months ended March 31, 2026, a decrease of $0.3 million, or 23%, compared to the three months ended March 31, 2025. The decrease was primarily a result of reduction in the Company's net debt balance year over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$0.8 million for the three months ended March 31, 2026, a decrease of $1.2 million, or 60%, compared to the three months ended March 31, 2025. The decrease was primarily a result of the restructuring costs incurred during the three months ended March 31, 2025 as a result of change in segments and reorganization.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operating and non-operating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spacing w:after="0" w:line="176" w:lineRule="exact"/>
        <w:rPr>
          <w:sz w:val="20"/>
          <w:szCs w:val="20"/>
          <w:color w:val="auto"/>
        </w:rPr>
      </w:pPr>
    </w:p>
    <w:p>
      <w:pPr>
        <w:ind w:left="3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for the (non-recurring transaction expenses recorded to other (income) expense are presented separately within Adjusted EBITDA):</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 expense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expense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we had $2.8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the next 12 months to meet working capital requirements and anticipated capital expenditures as well as any need beyond the next 12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aware of any known trends, demands, commitments, events, or uncertainties that have resulted in or are reasonably likely to result in a material change in our liquidity. Our primary sources of liquidity continue to be cash flows from operations, together with availability under our credit facilities. We believe these sources will be sufficient to meet our working capital requirements, capital expenditures, and other liquidity needs for at least the next twelve months. However, our liquidity may be impacted by a variety of factors, including changes in market conditions, commodity prices, customer demand, capital allocation priorities, and other macroeconomic factors, the extent and timing of which remain uncertain.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 </w:t>
      </w:r>
      <w:r>
        <w:rPr>
          <w:rFonts w:ascii="Times New Roman" w:cs="Times New Roman" w:eastAsia="Times New Roman" w:hAnsi="Times New Roman"/>
          <w:sz w:val="18"/>
          <w:szCs w:val="18"/>
          <w:i w:val="1"/>
          <w:iCs w:val="1"/>
          <w:color w:val="auto"/>
        </w:rPr>
        <w:t>Long Term Debt</w:t>
      </w:r>
      <w:r>
        <w:rPr>
          <w:rFonts w:ascii="Times New Roman" w:cs="Times New Roman" w:eastAsia="Times New Roman" w:hAnsi="Times New Roman"/>
          <w:sz w:val="18"/>
          <w:szCs w:val="18"/>
          <w:color w:val="auto"/>
        </w:rPr>
        <w:t>, of the notes to Interim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 agreements. See Note 15 -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(2,971)</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$3.2 million, the driver being a net loss of $2.0 million and a decrease in net working capital of $6.1 million offset by non-cash adjustments of $4.9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$2.4 million, the driver being a net loss of $1.7 million, including non-cash charges of $7.2 million, offset by a decrease in net working capital of $3.1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$3.0 million resulting from purchases of property, plant, and equipment of $7.7 million, purchases of intangible assets of $0.4 million, partially offset by proceeds from rental tool recovery sales of $5.1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$7.3 million, resulting from purchases of property, plant, and equipment of $5.0 million, purchases of intangible assets of $0.7 million, and the acquisition of Titan Tools for $5.6 million were partially offset by proceeds from rental tool recovery sales of $4.0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$5.3 million, resulting from net debt increases of $6.0 million, offset by purchases of treasury stock of $0.7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$1.4 million, resulting from net debt increases of $1.4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across the Eastern Hemisphere. Therefore, foreign exchange risk exposures arise from transactions denominated in currencies other than the United States dollar, which is our functional and reporting currency. To date, a majority of our sales have been denominated in the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 trade practices. Foreign governments have imposed, and may impose in the future, retaliatory tariffs on goods that their countries import from the U.S. Such changes can make it difficult or costly for us to do business in, or import our products from, those countries.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Exchange Act Rules 13a-15 and 15d-15,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ind w:right="120"/>
        <w:spacing w:after="0" w:line="258" w:lineRule="auto"/>
        <w:rPr>
          <w:sz w:val="20"/>
          <w:szCs w:val="20"/>
          <w:color w:val="auto"/>
        </w:rPr>
      </w:pPr>
      <w:r>
        <w:rPr>
          <w:rFonts w:ascii="Times New Roman" w:cs="Times New Roman" w:eastAsia="Times New Roman" w:hAnsi="Times New Roman"/>
          <w:sz w:val="18"/>
          <w:szCs w:val="18"/>
          <w:color w:val="auto"/>
        </w:rPr>
        <w:t>required to be disclosed by us in reports that we file or submit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Securities and Exchange Commission ("SEC"). Based upon that evaluation, our principal executive officer and principal financial officer concluded that our disclosure controls and procedures were effective as of March 31, 2026 at the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first quarter of 2026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 Note 15 to our consolidated financial statements entitled “Commitments and Contingencies,” which is incorporated in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 filed with the SEC on March 6, 2026,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We remain authorized to purchase $8.0 million in aggregate value of common shares under this repurchase program. The share repurchase program is authorized by the Board through December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during the three months ended March 31, 2026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3"/>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shd w:val="clear" w:color="auto" w:fill="CFF0FC"/>
          </w:tcPr>
          <w:p>
            <w:pPr>
              <w:spacing w:after="0"/>
              <w:rPr>
                <w:sz w:val="13"/>
                <w:szCs w:val="13"/>
                <w:color w:val="auto"/>
              </w:rPr>
            </w:pPr>
          </w:p>
        </w:tc>
        <w:tc>
          <w:tcPr>
            <w:tcW w:w="2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24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Aggregate purchase price of</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aggregate value</w:t>
            </w:r>
          </w:p>
        </w:tc>
        <w:tc>
          <w:tcPr>
            <w:tcW w:w="0" w:type="dxa"/>
            <w:vAlign w:val="bottom"/>
          </w:tcPr>
          <w:p>
            <w:pPr>
              <w:spacing w:after="0"/>
              <w:rPr>
                <w:sz w:val="1"/>
                <w:szCs w:val="1"/>
                <w:color w:val="auto"/>
              </w:rPr>
            </w:pPr>
          </w:p>
        </w:tc>
      </w:tr>
      <w:tr>
        <w:trPr>
          <w:trHeight w:val="109"/>
        </w:trPr>
        <w:tc>
          <w:tcPr>
            <w:tcW w:w="2560" w:type="dxa"/>
            <w:vAlign w:val="bottom"/>
            <w:gridSpan w:val="3"/>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 Purchases</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700" w:type="dxa"/>
            <w:vAlign w:val="bottom"/>
            <w:vMerge w:val="restart"/>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200" w:type="dxa"/>
            <w:vAlign w:val="bottom"/>
            <w:shd w:val="clear" w:color="auto" w:fill="CFF0FC"/>
          </w:tcPr>
          <w:p>
            <w:pPr>
              <w:spacing w:after="0"/>
              <w:rPr>
                <w:sz w:val="9"/>
                <w:szCs w:val="9"/>
                <w:color w:val="auto"/>
              </w:rPr>
            </w:pPr>
          </w:p>
        </w:tc>
        <w:tc>
          <w:tcPr>
            <w:tcW w:w="18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 repurchases</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8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authorized for repurchase</w:t>
            </w:r>
          </w:p>
        </w:tc>
        <w:tc>
          <w:tcPr>
            <w:tcW w:w="100" w:type="dxa"/>
            <w:vAlign w:val="bottom"/>
            <w:vMerge w:val="restart"/>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880" w:type="dxa"/>
            <w:vAlign w:val="bottom"/>
            <w:tcBorders>
              <w:bottom w:val="single" w:sz="8" w:color="auto"/>
            </w:tcBorders>
            <w:shd w:val="clear" w:color="auto" w:fill="CFF0FC"/>
          </w:tcPr>
          <w:p>
            <w:pPr>
              <w:spacing w:after="0"/>
              <w:rPr>
                <w:sz w:val="5"/>
                <w:szCs w:val="5"/>
                <w:color w:val="auto"/>
              </w:rPr>
            </w:pPr>
          </w:p>
        </w:tc>
        <w:tc>
          <w:tcPr>
            <w:tcW w:w="320" w:type="dxa"/>
            <w:vAlign w:val="bottom"/>
            <w:tcBorders>
              <w:bottom w:val="single" w:sz="8" w:color="auto"/>
            </w:tcBorders>
            <w:shd w:val="clear" w:color="auto" w:fill="CFF0FC"/>
          </w:tcPr>
          <w:p>
            <w:pPr>
              <w:spacing w:after="0"/>
              <w:rPr>
                <w:sz w:val="5"/>
                <w:szCs w:val="5"/>
                <w:color w:val="auto"/>
              </w:rPr>
            </w:pPr>
          </w:p>
        </w:tc>
        <w:tc>
          <w:tcPr>
            <w:tcW w:w="136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2000" w:type="dxa"/>
            <w:vAlign w:val="bottom"/>
            <w:tcBorders>
              <w:bottom w:val="single" w:sz="8" w:color="auto"/>
            </w:tcBorders>
            <w:vMerge w:val="continue"/>
            <w:shd w:val="clear" w:color="auto" w:fill="CFF0FC"/>
          </w:tcPr>
          <w:p>
            <w:pPr>
              <w:spacing w:after="0"/>
              <w:rPr>
                <w:sz w:val="5"/>
                <w:szCs w:val="5"/>
                <w:color w:val="auto"/>
              </w:rPr>
            </w:pPr>
          </w:p>
        </w:tc>
        <w:tc>
          <w:tcPr>
            <w:tcW w:w="240" w:type="dxa"/>
            <w:vAlign w:val="bottom"/>
            <w:tcBorders>
              <w:bottom w:val="single" w:sz="8" w:color="CFF0FC"/>
            </w:tcBorders>
            <w:shd w:val="clear" w:color="auto" w:fill="CFF0FC"/>
          </w:tcPr>
          <w:p>
            <w:pPr>
              <w:spacing w:after="0"/>
              <w:rPr>
                <w:sz w:val="5"/>
                <w:szCs w:val="5"/>
                <w:color w:val="auto"/>
              </w:rPr>
            </w:pPr>
          </w:p>
        </w:tc>
        <w:tc>
          <w:tcPr>
            <w:tcW w:w="240" w:type="dxa"/>
            <w:vAlign w:val="bottom"/>
            <w:tcBorders>
              <w:bottom w:val="single" w:sz="8" w:color="auto"/>
            </w:tcBorders>
            <w:shd w:val="clear" w:color="auto" w:fill="CFF0FC"/>
          </w:tcPr>
          <w:p>
            <w:pPr>
              <w:spacing w:after="0"/>
              <w:rPr>
                <w:sz w:val="5"/>
                <w:szCs w:val="5"/>
                <w:color w:val="auto"/>
              </w:rPr>
            </w:pPr>
          </w:p>
        </w:tc>
        <w:tc>
          <w:tcPr>
            <w:tcW w:w="1700" w:type="dxa"/>
            <w:vAlign w:val="bottom"/>
            <w:tcBorders>
              <w:bottom w:val="single" w:sz="8" w:color="auto"/>
            </w:tcBorders>
            <w:vMerge w:val="continue"/>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1880" w:type="dxa"/>
            <w:vAlign w:val="bottom"/>
            <w:tcBorders>
              <w:bottom w:val="single" w:sz="8" w:color="auto"/>
            </w:tcBorders>
            <w:gridSpan w:val="2"/>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1880" w:type="dxa"/>
            <w:vAlign w:val="bottom"/>
            <w:tcBorders>
              <w:bottom w:val="single" w:sz="8" w:color="auto"/>
            </w:tcBorders>
            <w:vMerge w:val="continue"/>
            <w:shd w:val="clear" w:color="auto" w:fill="CFF0FC"/>
          </w:tcPr>
          <w:p>
            <w:pPr>
              <w:spacing w:after="0"/>
              <w:rPr>
                <w:sz w:val="5"/>
                <w:szCs w:val="5"/>
                <w:color w:val="auto"/>
              </w:rPr>
            </w:pPr>
          </w:p>
        </w:tc>
        <w:tc>
          <w:tcPr>
            <w:tcW w:w="100" w:type="dxa"/>
            <w:vAlign w:val="bottom"/>
            <w:tcBorders>
              <w:bottom w:val="single" w:sz="8" w:color="CFF0FC"/>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January 1,</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2026</w:t>
            </w:r>
          </w:p>
        </w:tc>
        <w:tc>
          <w:tcPr>
            <w:tcW w:w="1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 January 31, 2026</w:t>
            </w:r>
          </w:p>
        </w:tc>
        <w:tc>
          <w:tcPr>
            <w:tcW w:w="2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97,500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304,395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8,430,577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February 1,</w:t>
            </w: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 February 28, 2026</w:t>
            </w:r>
          </w:p>
        </w:tc>
        <w:tc>
          <w:tcPr>
            <w:tcW w:w="2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8,264,907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1,</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36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 March 31, 2026</w:t>
            </w:r>
          </w:p>
        </w:tc>
        <w:tc>
          <w:tcPr>
            <w:tcW w:w="120" w:type="dxa"/>
            <w:vAlign w:val="bottom"/>
          </w:tcPr>
          <w:p>
            <w:pPr>
              <w:spacing w:after="0"/>
              <w:rPr>
                <w:sz w:val="12"/>
                <w:szCs w:val="12"/>
                <w:color w:val="auto"/>
              </w:rPr>
            </w:pPr>
          </w:p>
        </w:tc>
        <w:tc>
          <w:tcPr>
            <w:tcW w:w="2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235,986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8,028,921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center"/>
              <w:ind w:right="82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206,800</w:t>
            </w:r>
          </w:p>
        </w:tc>
        <w:tc>
          <w:tcPr>
            <w:tcW w:w="48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w:t>
            </w:r>
          </w:p>
        </w:tc>
        <w:tc>
          <w:tcPr>
            <w:tcW w:w="94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706,050</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8,028,921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-393700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-393700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-393700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-393700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Arrangements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our officers and directors entered into new 10b5-1 trading plans. Additionally, none of the officers and directors modified or terminated existing 10b5-1 trading plans.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101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20" w:firstLine="8"/>
        <w:spacing w:after="0" w:line="250" w:lineRule="auto"/>
        <w:tabs>
          <w:tab w:leader="none" w:pos="1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Drilling Tools International Corporation</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David R. Johnson</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R. Johnson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35"/>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52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 Wayne Prejean</w:t>
      </w:r>
    </w:p>
    <w:p>
      <w:pPr>
        <w:jc w:val="center"/>
        <w:ind w:left="61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David R. Johnson</w:t>
      </w: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jc w:val="center"/>
        <w:ind w:left="60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2026-05-08T12:07:58Z</dcterms:created>
  <dcterms:modified xsi:type="dcterms:W3CDTF">2026-05-08T12:07:58Z</dcterms:modified>
</cp:coreProperties>
</file>