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60" w:hanging="4079"/>
        <w:spacing w:after="0" w:line="333"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6"/>
          <w:szCs w:val="16"/>
          <w:color w:val="auto"/>
          <w:highlight w:val="black"/>
        </w:rPr>
      </w:pP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DRILLING TOOLS INTERNATIONAL CORPORATION</w:t>
      </w:r>
    </w:p>
    <w:p>
      <w:pPr>
        <w:sectPr>
          <w:pgSz w:w="11900" w:h="16838" w:orient="portrait"/>
          <w:cols w:equalWidth="0" w:num="1">
            <w:col w:w="11240"/>
          </w:cols>
          <w:pgMar w:left="320" w:top="1275"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3701 Briarpark Drive</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22"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7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77042</w:t>
      </w:r>
    </w:p>
    <w:p>
      <w:pPr>
        <w:spacing w:after="0" w:line="38" w:lineRule="exact"/>
        <w:rPr>
          <w:sz w:val="24"/>
          <w:szCs w:val="24"/>
          <w:color w:val="auto"/>
        </w:rPr>
      </w:pPr>
    </w:p>
    <w:p>
      <w:pPr>
        <w:sectPr>
          <w:pgSz w:w="11900" w:h="16838" w:orient="portrait"/>
          <w:cols w:equalWidth="0" w:num="2">
            <w:col w:w="7460" w:space="480"/>
            <w:col w:w="3300"/>
          </w:cols>
          <w:pgMar w:left="320" w:top="1275"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20" w:type="dxa"/>
            <w:vAlign w:val="bottom"/>
            <w:vMerge w:val="restart"/>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DTI</w:t>
            </w: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648"/>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32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70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0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33"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2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440"/>
        <w:spacing w:after="0" w:line="277"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June 30, 2023, was $128 million.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28, 2024 was 29,768,568.</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List hereunder the following documents if incorporated by reference and the Part of the Form 10-K (e.g., Part I, Part II, etc.) into which the document is incorporated: (1) Any annual report to security holders;</w:t>
      </w:r>
    </w:p>
    <w:p>
      <w:pPr>
        <w:spacing w:after="0" w:line="13" w:lineRule="exact"/>
        <w:rPr>
          <w:sz w:val="24"/>
          <w:szCs w:val="24"/>
          <w:color w:val="auto"/>
        </w:rPr>
      </w:pPr>
    </w:p>
    <w:p>
      <w:pPr>
        <w:ind w:right="340" w:firstLine="8"/>
        <w:spacing w:after="0" w:line="255" w:lineRule="auto"/>
        <w:tabs>
          <w:tab w:leader="none" w:pos="19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proxy or information statement; and (3) Any prospectus filed pursuant to Rule 424(b) or (c) under the Securities Act of 1933. The listed documents should be clearly described for identification purposes (e.g., annual report to security holders for fiscal year ended December 24, 1980)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2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7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7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7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2"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and incorporates by reference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“Risk Factors,” and “Management’s Discussion and Analysis of Financial Condition and Results of Operations.” These forward-looking statements generally are identified by the words “may,” “believe,” “anticipate,” “expect,” “plan,” “predict,” “estimate,” “will be,” or other similar words and phrases.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(Part I, Item 1A of this Form 10-K), “Management’s Discussion and Analysis of Financial Condition and Results of Operation” (Part II, Item 7), and “Quantitative and Qualitative Disclosures about Market Risk”) (Part II, Item 7A). We undertake no obligation to update or publicly revise any forward-looking statements, whether because of new information, future events, or otherwise, except to the extent required by applicable law.</w:t>
      </w:r>
    </w:p>
    <w:p>
      <w:pPr>
        <w:spacing w:after="0" w:line="25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contained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include, but are not limited to:</w:t>
      </w:r>
    </w:p>
    <w:p>
      <w:pPr>
        <w:spacing w:after="0" w:line="200" w:lineRule="exact"/>
        <w:rPr>
          <w:sz w:val="20"/>
          <w:szCs w:val="20"/>
          <w:color w:val="auto"/>
        </w:rPr>
      </w:pPr>
    </w:p>
    <w:p>
      <w:pPr>
        <w:spacing w:after="0" w:line="281" w:lineRule="exact"/>
        <w:rPr>
          <w:sz w:val="20"/>
          <w:szCs w:val="20"/>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the sole North American distributor of the Drill-N-Ream;</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OFS industry;</w:t>
      </w:r>
    </w:p>
    <w:p>
      <w:pPr>
        <w:spacing w:after="0" w:line="116" w:lineRule="exact"/>
        <w:rPr>
          <w:rFonts w:ascii="Times New Roman" w:cs="Times New Roman" w:eastAsia="Times New Roman" w:hAnsi="Times New Roman"/>
          <w:sz w:val="18"/>
          <w:szCs w:val="18"/>
          <w:color w:val="auto"/>
        </w:rPr>
      </w:pPr>
    </w:p>
    <w:p>
      <w:pPr>
        <w:ind w:left="660" w:right="100" w:hanging="143"/>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Credit Facility Agreement;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116" w:lineRule="exact"/>
        <w:rPr>
          <w:rFonts w:ascii="Times New Roman" w:cs="Times New Roman" w:eastAsia="Times New Roman" w:hAnsi="Times New Roman"/>
          <w:sz w:val="18"/>
          <w:szCs w:val="18"/>
          <w:color w:val="auto"/>
        </w:rPr>
      </w:pPr>
    </w:p>
    <w:p>
      <w:pPr>
        <w:ind w:left="660" w:right="20" w:hanging="143"/>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4" w:lineRule="exact"/>
        <w:rPr>
          <w:rFonts w:ascii="Times New Roman" w:cs="Times New Roman" w:eastAsia="Times New Roman" w:hAnsi="Times New Roman"/>
          <w:sz w:val="18"/>
          <w:szCs w:val="18"/>
          <w:color w:val="auto"/>
        </w:rPr>
      </w:pPr>
    </w:p>
    <w:p>
      <w:pPr>
        <w:ind w:left="660" w:right="40" w:hanging="143"/>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IT systems, in particular customer order management portal and support system ("COMPASS"), for the efficient operation of our business;</w:t>
      </w:r>
    </w:p>
    <w:p>
      <w:pPr>
        <w:spacing w:after="0" w:line="54" w:lineRule="exact"/>
        <w:rPr>
          <w:rFonts w:ascii="Times New Roman" w:cs="Times New Roman" w:eastAsia="Times New Roman" w:hAnsi="Times New Roman"/>
          <w:sz w:val="18"/>
          <w:szCs w:val="18"/>
          <w:color w:val="auto"/>
        </w:rPr>
      </w:pPr>
    </w:p>
    <w:p>
      <w:pPr>
        <w:ind w:left="660" w:right="180" w:hanging="143"/>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3" w:name="page4"/>
    <w:bookmarkEnd w:id="3"/>
    <w:p>
      <w:pPr>
        <w:ind w:left="143" w:right="500" w:hanging="143"/>
        <w:spacing w:after="0" w:line="281"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54"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6"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6"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116" w:lineRule="exact"/>
        <w:rPr>
          <w:rFonts w:ascii="Times New Roman" w:cs="Times New Roman" w:eastAsia="Times New Roman" w:hAnsi="Times New Roman"/>
          <w:sz w:val="18"/>
          <w:szCs w:val="18"/>
          <w:color w:val="auto"/>
        </w:rPr>
      </w:pPr>
    </w:p>
    <w:p>
      <w:pPr>
        <w:ind w:left="143" w:right="180" w:hanging="143"/>
        <w:spacing w:after="0" w:line="281"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price per share of Common Stock paid by certain Selling Stockholders is less than the price of such shares as of the date of this prospectus;</w:t>
      </w:r>
    </w:p>
    <w:p>
      <w:pPr>
        <w:spacing w:after="0" w:line="54" w:lineRule="exact"/>
        <w:rPr>
          <w:rFonts w:ascii="Times New Roman" w:cs="Times New Roman" w:eastAsia="Times New Roman" w:hAnsi="Times New Roman"/>
          <w:sz w:val="18"/>
          <w:szCs w:val="18"/>
          <w:color w:val="auto"/>
        </w:rPr>
      </w:pPr>
    </w:p>
    <w:p>
      <w:pPr>
        <w:ind w:left="143" w:right="740" w:hanging="143"/>
        <w:spacing w:after="0" w:line="281"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54" w:lineRule="exact"/>
        <w:rPr>
          <w:rFonts w:ascii="Times New Roman" w:cs="Times New Roman" w:eastAsia="Times New Roman" w:hAnsi="Times New Roman"/>
          <w:sz w:val="18"/>
          <w:szCs w:val="18"/>
          <w:color w:val="auto"/>
        </w:rPr>
      </w:pPr>
    </w:p>
    <w:p>
      <w:pPr>
        <w:ind w:left="143" w:hanging="143"/>
        <w:spacing w:after="0" w:line="281"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Common Stock or other equity securities, including sales of shares of Common Stock that can be offered and sold pursuant to this prospectus;</w:t>
      </w:r>
    </w:p>
    <w:p>
      <w:pPr>
        <w:spacing w:after="0" w:line="54"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Common Stock on Nasdaq;</w:t>
      </w:r>
    </w:p>
    <w:p>
      <w:pPr>
        <w:spacing w:after="0" w:line="116"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Common Stock;</w:t>
      </w:r>
    </w:p>
    <w:p>
      <w:pPr>
        <w:spacing w:after="0" w:line="116"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 “controlled company;” and</w:t>
      </w:r>
    </w:p>
    <w:p>
      <w:pPr>
        <w:spacing w:after="0" w:line="116"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entitled “Risk Factors.”</w:t>
      </w:r>
    </w:p>
    <w:p>
      <w:pPr>
        <w:spacing w:after="0" w:line="200" w:lineRule="exact"/>
        <w:rPr>
          <w:sz w:val="20"/>
          <w:szCs w:val="20"/>
          <w:color w:val="auto"/>
        </w:rPr>
      </w:pPr>
    </w:p>
    <w:p>
      <w:pPr>
        <w:spacing w:after="0" w:line="240" w:lineRule="exact"/>
        <w:rPr>
          <w:sz w:val="20"/>
          <w:szCs w:val="20"/>
          <w:color w:val="auto"/>
        </w:rPr>
      </w:pPr>
    </w:p>
    <w:p>
      <w:pPr>
        <w:jc w:val="center"/>
        <w:ind w:right="3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3"/>
          </w:cols>
          <w:pgMar w:left="837" w:top="109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“DTIC,” “we,” “us,” or “our” refer to the business of Drilling Tools International Corporation and its consolidated subsidiaries following the consummation of the Merger (defined below), and to Drilling Tools International Holdings, Inc. and its consolidated subsidiaries prior to the consummation of the Merger.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Drilling Tools International Corporation provides oilfield equipment and services to oil and natural gas sectors in North America, Europe, and the Middle East. We offer downhole tool rentals, machining, and inspection services to support the global drilling and wellbore construction industry. Our primary products are bottom hole assembly components such as stabilizers, subs, non-magnetic and steel drill collars, hole openers, roller reamers, as well as drill pipe and drill pipe accessories. In addition, we provide proprietary technology in our wellbore optimization business supplying the patented Drill-N-Ream (trademark) wellbore conditioning tool, and the patented RotoSteer (trademark), rotational steering tool for use in the extended reach horizontal drilling industry. We also offer a wide variety of ancillary equipment and handling tools to support our rental platform. Those tools include float valves, ring gauges, tool baskets, lift bail, lift subs, mud magnets, elevators, bracket and bail assemblies, slips, tongs, stabbing guides and safety clamps. We also offer a limited product line of blowout preventers and pressure control accessory equipment. We were founded in 1984 and we are headquartered in Houston, Texas. We operate from 16 locations in North America and maintain 4 international stocking points in Europe and the Middle East.</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Drilling and producing oil and gas is a complex endeavor that requires tools of various shapes and sizes. Many of our customers rent these tools, as opposed to owning them, because of the many factors that affect which tools are needed for a specific task. Such factors include different formations, drilling methodologies, drilling engineer preferences, drilling depth and hole size. We believe that we are successful because we meet our customers’ wide demands by operating from multiple locations with over 65,000 tools in our fleet.</w:t>
      </w:r>
    </w:p>
    <w:p>
      <w:pPr>
        <w:spacing w:after="0" w:line="18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are led by an accomplished management team that has significant experience in the oil and gas industry and has worked together for much of the last decade. Since 2012, we have grown the business and strengthened our standing in the industry. Specifically, we have:</w:t>
      </w:r>
    </w:p>
    <w:p>
      <w:pPr>
        <w:spacing w:after="0" w:line="55" w:lineRule="exact"/>
        <w:rPr>
          <w:sz w:val="20"/>
          <w:szCs w:val="20"/>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Grown our revenue by 334%, from $35 million in 2012 to $152 million in 2023;</w:t>
      </w:r>
    </w:p>
    <w:p>
      <w:pPr>
        <w:spacing w:after="0" w:line="116" w:lineRule="exact"/>
        <w:rPr>
          <w:rFonts w:ascii="Times New Roman" w:cs="Times New Roman" w:eastAsia="Times New Roman" w:hAnsi="Times New Roman"/>
          <w:sz w:val="18"/>
          <w:szCs w:val="18"/>
          <w:color w:val="auto"/>
        </w:rPr>
      </w:pPr>
    </w:p>
    <w:p>
      <w:pPr>
        <w:ind w:left="660" w:right="20" w:hanging="143"/>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increased our market share within North American land drilling, in which we are the market leader, based on the percentage of active projects to which we supply tools, and regularly have active tool rentals on more than 50% of working locations;</w:t>
      </w:r>
    </w:p>
    <w:p>
      <w:pPr>
        <w:spacing w:after="0" w:line="54" w:lineRule="exact"/>
        <w:rPr>
          <w:rFonts w:ascii="Times New Roman" w:cs="Times New Roman" w:eastAsia="Times New Roman" w:hAnsi="Times New Roman"/>
          <w:sz w:val="18"/>
          <w:szCs w:val="18"/>
          <w:color w:val="auto"/>
        </w:rPr>
      </w:pPr>
    </w:p>
    <w:p>
      <w:pPr>
        <w:ind w:left="660" w:right="60" w:hanging="143"/>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footprint from three facilities to 16 locations in North America, allowing us to serve all major oil and gas producing basins in North America land and offshore;</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four additional locations with international partners in Europe and the Middle East;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distribution rights for Drill-N-Ream, a patented specialty reaming tool that saves our customers time and money;</w:t>
      </w:r>
    </w:p>
    <w:p>
      <w:pPr>
        <w:spacing w:after="0" w:line="116" w:lineRule="exact"/>
        <w:rPr>
          <w:rFonts w:ascii="Times New Roman" w:cs="Times New Roman" w:eastAsia="Times New Roman" w:hAnsi="Times New Roman"/>
          <w:sz w:val="18"/>
          <w:szCs w:val="18"/>
          <w:color w:val="auto"/>
        </w:rPr>
      </w:pPr>
    </w:p>
    <w:p>
      <w:pPr>
        <w:ind w:left="660" w:right="360" w:hanging="143"/>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market leader in Gulf of Mexico ("GOM") deepwater drilling operation tool rentals, based on the percentage of active projects to which we supply tools, growing from serving only a single GOM project in 2012;</w:t>
      </w:r>
    </w:p>
    <w:p>
      <w:pPr>
        <w:spacing w:after="0" w:line="54" w:lineRule="exact"/>
        <w:rPr>
          <w:rFonts w:ascii="Times New Roman" w:cs="Times New Roman" w:eastAsia="Times New Roman" w:hAnsi="Times New Roman"/>
          <w:sz w:val="18"/>
          <w:szCs w:val="18"/>
          <w:color w:val="auto"/>
        </w:rPr>
      </w:pPr>
    </w:p>
    <w:p>
      <w:pPr>
        <w:ind w:left="660" w:right="340" w:hanging="143"/>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Upgraded our customer base from one comprised primarily of independent directional service providers to one comprised of major diversified oilfield service companies ("OSCs") and global E&amp;P operators;</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large sales and marketing organization focused on team selling;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distribution rights for emerging technologies that fulfill the growing demand for longer horizontal lateral drilling.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June 20, 2023 (the "Closing Date"), a merger transaction between Drilling Tools International Holdings, Inc. ("DTIH"), ROC Energy Acquisition Corp ("ROC"), and ROC Merger Sub, Inc., a directly, wholly owned subsidiary of ROC ("Merger Sub"), was completed (the "Merger”)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("Common Stock" or the "DTIC Common Stock") commenced trading on the Nasdaq Stock Market LLC ("Nasdaq") under the symbol "DTI" on June 21, 2023. See Note 3 -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xml:space="preserve"> for further discussion of the Merger.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Our operating activities are divided into four divisions:</w:t>
      </w:r>
    </w:p>
    <w:p>
      <w:pPr>
        <w:spacing w:after="0" w:line="113" w:lineRule="exact"/>
        <w:rPr>
          <w:sz w:val="20"/>
          <w:szCs w:val="20"/>
          <w:color w:val="auto"/>
        </w:rPr>
      </w:pPr>
    </w:p>
    <w:p>
      <w:pPr>
        <w:ind w:left="660" w:right="100" w:hanging="143"/>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Directional Tool Rentals ("DTR") </w:t>
      </w:r>
      <w:r>
        <w:rPr>
          <w:rFonts w:ascii="Times New Roman" w:cs="Times New Roman" w:eastAsia="Times New Roman" w:hAnsi="Times New Roman"/>
          <w:sz w:val="18"/>
          <w:szCs w:val="18"/>
          <w:color w:val="auto"/>
        </w:rPr>
        <w:t>— Our DTR division is a leading provider of downhole tools to directional drilling and upstream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 both land and offshore markets, based on the percentage of active rigs to which we supply tools in the geographies in which we are active. DTR maintains a fleet of over 25,000 tools and accounted for approximately 61% of our 2023 revenue. DTR rents drill collars, stabilizers, sub-assemblies and other tools used in horizontal and directional drilling of oil and natural gas. We charge our customers a day rate, monthly rate or per-well rate, and customers are required to compensate us for lost or damaged tools. DTR operates ten full-service locations and additional stocking points in key locations. DTR is our core division and operates in all markets which we serve.</w:t>
      </w:r>
    </w:p>
    <w:p>
      <w:pPr>
        <w:spacing w:after="0" w:line="72" w:lineRule="exact"/>
        <w:rPr>
          <w:rFonts w:ascii="Times New Roman" w:cs="Times New Roman" w:eastAsia="Times New Roman" w:hAnsi="Times New Roman"/>
          <w:sz w:val="18"/>
          <w:szCs w:val="18"/>
          <w:color w:val="auto"/>
        </w:rPr>
      </w:pPr>
    </w:p>
    <w:p>
      <w:pPr>
        <w:ind w:left="660" w:right="40" w:hanging="143"/>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Premium Tools Division ("PTD") </w:t>
      </w:r>
      <w:r>
        <w:rPr>
          <w:rFonts w:ascii="Times New Roman" w:cs="Times New Roman" w:eastAsia="Times New Roman" w:hAnsi="Times New Roman"/>
          <w:sz w:val="18"/>
          <w:szCs w:val="18"/>
          <w:color w:val="auto"/>
        </w:rPr>
        <w:t>— PTD rents drill pipe, drill collars, kellys, pup joints, work strings, blowout preventers and production tubing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drilling operators across the United States. PTD accounted for approximately 19% of our 2023 revenue. PTD’s fleet of drill pipe includes approximately 1,000,000 feet of drill pipe and tubing in diameters ranging from 3.5-inch to 5.5-inch with premium connection licenses from qualified suppliers. We typically rent drill pipe under long term contracts under which the customer is responsible for tools lost or damaged tools while in its possession. This division operates two full-service locations and one stocking point.</w:t>
      </w:r>
    </w:p>
    <w:p>
      <w:pPr>
        <w:spacing w:after="0" w:line="69" w:lineRule="exact"/>
        <w:rPr>
          <w:rFonts w:ascii="Times New Roman" w:cs="Times New Roman" w:eastAsia="Times New Roman" w:hAnsi="Times New Roman"/>
          <w:sz w:val="18"/>
          <w:szCs w:val="18"/>
          <w:color w:val="auto"/>
        </w:rPr>
      </w:pPr>
    </w:p>
    <w:p>
      <w:pPr>
        <w:ind w:left="660" w:right="80" w:hanging="143"/>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Wellbore Optimization Tools ("WOT") </w:t>
      </w:r>
      <w:r>
        <w:rPr>
          <w:rFonts w:ascii="Times New Roman" w:cs="Times New Roman" w:eastAsia="Times New Roman" w:hAnsi="Times New Roman"/>
          <w:sz w:val="18"/>
          <w:szCs w:val="18"/>
          <w:color w:val="auto"/>
        </w:rPr>
        <w:t>— WOT distributes Drill-N-Ream, the leading wellbore conditioning tool, based on the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rigs that are candidates for wellbore conditioning where Drill-N-Ream is deployed and used in horizontal and directional drilling. WOT accounted for approximately 17% of our 2023 revenue. Drill-N-Ream is manufactured by Superior Drilling Products Inc. ("SDPI"), which holds the applicable patent. Pursuant to a periodically reviewed pricing agreement with SDPI, we purchase Drill-N-Ream units to rent to our customers and in turn pay SDPI a royalty based on the revenue we derive from such rentals. We have been the sole North American distributor of Drill-N-Ream since 2016. Drill-N-Ream conditions the wellbore during the drilling process, making it easier to back out of the hole once drilling is finished and clean the wellbore during the drilling process. This tool saves customers time and money by enabling operators to extend the length of their wellbore at a lower cost. We generally charge customers on a per foot basis and the customer is typically responsible for tools that are lost or damaged while in its possession. WOT is also launching emerging products that we believe will deliver added value to our customers. A specialized group of salespeople and service personnel regularly visit drill sites to support our customers in their use of our tools.</w:t>
      </w:r>
    </w:p>
    <w:p>
      <w:pPr>
        <w:spacing w:after="0" w:line="74" w:lineRule="exact"/>
        <w:rPr>
          <w:rFonts w:ascii="Times New Roman" w:cs="Times New Roman" w:eastAsia="Times New Roman" w:hAnsi="Times New Roman"/>
          <w:sz w:val="18"/>
          <w:szCs w:val="18"/>
          <w:color w:val="auto"/>
        </w:rPr>
      </w:pPr>
    </w:p>
    <w:p>
      <w:pPr>
        <w:ind w:left="660" w:right="60" w:hanging="143"/>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Products &amp; Services, including Downhole Inspection Solutions &amp; Downhole Machining Solutions ("Other Products &amp; Services")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DTI’s Other Products and Services division includes Downhole Inspection Solutions &amp; Downhole Machining Solutions and primarily provides inspection and machining services to our DTR, PTD and WOT divisions and a few select customers. Other Products &amp; Services accounted for approximately 3% (net of eliminations) of our 2023 revenue. Other Products and Services enables us to manage the maintenance and repair of our tools, which in turn empowers us to maximize their uptime.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Rental Tool Companies in the Production of Oil and Gas</w:t>
      </w:r>
    </w:p>
    <w:p>
      <w:pPr>
        <w:spacing w:after="0" w:line="12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Wellbore construction is a critical stage in the production of oil and gas. Wellbore construction is comprised of drilling the wellbore, logging the target producing formation to determine if commercial amounts of hydrocarbons exist, installing casing, cementing casing and performing completion procedures to prepare the well for production. Even after wellbore construction is complete, production products and services are needed over the well’s full life cycle.</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Oil and gas companies typically hire a drilling contractor with an appropriate drilling rig to begin wellbore construction. However, drilling contractors generally do not have all the necessary tools to complete the project, and instead focus their business on the rig and its main components and rarely rent tools on behalf of oil and gas operators. Instead, oil and gas companies prefer to procure the products and services involved in drilling and subsequent procedures on a temporary basis from entities operating in the oil field services ("OFS") industry. This enables them to obtain the best quality, service, and pricing value directly from the service and equipment suppliers. As a result, upon completion of the well, the oil and gas operator does not hold assets that it no longer needs.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tools provided by rental tool companies vary from select bottom hole assembly components, drill string tools, pressure control devices and a wide variety of specialty items. Rental tool companies purchase assets and rent them to their oil and gas operator customers, who in turn use these tools to complete their respective projects. Rental tool companies typically charge daily rental fees, but fees also can be structured as hourly, footage, weekly, or monthly charges. Rental tool companies also bill customers for repair charges if tools are damaged beyond normal wear and tear. In addition, if the tools are lost in the well, or damaged beyond repair, the customer is charged a replacement fee. Rental tool companies’ ability to charge such fees are particularly important in light of the acceleration of drilling rates, as such acceleration has led to an increase in the number of damaged or lost-in-hole tools. We believe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ind w:right="700"/>
        <w:spacing w:after="0" w:line="281" w:lineRule="auto"/>
        <w:rPr>
          <w:sz w:val="20"/>
          <w:szCs w:val="20"/>
          <w:color w:val="auto"/>
        </w:rPr>
      </w:pPr>
      <w:r>
        <w:rPr>
          <w:rFonts w:ascii="Times New Roman" w:cs="Times New Roman" w:eastAsia="Times New Roman" w:hAnsi="Times New Roman"/>
          <w:sz w:val="18"/>
          <w:szCs w:val="18"/>
          <w:color w:val="auto"/>
        </w:rPr>
        <w:t>that this commercial arrangement has been standard practice in the industry for over 70 years. Given the cyclical nature of the oil and gas industry, commercial terms will be more favorable to rental tool companies when oil and gas industry activity is higher.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Gas Drilling Activity</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Rental tool companies’ financial and operating results are tied to the level of oil and gas drilling activity in their respective regions of operation, which, in our case, are generally the United States and Canada. Historically, the level of activity was measured by the number of active drilling rigs. As of December 31, 2023, the weekly average U.S. and Canadian onshore rig count as reported by Baker Hughes was 667 and 176, respectively. These figures have increased by 249 rigs, or 59%, in the United States and by 88 rigs, or 100%, in Canada since the average weekly lows of 2020.</w:t>
      </w:r>
    </w:p>
    <w:p>
      <w:pPr>
        <w:spacing w:after="0" w:line="1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Despite a reduction in the rig count since the highs of 2012, a rig can now accomplish more than one could have in the past. Drilling rigs now operate faster and drill longer wells, resulting in more efficient production than ever before. Accordingly, we believe that well count and feet drilled are better indicators of the level of oil and gas drilling activity.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intend to (i) maximize the profitability of our core rental tool business, (ii) commercialize new high-value rental tools that make the drilling process more efficient (iii) extend our reach into other segments of a well’s lifecycle, such as completion and production and (iv) expand geographically. We intend to execute our strategy through the following:</w:t>
      </w:r>
    </w:p>
    <w:p>
      <w:pPr>
        <w:spacing w:after="0" w:line="65" w:lineRule="exact"/>
        <w:rPr>
          <w:sz w:val="20"/>
          <w:szCs w:val="20"/>
          <w:color w:val="auto"/>
        </w:rPr>
      </w:pPr>
    </w:p>
    <w:p>
      <w:pPr>
        <w:ind w:left="660" w:hanging="143"/>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sales to E&amp;P operators </w:t>
      </w:r>
      <w:r>
        <w:rPr>
          <w:rFonts w:ascii="Times New Roman" w:cs="Times New Roman" w:eastAsia="Times New Roman" w:hAnsi="Times New Roman"/>
          <w:sz w:val="18"/>
          <w:szCs w:val="18"/>
          <w:color w:val="auto"/>
        </w:rPr>
        <w:t>— E&amp;P operators are the most profitable and financially robust renters of oil and gas drilling tools.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2014, we began to expand our customer base by targeting these companies. We have subsequently grown the percentage of our revenue derived from E&amp;P operators from less than 10% in 2014 to over 47% in 2023. We believe that we can continue increasing the amount of business we do with E&amp;P operators through persistent selling efforts, excellent customer service and strategically expanding our rental tool fleet with differentiated new tools. We believe that we can eventually generate in excess of 50% of our revenue from E&amp;P operators while maintaining our leading position with OSC customers. We strive to maintain business relationships and brand recognition with both E&amp;P operators, drilling contractors, and service companies. Some E&amp;P operators have implemented a strategy to go directly to suppliers and de-bundle directional drilling service providers in order to get the tools they want and extract value from that de-bundling process. By ensuring we have a business path to both the E&amp;P operators and the directional drilling service companies, we believe we are in a position to win business regardless of the commercial profile of the end user.</w:t>
      </w:r>
    </w:p>
    <w:p>
      <w:pPr>
        <w:spacing w:after="0" w:line="74" w:lineRule="exact"/>
        <w:rPr>
          <w:rFonts w:ascii="Times New Roman" w:cs="Times New Roman" w:eastAsia="Times New Roman" w:hAnsi="Times New Roman"/>
          <w:sz w:val="18"/>
          <w:szCs w:val="18"/>
          <w:color w:val="auto"/>
        </w:rPr>
      </w:pPr>
    </w:p>
    <w:p>
      <w:pPr>
        <w:ind w:left="660" w:right="200" w:hanging="143"/>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uptime of our rental tool fleet </w:t>
      </w:r>
      <w:r>
        <w:rPr>
          <w:rFonts w:ascii="Times New Roman" w:cs="Times New Roman" w:eastAsia="Times New Roman" w:hAnsi="Times New Roman"/>
          <w:sz w:val="18"/>
          <w:szCs w:val="18"/>
          <w:color w:val="auto"/>
        </w:rPr>
        <w:t>— We only earn a return from tools that are being rented. Accordingly, we strive to minimize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tools that are unused or awaiting repair. We intend to do so by leveraging DTI's Customer Order Management Portal and Support System ("COMPASS"), which empowers us to transfer tools from facilities where they are under-utilized to those where they are in greatest demand. COMPASS also enables us to stock the optimal number of a particular tool, such that we have enough inventory to meet all customer needs without having excess inventory and thereby stranding capital. See “— Our Competitive Strengths — COMPASS inventory management system.” Our inspection, machining and robotic capabilities also allow us to maximize the uptime of our rental tool fleet because we can control these critical functions and return our rental tools to service.</w:t>
      </w:r>
    </w:p>
    <w:p>
      <w:pPr>
        <w:spacing w:after="0" w:line="72" w:lineRule="exact"/>
        <w:rPr>
          <w:rFonts w:ascii="Times New Roman" w:cs="Times New Roman" w:eastAsia="Times New Roman" w:hAnsi="Times New Roman"/>
          <w:sz w:val="18"/>
          <w:szCs w:val="18"/>
          <w:color w:val="auto"/>
        </w:rPr>
      </w:pPr>
    </w:p>
    <w:p>
      <w:pPr>
        <w:ind w:left="660" w:right="20" w:hanging="143"/>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professionalize the organization </w:t>
      </w:r>
      <w:r>
        <w:rPr>
          <w:rFonts w:ascii="Times New Roman" w:cs="Times New Roman" w:eastAsia="Times New Roman" w:hAnsi="Times New Roman"/>
          <w:sz w:val="18"/>
          <w:szCs w:val="18"/>
          <w:color w:val="auto"/>
        </w:rPr>
        <w:t>— Historically, rental tool companies’ success was largely tied to their ability to provide customers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ancillary benefits and perks, such as golf outings and meals. While safety standards existed, compliance therewith was not typically audited. Moreover, operating facilities were unimpressive and rarely visited by customers, rental tools were worn and inexact, and quality audits were uncommon. Today, however, safety and quality standards are far more exacting. Accordingly, rental tool companies must be professional, transparent and sophisticated. As the oil and gas industry professionalizes, all segments of the industry are increasingly evaluated based on a strict set of criteria that includes safety, ability to fulfill tool orders, the presence of repeatable and verifiable processes and procedures, billing accuracy and “one-stop shop” capabilities. While rental tool companies must maintain relationships with customers, they must also have auditable and repeatable processes to win business. We have transformed our business in light of the new normal, allocating resources to ensure we meet our customers’ high expectations. We believe that many of our competitors have not made this transition. We intend to press this advantage by continuing to professionalize our workforce and processes, thereby widening the gap between us and our competitors.</w:t>
      </w:r>
    </w:p>
    <w:p>
      <w:pPr>
        <w:spacing w:after="0" w:line="74" w:lineRule="exact"/>
        <w:rPr>
          <w:rFonts w:ascii="Times New Roman" w:cs="Times New Roman" w:eastAsia="Times New Roman" w:hAnsi="Times New Roman"/>
          <w:sz w:val="18"/>
          <w:szCs w:val="18"/>
          <w:color w:val="auto"/>
        </w:rPr>
      </w:pPr>
    </w:p>
    <w:p>
      <w:pPr>
        <w:ind w:left="660" w:right="20" w:hanging="143"/>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Execute accretive mergers and acquisition </w:t>
      </w:r>
      <w:r>
        <w:rPr>
          <w:rFonts w:ascii="Times New Roman" w:cs="Times New Roman" w:eastAsia="Times New Roman" w:hAnsi="Times New Roman"/>
          <w:sz w:val="18"/>
          <w:szCs w:val="18"/>
          <w:color w:val="auto"/>
        </w:rPr>
        <w:t>— We have a demonstrated track record of successfully integrating acquired businesses. Because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industry reputation, we are frequently presented with acquisition opportunities. However, given our capital limitations in recent years, we have not been able to proceed with many of these transactions. From 2010 to 2016, significant capital flowed into the OFS sector, led by energy-focused private equity firms that typically have investment horizons of ten years or less. Although many of these investments are now more than ten years old, the private equity firms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 w:name="page8"/>
    <w:bookmarkEnd w:id="7"/>
    <w:p>
      <w:pPr>
        <w:ind w:left="660"/>
        <w:spacing w:after="0" w:line="254" w:lineRule="auto"/>
        <w:rPr>
          <w:sz w:val="20"/>
          <w:szCs w:val="20"/>
          <w:color w:val="auto"/>
        </w:rPr>
      </w:pPr>
      <w:r>
        <w:rPr>
          <w:rFonts w:ascii="Times New Roman" w:cs="Times New Roman" w:eastAsia="Times New Roman" w:hAnsi="Times New Roman"/>
          <w:sz w:val="18"/>
          <w:szCs w:val="18"/>
          <w:color w:val="auto"/>
        </w:rPr>
        <w:t>have no clear path to achieving liquidity since little new capital is entering the energy industry. We believe we have compelling accretive acquisition opportunities, the purchase price consideration for which can be shares of Common Stock. Given their relationships in the industry, the members of our management team can source attractive acquisition targets. We intend to focus our acquisition activity on the downhole rental tool sector, including companies that rent or sell drilling motors and their components, specialty downhole tools that provide added value, power sections that transmit power transmission to the drill bit, and products that support the downhole pumping operations used in production. We believe that an ability to provide these products will further embed us with our customers, and acquired companies would benefit from our customer relationships, facilities, salesforce and industry reputation. Nonetheless, we intend to extend our participation into the completion and production portion of a well’s lifecycle. Because the owners of many companies in our target sectors have limited options to realize liquidity, we believe we can attain attractive purchase prices that are highly accretive to our valuation metrics.</w:t>
      </w:r>
    </w:p>
    <w:p>
      <w:pPr>
        <w:spacing w:after="0" w:line="74" w:lineRule="exact"/>
        <w:rPr>
          <w:sz w:val="20"/>
          <w:szCs w:val="20"/>
          <w:color w:val="auto"/>
        </w:rPr>
      </w:pPr>
    </w:p>
    <w:p>
      <w:pPr>
        <w:ind w:left="660" w:right="40" w:hanging="143"/>
        <w:spacing w:after="0" w:line="267"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Partner with leading drilling tool producers — </w:t>
      </w:r>
      <w:r>
        <w:rPr>
          <w:rFonts w:ascii="Times New Roman" w:cs="Times New Roman" w:eastAsia="Times New Roman" w:hAnsi="Times New Roman"/>
          <w:sz w:val="17"/>
          <w:szCs w:val="17"/>
          <w:color w:val="auto"/>
        </w:rPr>
        <w:t>We intend to differentiate ourselves from our competitors by partnering with leading drilling tool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producers, thereby empowering us to rent value-added tools to which our competitors do not have access. We have a track record of partnering with drilling tool producers to achieve mutually beneficial results. For example, we are party to a distribution agreement with SDPI, which holds the patent to Drill-N-Ream. SDPI launched the tool in 2012, but experienced slowing sales by 2015 and 2016. We leveraged our industry relationships to secure distribution rights for Drill-N-Ream in May 2016. As a signal of our commitment to the product and relationship with SDPI, we hired all the related personnel and launched a North American commercial strategy. Our Wellbore Optimization team has over 25 employees trained and dedicated to selling and servicing the Drill-N-Ream. We have a unique “field first” approach whereby we provide service to the field foreman and wellsite superintendents, and communicate with the city sales team to provide performance data and feedback to the clients in corporate offices. We developed a Technical Services department with mechanical and petroleum engineers to support the value proposition of our core products and products like Drill-N-Ream. Because of our efforts, Drill-N-Ream is now the market leader in wellbore conditioning. See “</w:t>
      </w:r>
      <w:r>
        <w:rPr>
          <w:rFonts w:ascii="Times New Roman" w:cs="Times New Roman" w:eastAsia="Times New Roman" w:hAnsi="Times New Roman"/>
          <w:sz w:val="17"/>
          <w:szCs w:val="17"/>
          <w:i w:val="1"/>
          <w:iCs w:val="1"/>
          <w:color w:val="auto"/>
        </w:rPr>
        <w:t>Risk Factors — Risks Related to Our Business — Termination of, or failure to comply with, the terms of our non-exclusive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agreement with SDPI could have a material adverse effect on our business</w:t>
      </w:r>
      <w:r>
        <w:rPr>
          <w:rFonts w:ascii="Times New Roman" w:cs="Times New Roman" w:eastAsia="Times New Roman" w:hAnsi="Times New Roman"/>
          <w:sz w:val="17"/>
          <w:szCs w:val="17"/>
          <w:color w:val="auto"/>
        </w:rPr>
        <w:t>.” If we are unable to fully protect our intellectual property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rights or trade secrets, we may suffer a loss in revenue or any competitive advantage or market share we hold, or we may incur costs in litigation defending intellectual property rights.” Similarly, we have entered into an exclusive distribution agreement with CT Energy Services ("CTES"), a Canadian firm that developed the HydroClutch. This tool, which we have rebranded as RotoSteer, allows drillers to use an alternative method of horizontal well drilling. By using RotoSteer, customers can enhance levels of performance with the traditional methods of horizontal well drilling, and lower cost with significantly lower risk. We finalized an agreement with CTES in the third quarter of 2022 and have established a fleet of 12 RotoSteer tools in inventory. On February 6, 2023, we completed a purchase of a motor shop and downhole motor product line that will support our RotoSteer offering. We are now able to service our fleet of RotoSteer tools. We have 36 RotoSteer tools in our fleet that are ready to be deployed as of December 31, 2023. We believe that our RotoSteer tool business has the potential to achieve a commanding market share in the United States in the next three to five years. We believe that there is an opportunity to expand our RotoSteer offering into the international market.</w:t>
      </w:r>
    </w:p>
    <w:p>
      <w:pPr>
        <w:spacing w:after="0" w:line="71" w:lineRule="exact"/>
        <w:rPr>
          <w:rFonts w:ascii="Times New Roman" w:cs="Times New Roman" w:eastAsia="Times New Roman" w:hAnsi="Times New Roman"/>
          <w:sz w:val="17"/>
          <w:szCs w:val="17"/>
          <w:color w:val="auto"/>
        </w:rPr>
      </w:pPr>
    </w:p>
    <w:p>
      <w:pPr>
        <w:ind w:left="660" w:right="40" w:hanging="143"/>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international operations </w:t>
      </w:r>
      <w:r>
        <w:rPr>
          <w:rFonts w:ascii="Times New Roman" w:cs="Times New Roman" w:eastAsia="Times New Roman" w:hAnsi="Times New Roman"/>
          <w:sz w:val="18"/>
          <w:szCs w:val="18"/>
          <w:color w:val="auto"/>
        </w:rPr>
        <w:t>— We intend to expand our international footprint, including by acquiring identified targets. While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and grow our current North American business, we intend to increase, in the next five years, the percentage of our revenue and income derived from outside of North America. To successfully implement this strategy, we will need to make several strategic acquisitions and invest additional capital.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implement the strategies discussed above, we plan to leverage the following competitive strengths:</w:t>
      </w:r>
    </w:p>
    <w:p>
      <w:pPr>
        <w:spacing w:after="0" w:line="113" w:lineRule="exact"/>
        <w:rPr>
          <w:sz w:val="20"/>
          <w:szCs w:val="20"/>
          <w:color w:val="auto"/>
        </w:rPr>
      </w:pPr>
    </w:p>
    <w:p>
      <w:pPr>
        <w:ind w:left="660" w:hanging="143"/>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with significant industry experience </w:t>
      </w:r>
      <w:r>
        <w:rPr>
          <w:rFonts w:ascii="Times New Roman" w:cs="Times New Roman" w:eastAsia="Times New Roman" w:hAnsi="Times New Roman"/>
          <w:sz w:val="18"/>
          <w:szCs w:val="18"/>
          <w:color w:val="auto"/>
        </w:rPr>
        <w:t>— We are led by oil and gas industry veterans with experience spanning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decades, industry cycles and segments of the oil and gas industry. Our President and Chief Executive Officer ("CEO"), Wayne Prejean, began his career in 1979 as an entry-level service technician on an offshore drilling platform in the GOM, providing monitoring equipment for producing wells. In 1981, he joined a new firm providing guidance and survey tools for directional drilling services. Throughout the 1980s, Mr. Prejean became a directional drilling operator, supervisor and manager, using novel techniques in the nascent horizontal and directional drilling processes. Mr. Prejean spent the next 20 years in senior management roles, developing and growing numerous successful companies in multiple sectors of the industry. Mr. Prejean became our CEO in 2013. Mr. Prejean’s industry expertise, paired with that of the other members of our management team, is a significant strength. Every member of the management team has worked at a major OSC. Accordingly, our team understands corporate structure, internal processes and the needs of our customers. As a result, the management team helps us become an integral part of our customers’ operations. Many members of our management team have worked together over the past ten years and have helped us transform from a small, entrepreneurial company with few processes and procedures, less sophisticated customers and few operating locations into a professional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 w:name="page9"/>
    <w:bookmarkEnd w:id="8"/>
    <w:p>
      <w:pPr>
        <w:ind w:left="660" w:right="400"/>
        <w:spacing w:after="0" w:line="281" w:lineRule="auto"/>
        <w:rPr>
          <w:sz w:val="20"/>
          <w:szCs w:val="20"/>
          <w:color w:val="auto"/>
        </w:rPr>
      </w:pPr>
      <w:r>
        <w:rPr>
          <w:rFonts w:ascii="Times New Roman" w:cs="Times New Roman" w:eastAsia="Times New Roman" w:hAnsi="Times New Roman"/>
          <w:sz w:val="18"/>
          <w:szCs w:val="18"/>
          <w:color w:val="auto"/>
        </w:rPr>
        <w:t>company serving leading OSCs and E&amp;P operators from 16 locations in North America and 4 international stocking points in Europe and the Middle East.</w:t>
      </w:r>
    </w:p>
    <w:p>
      <w:pPr>
        <w:spacing w:after="0" w:line="51" w:lineRule="exact"/>
        <w:rPr>
          <w:sz w:val="20"/>
          <w:szCs w:val="20"/>
          <w:color w:val="auto"/>
        </w:rPr>
      </w:pPr>
    </w:p>
    <w:p>
      <w:pPr>
        <w:ind w:left="660" w:hanging="143"/>
        <w:spacing w:after="0" w:line="25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 fleet of rental tools meeting our customers’ needs </w:t>
      </w:r>
      <w:r>
        <w:rPr>
          <w:rFonts w:ascii="Times New Roman" w:cs="Times New Roman" w:eastAsia="Times New Roman" w:hAnsi="Times New Roman"/>
          <w:sz w:val="18"/>
          <w:szCs w:val="18"/>
          <w:color w:val="auto"/>
        </w:rPr>
        <w:t>— We operate and maintain a large rental tool fleet that is dispersed across most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gas producing regions of the U.S. and Canada. Our fleet is significantly concentrated in the Permian Basin, one of the world’s most prolific oil and gas fields. We have recently expanded into Europe and the Middle East via partnerships with existing suppliers. The tools that make up a bottom hole assembly and a drill string vary widely due to the differing nature of oil and gas formations, hole sizes, wellbore design, connections and drilling engineer preferences. Therefore, it is not efficient for even the largest diversified OSCs, such as Baker Hughes Company, Phoenix Technology Services LP, and SLB (formerly Schlumberger Limited), to maintain their own rental tool fleet. Furthermore, high-quality customers expect rental tool companies to meet all their tool needs. Thus, without a sizeable rental tool fleet, smaller providers cannot secure large contracts covering multiple geographic locations. The sheer number of tool variations and the substantial cost to replicate a rental tool fleet serve as barriers to entry for new competitors in the downhole rental tool industry.</w:t>
      </w:r>
    </w:p>
    <w:p>
      <w:pPr>
        <w:spacing w:after="0" w:line="78" w:lineRule="exact"/>
        <w:rPr>
          <w:rFonts w:ascii="Times New Roman" w:cs="Times New Roman" w:eastAsia="Times New Roman" w:hAnsi="Times New Roman"/>
          <w:sz w:val="18"/>
          <w:szCs w:val="18"/>
          <w:color w:val="auto"/>
        </w:rPr>
      </w:pPr>
    </w:p>
    <w:p>
      <w:pPr>
        <w:ind w:left="660" w:right="20" w:hanging="143"/>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Master Service Agreements with leading customers </w:t>
      </w:r>
      <w:r>
        <w:rPr>
          <w:rFonts w:ascii="Times New Roman" w:cs="Times New Roman" w:eastAsia="Times New Roman" w:hAnsi="Times New Roman"/>
          <w:sz w:val="18"/>
          <w:szCs w:val="18"/>
          <w:color w:val="auto"/>
        </w:rPr>
        <w:t>— We have over 325 master service agreements ("MSAs") with leading OSCs and E&amp;P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operators as of December 31, 2023. An MSA is necessary to do business with many of our customers. Obtaining an MSA requires both time and a relationship with the customer. Additionally, to enter into MSAs with its customers, a rental tool company must demonstrate a record of safety, repeatable processes and procedures and, in some cases, industry certifications such as API (American Petroleum Institute) and ISO (International Organization for Standards). A rental tool company must also satisfy numerous site and job specific quality criteria. We possess all certifications that are required by our customers, have a robust quality assurance department and regularly satisfy customer audits. Many smaller rental tool providers cannot meet the stringent requirements set out by world-leading OSCs and E&amp;P operators.</w:t>
      </w:r>
    </w:p>
    <w:p>
      <w:pPr>
        <w:spacing w:after="0" w:line="72" w:lineRule="exact"/>
        <w:rPr>
          <w:rFonts w:ascii="Times New Roman" w:cs="Times New Roman" w:eastAsia="Times New Roman" w:hAnsi="Times New Roman"/>
          <w:sz w:val="18"/>
          <w:szCs w:val="18"/>
          <w:color w:val="auto"/>
        </w:rPr>
      </w:pPr>
    </w:p>
    <w:p>
      <w:pPr>
        <w:ind w:left="660" w:hanging="143"/>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Wide distribution network </w:t>
      </w:r>
      <w:r>
        <w:rPr>
          <w:rFonts w:ascii="Times New Roman" w:cs="Times New Roman" w:eastAsia="Times New Roman" w:hAnsi="Times New Roman"/>
          <w:sz w:val="18"/>
          <w:szCs w:val="18"/>
          <w:color w:val="auto"/>
        </w:rPr>
        <w:t>— In 2012 we had three facilities. We have since grown our physical footprint significantly, and now operate from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locations in North America, including five facilities in the Permian Basin (two in Midland, Texas, two in Odessa, Texas and one in Carlsbad, New Mexico). Our ability to support customers across all of North America is critical to winning business because our customers operate across the continent. Most of these facilities operate 24 hours per day, 365 days per year, and many are equipped with machining and welding capabilities to facilitate in-house tool repair, which maximizes turnaround time and minimizes downtime. In addition to our North American facilities, we have 4 international stocking points in Europe and the Middle East. We can meet many of our customers’ rental tool needs in every location in which they operate.</w:t>
      </w:r>
    </w:p>
    <w:p>
      <w:pPr>
        <w:spacing w:after="0" w:line="72" w:lineRule="exact"/>
        <w:rPr>
          <w:rFonts w:ascii="Times New Roman" w:cs="Times New Roman" w:eastAsia="Times New Roman" w:hAnsi="Times New Roman"/>
          <w:sz w:val="18"/>
          <w:szCs w:val="18"/>
          <w:color w:val="auto"/>
        </w:rPr>
      </w:pPr>
    </w:p>
    <w:p>
      <w:pPr>
        <w:ind w:left="660" w:right="100" w:hanging="143"/>
        <w:spacing w:after="0" w:line="271"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COMPASS inventory management system </w:t>
      </w:r>
      <w:r>
        <w:rPr>
          <w:rFonts w:ascii="Times New Roman" w:cs="Times New Roman" w:eastAsia="Times New Roman" w:hAnsi="Times New Roman"/>
          <w:sz w:val="17"/>
          <w:szCs w:val="17"/>
          <w:color w:val="auto"/>
        </w:rPr>
        <w:t>— In 2016, we began designing COMPASS, a proprietary inventory and order management system.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COMPASS enables customers to place orders online using a streamlined interface similar to the “Add to Cart” function provided by many online retailers. Every tool available for rental on COMPASS is accompanied by a description, a photograph and all relevant connection, size and raw material information. Customers can create a custom basket, thereby allowing them to more efficiently place repeat orders. COMPASS provides customers with full transparency on tool orders and account status with all-day instant access and customized automated scheduling reports. We believe that none of our competitors are making a similar technological transition. COMPASS has helped us maximize fleet utilization. Specifically, COMPASS generates reports that enable facility managers to identify slow-moving or under-utilized tools and to “right size” the rental tool fleet at each location. Thus, instead of buying a new tool when needed at a busy facility, the tool can be moved from a facility where it is not currently being utilized. Awareness of an asset’s use enables us to increase rental tool utilization and maximize return on capital.</w:t>
      </w:r>
    </w:p>
    <w:p>
      <w:pPr>
        <w:spacing w:after="0" w:line="62" w:lineRule="exact"/>
        <w:rPr>
          <w:rFonts w:ascii="Times New Roman" w:cs="Times New Roman" w:eastAsia="Times New Roman" w:hAnsi="Times New Roman"/>
          <w:sz w:val="17"/>
          <w:szCs w:val="17"/>
          <w:color w:val="auto"/>
        </w:rPr>
      </w:pPr>
    </w:p>
    <w:p>
      <w:pPr>
        <w:ind w:left="660" w:hanging="143"/>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 talented salesforce with deep customer relationships </w:t>
      </w:r>
      <w:r>
        <w:rPr>
          <w:rFonts w:ascii="Times New Roman" w:cs="Times New Roman" w:eastAsia="Times New Roman" w:hAnsi="Times New Roman"/>
          <w:sz w:val="18"/>
          <w:szCs w:val="18"/>
          <w:color w:val="auto"/>
        </w:rPr>
        <w:t>— Our salespeople specialize in a particular tool type (e.g., drilling tools, wellbore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optimization tools and drill pipe) and support all locations where our customers operate. Our salespeople are divided into two teams: city-sales and field-sales. The city-sales team focuses its efforts on customers’ corporate offices, striving to establish and maintain long-term relationships that can culminate in multi-year first call supply agreements with detailed pricing arrangements. The field-sales team focuses its efforts on customers’ drilling rigs and field offices. The field-sales team seeks to fulfill customers’ needs that are specific to ongoing or soon-to-launch projects. Whether a member of our city-sales team or our field-sales team, each salesperson focuses on providing customers the right tools when and where those tools are needed.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Our customer base is comprised of: (i) diversified OSCs account for approximately 50% of 2023 revenue, including but not limited to Baker Hughes Company, Halliburton Company, Phoenix Energy, and SLB (formerly Schlumberger); (ii) E&amp;P operators account for approximately 47% of 2023 revenue, included but not limited to ConocoPhillips, EOG Resources Inc., Occidental Petroleum Corporation, Pioneer Energy Services Corp.; and (iii) oil and gas equipment manufacturers account for approximately 3% of 2023 revenue, included but not limited to Liberty Lift Solutions and National Oilwell Varco.</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9" w:name="page10"/>
    <w:bookmarkEnd w:id="9"/>
    <w:p>
      <w:pPr>
        <w:ind w:right="280"/>
        <w:spacing w:after="0" w:line="265" w:lineRule="auto"/>
        <w:rPr>
          <w:sz w:val="20"/>
          <w:szCs w:val="20"/>
          <w:color w:val="auto"/>
        </w:rPr>
      </w:pPr>
      <w:r>
        <w:rPr>
          <w:rFonts w:ascii="Times New Roman" w:cs="Times New Roman" w:eastAsia="Times New Roman" w:hAnsi="Times New Roman"/>
          <w:sz w:val="18"/>
          <w:szCs w:val="18"/>
          <w:color w:val="auto"/>
        </w:rPr>
        <w:t>Conducting business with top tier customers requires world class service quality, safety and auditable work processes. These operating requirements are contained in MSAs with our clients. Obtaining MSAs can be difficult and time-consuming. We believe this creates a barrier to entry for smaller, less competent providers and provides us an industry advantage.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Employee Safety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394 employees and contractors, all of whom were full-time. Our workforce includes over 29 sales professionals who are divided between city-sales and field-sales teams. Keeping our workforce safe and healthy is a key priority, and management is committed to ensuring our employees return home safely after each shift. In 2018, we implemented “Safety Now,” a rigorous safety program that is part of DTI’s Safe, Inspired, Productive incentive program (“SIP”). SIP has helped reduce our total recordable incident rate from 2.3 in 2018 to 1.23 in 2023, which is lower than the industry average. The success of SIP is necessary for us to do business with many of our customers, including Baker Hughes Company, EOG Resources Inc., Occidental Petroleum Corporation and SLB.</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from 16 locations in North America and maintain 4 international stocking points in Europe and the Middle East,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291465</wp:posOffset>
            </wp:positionV>
            <wp:extent cx="6165215" cy="3502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65215" cy="350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Health and Safety Measures</w:t>
      </w:r>
    </w:p>
    <w:p>
      <w:pPr>
        <w:spacing w:after="0" w:line="121"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Our business is significantly affected by federal, state and local laws and other regulations. These regulations primarily impact the operation of our facilities. The laws and regulations relate to, among other things:</w:t>
      </w:r>
    </w:p>
    <w:p>
      <w:pPr>
        <w:spacing w:after="0" w:line="55" w:lineRule="exact"/>
        <w:rPr>
          <w:sz w:val="20"/>
          <w:szCs w:val="20"/>
          <w:color w:val="auto"/>
        </w:rPr>
      </w:pPr>
    </w:p>
    <w:p>
      <w:pPr>
        <w:ind w:left="660" w:hanging="1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 safety standards;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the environment;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with respect to both fluids and solids.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0" w:name="page11"/>
    <w:bookmarkEnd w:id="10"/>
    <w:p>
      <w:pPr>
        <w:ind w:right="280"/>
        <w:spacing w:after="0" w:line="281" w:lineRule="auto"/>
        <w:rPr>
          <w:sz w:val="20"/>
          <w:szCs w:val="20"/>
          <w:color w:val="auto"/>
        </w:rPr>
      </w:pPr>
      <w:r>
        <w:rPr>
          <w:rFonts w:ascii="Times New Roman" w:cs="Times New Roman" w:eastAsia="Times New Roman" w:hAnsi="Times New Roman"/>
          <w:sz w:val="18"/>
          <w:szCs w:val="18"/>
          <w:color w:val="auto"/>
        </w:rPr>
        <w:t>Our internal environmental group monitors our compliance with applicable laws and regulations. We also engage third parties to review our compliance with such.</w:t>
      </w:r>
    </w:p>
    <w:p>
      <w:pPr>
        <w:spacing w:after="0" w:line="163"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We cannot predict the level of enforcement of existing laws and regulations or how such laws and regulations may be interpreted by enforcement agencies or court rulings in the future. We also cannot predict whether additional laws and regulations will be adopted, including changes in regulatory oversight, increase of federal, state or local taxes, increase of inspection costs, or the effect such changes may have on us, our business or our financial condition.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We believe that there are a limited number of competitors in the oil and gas drilling rental tools industry. It is our view that we enjoy a competitive advantage with respect to these competitors due to our large relevant tool inventory, strong management team and significant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operations date to the founding of Directional Rentals, Inc. in 1984. Its name was changed to “Drilling Tools International, Inc.” in 2014, and it is a wholly owned subsidiary of DTIH. As a result of the Business Combination, DTIH became a wholly owned subsidiary of ROC. In connection with the Business Combination, ROC changed its name to “Drilling Tools International Corporation”. Our website address is www.drillingtools.com. The information found on our website is not part of this or any other report we file with, or furnish to, the SEC and is expressly not incorporated by reference into this document. Our Annual Reports on Form 10-K, Quarterly Reports on Form 10-Q, Current Reports on Form 8-K, proxy statements, and any amendments to these reports filed or furnished pursuant to Section 13(a) or 15(d) of the Securities Exchange Act of 1934 are available on our website, free of charge, as soon as reasonably practicable after such reports are filed with, or furnished to, the SEC. Alternatively, you may access these reports at the SEC’s website at www.sec.gov.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depends on oil and gas industry activity and customer expenditure levels, which are directly affected by trends in the demand for, and price of, crude oil and natural gas as well as the availability of capital.</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Demand for our products and services depends primarily upon the general level of activity in the oil and gas industry, including the number of drilling rigs in operation, the number of oil and gas wells being drilled, the depth and drilling conditions of these wells, the volume of production, the number of well completions and the cumulative feet drilled, the level of well remediation activity, and the corresponding capital spending by oil and gas companies. Oil and gas activity is in turn heavily influenced by, among other factors, current and anticipated oil and natural gas prices locally and worldwide. Historically, such prices have been volatile, and declines, whether actual or anticipated, thereof could negatively affect the level of oil and gas activity and related capital spending. Decreases in oil and gas activity and related capital spending could, in turn, adversely affect demand for our products and services and, in certain instances, result in the cancellation, modification or curtailing of demand for our services and the ability of our customers to pay us for our products and services. These factors could have an adverse effect on our business, results of operations, financial condition and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prices of oil and natural gas include, but are not limited to, the following:</w:t>
      </w:r>
    </w:p>
    <w:p>
      <w:pPr>
        <w:spacing w:after="0" w:line="117" w:lineRule="exact"/>
        <w:rPr>
          <w:sz w:val="20"/>
          <w:szCs w:val="20"/>
          <w:color w:val="auto"/>
        </w:rPr>
      </w:pPr>
    </w:p>
    <w:p>
      <w:pPr>
        <w:ind w:left="660" w:right="680" w:hanging="143"/>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hydrocarbons, which is affected by worldwide population growth, economic growth rates and general economic and business conditions;</w:t>
      </w:r>
    </w:p>
    <w:p>
      <w:pPr>
        <w:spacing w:after="0" w:line="54" w:lineRule="exact"/>
        <w:rPr>
          <w:rFonts w:ascii="Times New Roman" w:cs="Times New Roman" w:eastAsia="Times New Roman" w:hAnsi="Times New Roman"/>
          <w:sz w:val="18"/>
          <w:szCs w:val="18"/>
          <w:color w:val="auto"/>
        </w:rPr>
      </w:pPr>
    </w:p>
    <w:p>
      <w:pPr>
        <w:ind w:left="660" w:right="100" w:hanging="143"/>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excess production capacity within the Organization of Petroleum Exporting Countries (“OPEC”) and the level of oil and gas production by non-OPEC countries;</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inventory levels, production capacity and investment levels;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of shale plays which may influence worldwide supply;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differentials associated with reduced capacity in and out of the storage hub in Cushing, Oklahoma;</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exploring for, producing and delivering oil and natural gas;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geopolitical unrest;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activity and shifts in end-customer preferences toward fuel efficiency and increased transition to electric vehicles;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1" w:name="page12"/>
    <w:bookmarkEnd w:id="11"/>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conservation measures and technological advances affecting energy consumption;</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initiatives to address greenhouse gas emissions and climate change, including incentives to promote alternative energy sources;</w:t>
      </w:r>
    </w:p>
    <w:p>
      <w:pPr>
        <w:spacing w:after="0" w:line="116" w:lineRule="exact"/>
        <w:rPr>
          <w:rFonts w:ascii="Times New Roman" w:cs="Times New Roman" w:eastAsia="Times New Roman" w:hAnsi="Times New Roman"/>
          <w:sz w:val="18"/>
          <w:szCs w:val="18"/>
          <w:color w:val="auto"/>
        </w:rPr>
      </w:pPr>
    </w:p>
    <w:p>
      <w:pPr>
        <w:ind w:left="660" w:right="160" w:hanging="143"/>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acceleration of the commercial development of alternative energy sources and adjacent products, such as wind, solar, geothermal, tidal, fuel cells and biofuels;</w:t>
      </w:r>
    </w:p>
    <w:p>
      <w:pPr>
        <w:spacing w:after="0" w:line="54" w:lineRule="exact"/>
        <w:rPr>
          <w:rFonts w:ascii="Times New Roman" w:cs="Times New Roman" w:eastAsia="Times New Roman" w:hAnsi="Times New Roman"/>
          <w:sz w:val="18"/>
          <w:szCs w:val="18"/>
          <w:color w:val="auto"/>
        </w:rPr>
      </w:pPr>
    </w:p>
    <w:p>
      <w:pPr>
        <w:ind w:left="660" w:right="120" w:hanging="143"/>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and credit markets and investors’ focus on shareholder returns, which may affect our customers’ activity levels and spending for our products and services;</w:t>
      </w:r>
    </w:p>
    <w:p>
      <w:pPr>
        <w:spacing w:after="0" w:line="54" w:lineRule="exact"/>
        <w:rPr>
          <w:rFonts w:ascii="Times New Roman" w:cs="Times New Roman" w:eastAsia="Times New Roman" w:hAnsi="Times New Roman"/>
          <w:sz w:val="18"/>
          <w:szCs w:val="18"/>
          <w:color w:val="auto"/>
        </w:rPr>
      </w:pPr>
    </w:p>
    <w:p>
      <w:pPr>
        <w:ind w:left="660" w:right="780" w:hanging="143"/>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related to hydraulic fracturing activities, saltwater disposal or oil and gas drilling, particularly on public properties;</w:t>
      </w:r>
    </w:p>
    <w:p>
      <w:pPr>
        <w:spacing w:after="0" w:line="54" w:lineRule="exact"/>
        <w:rPr>
          <w:rFonts w:ascii="Times New Roman" w:cs="Times New Roman" w:eastAsia="Times New Roman" w:hAnsi="Times New Roman"/>
          <w:sz w:val="18"/>
          <w:szCs w:val="18"/>
          <w:color w:val="auto"/>
        </w:rPr>
      </w:pPr>
    </w:p>
    <w:p>
      <w:pPr>
        <w:ind w:left="660" w:hanging="143"/>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 including those relating to the use of coal in power plants, as such laws and regulations can impact the demand for natural gas;</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changes in weather patterns and natural disasters, including those related to climate change;</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in key oil producing regions;</w:t>
      </w:r>
    </w:p>
    <w:p>
      <w:pPr>
        <w:spacing w:after="0" w:line="116" w:lineRule="exact"/>
        <w:rPr>
          <w:rFonts w:ascii="Times New Roman" w:cs="Times New Roman" w:eastAsia="Times New Roman" w:hAnsi="Times New Roman"/>
          <w:sz w:val="18"/>
          <w:szCs w:val="18"/>
          <w:color w:val="auto"/>
        </w:rPr>
      </w:pPr>
    </w:p>
    <w:p>
      <w:pPr>
        <w:ind w:left="660" w:right="80" w:hanging="143"/>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armed conflicts, including the current conflict between Russia-Ukraine and Israel-Hamas, which could cause temporary price increases, thereby dampening demand; and</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w:t>
      </w:r>
    </w:p>
    <w:p>
      <w:pPr>
        <w:spacing w:after="0" w:line="22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oil and gas industry is cyclical and has historically experienced periodic downturns. These downturns have been characterized by diminished demand for our products and services and downward pressure on the prices we charge. These downturns generally cause many E&amp;P companies to reduce their capital budgets and drilling activity. Any future downturn or expected downturn could result in a significant decline in demand for OFS and adversely affect our business, results of operations and cash flows.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Customer expenditure levels could also drop if our customers face difficulty in accessing capital. If commodity prices drop, our customers may face liquidity constraints and the deterioration of their respective credit worthiness. Moreover, our customers may have limited viable financing alternatives in light of unfavorable lending and investment policies held by financial institutions associated with concerns about environmental impacts of the oil and gas industry or its products. Similarly, certain institutional investors have divested themselves of investments in this industry. If any of our customers experience any of these challenges, they may reduce spending, which could adversely affect our business, results of operations and cash flows.</w:t>
      </w:r>
    </w:p>
    <w:p>
      <w:pPr>
        <w:spacing w:after="0" w:line="28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in U.S. drilling activity, and our ability to benefit from such growth, could be adversely affected by any significant constraints in equipment, labor or takeaway capacity in the regions in which we operate.</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Growth in U.S. drilling activity may be impacted by, among other things, the availability and cost of drilling equipment, pipeline capacity, and material and labor shortages. Significant growth in drilling activity could strain availability of the equipment, materials and labor required to drill and complete a well, together with the ability to move the produced oil and natural gas to market. Should significant constraints develop that materially impact the efficiency and economics of oil and gas producers, growth in U.S. drilling activity could be adversely affected. This would have an adverse impact on the demand for the products we sell and rent, which could have a material adverse effect on our business, results of operations and cash flows.</w:t>
      </w:r>
    </w:p>
    <w:p>
      <w:pPr>
        <w:spacing w:after="0" w:line="28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relatively small number of customers in a single industry. The loss of an important customer could adversely affect our business, results of operations and financial condition.</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customers are primarily diversified OFS companies and E&amp;P operators. Historically, we have been dependent on a relatively small number of customers for our revenues. During the years ended December 31, 2023 and 2022, 28.2% and 27.6%, respectively, of our total revenue was earned from our two largest customers. Our business, results of operations and financial condition could be materially adversely affected if an important customer ceases to engage us for our services on favorable terms, or at all, or fails to pay or delays paying us significant amounts of our outstanding receivables.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operated under a first call supply agreement with our largest customer since 2013. We and this customer have agreed to multiple extensions of this agreement, the most recent of which extends the agreement until February 28, 2025. However, if we are unable to successfully negotiate extensions in the future, then our ability to do business with this customer may be greatly reduced. Moreover, the supply agreements that we have entered into with our other customers are also of limited duration and require periodic extensions. Similarly, a failure to agree to such extensions may hinder our ability to do business with these customers.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2" w:name="page13"/>
    <w:bookmarkEnd w:id="12"/>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the E&amp;P industry is characterized by frequent consolidation activity. Changes in ownership of our customers may result in the loss of, or reduction in, business from those customers. Moreover, customers may use their size and purchasing power to seek economies of scale and pricing concessions. Consolidation may also result in reduced capital spending by some of our customers, which may lead to a decreased demand for our services and equipment. We cannot assure you that we will be able to maintain our level of sales to a customer that has consolidated or replace that revenue with increased business activity with other customers. As a result, the acquisition of one or more of our primary customers may have a significant negative impact on our business, results of operations, financial condition or cash flows. We are unable to predict what effect consolidations in the industry may have on price, capital spending by our customers, our market share and selling strategies, our competitive position, our ability to retain customers or our ability to negotiate favorable agreements with our customers.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Termination of, or failure to comply with, the terms of our non-exclusive distribution agreement with SDPI could have a material adverse effect on our business.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2016, we entered into an exclusive distribution agreement with SDPI with respect to the Drill-N-Ream</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In 2017, SDPI determined that we did not meet defined market share goals, and as a result our distribution rights with respect to the Drill-N-Ream</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are no longer contractually exclusive. Accordingly, SDPI could choose to distribute the Drill-N-Ream</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through other companies who will then compete with us in this space. These risks could be exacerbated if SDPI were to enter into an exclusive distribution agreement with, or sell the intellectual property rights to the Drill-N-Ream</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to, one of our competitors, or if one of our competitors were to acquire SDPI. While we remain the Drill-N-Ream</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’s sole North American distributor, we cannot guarantee that this will remain the case. Our inability to remain the sole North American distributor of the Drill-N-Ream</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could have a material adverse effect on our business, results of operations and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employ a sufficient number of skilled and qualified workers to sustain or expand our current operations.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delivery of our products and services requires personnel with specialized skills and experience. Our ability to be productive and profitable will depend upon our ability to attract and retain skilled workers. In addition, our ability to expand our operations depends in part on our ability to increase the size of our skilled labor force. The demand for skilled workers is high, and the cost to attract and retain qualified personnel has increased. During industry downturns, skilled workers may leave the industry, reducing the availability of qualified workers when conditions improve. In addition, a significant increase in the wages paid by competing employers both within and outside of our industry could result in increases in the wage rates that we must pay. Throughout 2021 and 2022, our expenses related to salaries and wages increased materially, especially those expenses related to certain key oil and gas producing regions, as we sought to meet increasing customer demand. During the year ended December 31, 2023, we experienced similar increases. If we are not able to employ and retain skilled workers, our ability to respond quickly to customer demands or strong market conditions may inhibit our growth, which could have a material adverse effect on our business, results of operations and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continuing services of certain of our key managers and employees.</w:t>
      </w:r>
    </w:p>
    <w:p>
      <w:pPr>
        <w:spacing w:after="0" w:line="121"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We depend on key personnel. The loss of key personnel could adversely impact our business if we are unable to implement our strategy and successfully manage our business in their absence. The loss of qualified employees or an inability to retain and motivate additional highly-skilled employees required for the operation and expansion of our business could hinder our ability to successfully maintain and expand our market share.</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Equity interests in us are a substantial portion of the net worth of our executive officers and several of our other senior managers. As a result, those executive officers and senior managers may have less incentive to remain employed by us if they were to sell their equity interests. After terminating their employment with us, some of them may become employed by our competitors.</w:t>
      </w:r>
    </w:p>
    <w:p>
      <w:pPr>
        <w:spacing w:after="0" w:line="28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as such are subject to various risks unique only to emerging growth companies and smaller reporting companies, including but not limited to, no requirement to provide an assessment of the effectiveness of internal controls over financial reporting.</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Out Business Startups Act of 2012 ("JOBS Act"). We will remain an emerging growth company until the earlier of (i) December 31, 2026, the last day of the fiscal year following the fifth anniversary of the date of the ROC initial public offering; (ii) the last day of the fiscal year in which we have total annual gross revenues of $1.235 billion or more; (iii) the date on which we have issued more than $1.0 billion in nonconvertible debt during the previous three years; or (iv) the date on which we are deemed to be a large accelerated filer under applicable Securities and Exchange Commission ("SEC") rules.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13" w:name="page14"/>
    <w:bookmarkEnd w:id="13"/>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2026. References herein to “emerging growth company” have the meaning associated with it in the JOBS Act.</w:t>
      </w:r>
    </w:p>
    <w:p>
      <w:pPr>
        <w:spacing w:after="0" w:line="17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68" w:lineRule="exact"/>
        <w:rPr>
          <w:sz w:val="20"/>
          <w:szCs w:val="20"/>
          <w:color w:val="auto"/>
        </w:rPr>
      </w:pPr>
    </w:p>
    <w:p>
      <w:pPr>
        <w:ind w:left="660" w:right="100" w:hanging="143"/>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requirement of auditor attestation of our internal controls over financial reporting;</w:t>
      </w:r>
    </w:p>
    <w:p>
      <w:pPr>
        <w:spacing w:after="0" w:line="116" w:lineRule="exact"/>
        <w:rPr>
          <w:rFonts w:ascii="Times New Roman" w:cs="Times New Roman" w:eastAsia="Times New Roman" w:hAnsi="Times New Roman"/>
          <w:sz w:val="18"/>
          <w:szCs w:val="18"/>
          <w:color w:val="auto"/>
        </w:rPr>
      </w:pPr>
    </w:p>
    <w:p>
      <w:pPr>
        <w:ind w:left="660" w:right="140" w:hanging="143"/>
        <w:spacing w:after="0" w:line="26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("PCAOB") regarding mandatory audit firm rotation or a supplement to the auditor’s report providing additional information about the audit and the financial statements;</w:t>
      </w:r>
    </w:p>
    <w:p>
      <w:pPr>
        <w:spacing w:after="0" w:line="69"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6" w:lineRule="exact"/>
        <w:rPr>
          <w:rFonts w:ascii="Times New Roman" w:cs="Times New Roman" w:eastAsia="Times New Roman" w:hAnsi="Times New Roman"/>
          <w:sz w:val="18"/>
          <w:szCs w:val="18"/>
          <w:color w:val="auto"/>
        </w:rPr>
      </w:pPr>
    </w:p>
    <w:p>
      <w:pPr>
        <w:ind w:left="660" w:right="40" w:hanging="143"/>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shareholder approval of any golden parachute payments not previously approved.</w:t>
      </w:r>
    </w:p>
    <w:p>
      <w:pPr>
        <w:spacing w:after="0" w:line="19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Additionally, as an emerging growth company and smaller reporting company our status as such carries various unique risks such as the risk that our financial statements may not be comparable to those of other public companies, and the risk that we will not be required to provide an assessment of the effectiveness of our internal controls over financial reporting until our second annual report following our initial public offering.</w:t>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expect that we will take advantage of the reduced disclosure obligations available to us as a result of that classification. We have taken advantage of certain of those reduced reporting burdens in these financial statements. Accordingly, the information contained herein may be different than the information you receive from other public companies in which you hold stock.</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8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of the Exchange Act, and have elected to take advantage of certain of the scaled disclosure available for smaller reporting companies.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availability of the tools we purchase to rent to our customers and inflation may increase our cost of operations beyond what we can recover through price increases.</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source tools, such as drill collars, stabilizers, crossover subs, wellbore conditioning tools, drill pipe, hevi-wate drill pipe and tubing, at reasonable cost is critical to our ability to successfully compete. Due to a shortage of steel caused primarily by production disruptions during the COVID-19 pandemic and increased demand as economies rebounded, steel and assembled component prices have been and continue to be elevated. Our business and results of operations may be adversely affected by our inability to manage rising costs and the availability of the tools that we rent to our customers. Additionally, freight costs, specifically ocean freight costs, have risen significantly due to a number of factors including, but not limited to, a scarcity of shipping containers, congested seaports, a shortage of commercial drivers, capacity constraints on vessels or lockdowns in certain markets. We cannot assure you that we will be able to continue to purchase and move these tools on a timely basis or at commercially viable prices, nor can we be certain of the impact of changes to tariffs and future legislation that may impact trade with China or other countries. Should our current suppliers be unable to provide the necessary tools or otherwise fail to deliver such tools timely and in the quantities required, resulting delays in the provision of rentals to our customers could have a material adverse effect on our business, results of operations and cash flows.</w:t>
      </w:r>
    </w:p>
    <w:p>
      <w:pPr>
        <w:spacing w:after="0" w:line="19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United States has recently experienced the highest inflation in decades primarily due to supply-chain issues, a shortage of labor and a build-up of demand for goods and services. The most noticeable adverse impact to our business has been increased freight, materials and vehicle-related costs as well as higher salaries and wages. To date, we do not believe that inflation has had a material impact on our financial condition or results of operations because we have been able to increase the prices we receive from our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4" w:name="page15"/>
    <w:bookmarkEnd w:id="14"/>
    <w:p>
      <w:pPr>
        <w:ind w:right="160"/>
        <w:spacing w:after="0" w:line="265" w:lineRule="auto"/>
        <w:rPr>
          <w:sz w:val="20"/>
          <w:szCs w:val="20"/>
          <w:color w:val="auto"/>
        </w:rPr>
      </w:pPr>
      <w:r>
        <w:rPr>
          <w:rFonts w:ascii="Times New Roman" w:cs="Times New Roman" w:eastAsia="Times New Roman" w:hAnsi="Times New Roman"/>
          <w:sz w:val="18"/>
          <w:szCs w:val="18"/>
          <w:color w:val="auto"/>
        </w:rPr>
        <w:t>customers. We cannot be sure how long elevated inflation rates will continue. We cannot be confident that all costs will return to the lower levels experienced in prior years even as the rate of inflation abates. Our business and results of operations may be adversely affected by these rising costs to the extent we are unable to recoup them from our customers.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obtaining, or inability to obtain or renew, permits or authorizations by our customers for their operations could impair our business.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customers are required to obtain permits or authorizations from one or more governmental agencies or other third parties to perform drilling and completion activities, including hydraulic fracturing. Such permits or approvals are typically required by state agencies but can also be required by federal and local governmental agencies or other third parties. The requirements for such permits or authorizations vary depending on the location where such drilling and completion activities will be conducted. As with most permitting and authorization processes, there is a degree of uncertainty as to whether a permit will be granted, the time it will take for a permit or approval to be issued and the conditions which may be imposed in connection with the granting of the permit. In some jurisdictions, certain regulatory authorities have delayed or suspended the issuance of permits or authorizations while the potential environmental impacts associated with issuing such permits can be studied and appropriate mitigation measures evaluated.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Texas, rural water districts have begun to impose restrictions on water use and may require permits for water used in drilling and completion activities. In addition, in January 2021, President Biden indefinitely suspended new oil and natural gas leases on public lands or in offshore waters pending completion of a comprehensive review and reconsideration of federal oil and gas permitting and leasing practices. Although the moratorium was enjoined nationwide in June 2021, and again in August 2022 after the U.S. Court of Appeals for the Fifth Circuit vacated the June 2021 injunction, the Biden Administration may take further actions to limit new oil and natural gas leases.</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2021, the Department of the Interior completed its review and issued a report on the federal oil and gas leasing program. The Department of the Interior’s report recommends several changes to federal leasing practices, including changes to royalty payments, bidding and bonding requirements. The effects of this report or other initiatives to reform the federal leasing process could result in additional restrictions or limitations on the issuance of federal leases and permits for drilling on public lands. Permitting, authorization or renewal delays, the inability to obtain new permits or the revocation of current permits could impact our customers’ operations and cause a loss of revenue and potentially have a materially adverse effect on our business, results of operations and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the oil and gas drilling tool rental industry may adversely affect our ability to market our services.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oil and gas drilling tool rental tool industry is highly competitive and fragmented. The number of rental tool companies active in a given market may exceed the corresponding demand therefor, which could result in active price competition. Some oil and gas drilling companies prioritize rental prices when choosing to contract with a rental tool company, which may further increase competition based primarily on price. In addition, adverse market conditions lower demand for drilling equipment, which results in excess equipment and lower utilization rates. If market conditions in our operating areas deteriorate from current levels or if adverse market conditions persist, the prices we are able to charge and utilization rates may decline. Moreover, our customers may choose to purchase some or all of the tools that they typically rent from us, thereby reducing the volume of business that we conduct with such customers. Any significant future increase in overall market capacity for the rental equipment or services that we offer could adversely affect our business, results of operations and cash flows.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fully execute, integrate, or realize the benefits expected from acquisitions, which may require significant management attention, disrupt our business and adversely affect our results of operations.</w:t>
      </w:r>
    </w:p>
    <w:p>
      <w:pPr>
        <w:spacing w:after="0" w:line="50"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As part of our business strategy and to remain competitive, we continually evaluate acquiring or making investments in complementary companies, products or technologies. We may not be able to find suitable acquisition candidates or complete such acquisitions on favorable terms. We may incur significant expenses, divert employee and management time and attention from other business-related tasks and our organic strategy and incur other unanticipated complications while engaging with potential target companies where no transaction is eventually completed.</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do complete acquisitions, we may not ultimately strengthen our competitive position or achieve our goals or expected growth, and any acquisitions we complete could be viewed negatively by our customers, or we could experience unexpected competition from market participants. Any integration process may require significant time and resources. We may not be able to manage the process successfully and may experience a decline in our profitability as we incur expenses prior to fully realizing the benefits of the acquisition. We could also expend significant cash and incur acquisition related costs and other unanticipated liabilities associated with the acquisition, the product or the technology, such as contractual obligations, potential security vulnerabilities of the acquired company and its products and services and potential intellectual property infringement. In addition, any acquired technology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 w:name="page16"/>
    <w:bookmarkEnd w:id="15"/>
    <w:p>
      <w:pPr>
        <w:ind w:right="80"/>
        <w:spacing w:after="0" w:line="281" w:lineRule="auto"/>
        <w:rPr>
          <w:sz w:val="20"/>
          <w:szCs w:val="20"/>
          <w:color w:val="auto"/>
        </w:rPr>
      </w:pPr>
      <w:r>
        <w:rPr>
          <w:rFonts w:ascii="Times New Roman" w:cs="Times New Roman" w:eastAsia="Times New Roman" w:hAnsi="Times New Roman"/>
          <w:sz w:val="18"/>
          <w:szCs w:val="18"/>
          <w:color w:val="auto"/>
        </w:rPr>
        <w:t>product may not comply with legal or regulatory requirements and may expose us to regulatory risk and require us to make additional investments to make them compliant.</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may not successfully evaluate or utilize the acquired technology or personnel, or accurately forecast the financial impact of an acquisition transaction, including accounting charges and tax liabilities. We could become subject to legal claims following an acquisition or fail to accurately forecast the potential impact of any claims. Any of these issues could have a material adverse impact on our business and results of operations.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technology may cause us to become less competitive.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New technology that enhances the functionality, performance reliability and design of downhole drilling tools currently on the market may become prevalent in the OFS industry. We may face difficulty obtaining these new tools for the purpose of renting them to our customers. Although we believe our fleet of rental equipment currently gives us a competitive advantage, if competitors develop fleets that are more technically advanced than ours, we may lose market share or be placed at a competitive disadvantage. Further, we may face competitive pressure to acquire certain new tools at a substantial cost. Some of our competitors have greater financial, technical and personnel resources that may allow them to enjoy various competitive advantages in the acquisition of new tools. We cannot be certain that we will be able to continue to acquire new tools or convert our existing tools to meet new performance requirements. Such an inability may have a material adverse effect on our business, results of operations and cash flows, including a reduction in the value of assets, and the rates that may be charged for their rental.</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rent tools used in the drilling of oil and gas wells. This equipment may subject us to liability, including claims for personal injury, property damage and environmental contamination, or reputational harm if it fails to perform to specifications.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rent tools used in oil and gas exploration, development and production. Some of these tools are designed to operate in high-temperature and/or high-pressure environments, and some tools are designed for use in hydraulic fracturing operations. Because of applications to which our tools are exposed, particularly those involving high pressure environments, a failure of such tools, or a failure of our customers to maintain or operate the tools properly, could cause damage to the tools, damage to the property of customers and others, personal injury and environmental contamination and could lead to a variety of claims against us or reputational harm that could have an adverse effect on our business, results of operations and cash flows.</w:t>
      </w:r>
    </w:p>
    <w:p>
      <w:pPr>
        <w:spacing w:after="0" w:line="18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indemnify our customers against certain claims and liabilities resulting or arising from our provision of goods or services to them. In addition, we rely on customer indemnifications, generally, and third-party insurance as part of our risk mitigation strategy. However, our insurance may not be adequate to cover our liabilities. In addition, our customers may be unable to satisfy indemnification claims against them. Further, insurance companies may refuse to honor their policies, or insurance may not generally be available in the future, or if available, premiums may not be commercially justifiable. We could incur substantial liabilities and damages that are either not covered by insurance or that are in excess of policy limits, or incur liability at a time when we are not able to obtain liability insurance. Such potential liabilities could have a material adverse effect on our business, results of operations and cash flows.</w:t>
      </w:r>
    </w:p>
    <w:p>
      <w:pPr>
        <w:spacing w:after="0" w:line="2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our customers, are subject to hazards inherent in the oil and gas industry, which could expose us, and our customers, to substantial liability and cause us to lose substantial revenue.</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Risks inherent in our industry include the risks of equipment defects, installation errors, the presence of multiple contractors at the wellsite over which we have no control, vehicle accidents, fires, explosions, blowouts, surface cratering, uncontrollable flows of gas or well fluids, pipe or pipeline failures, abnormally pressured formations and various environmental hazards such as oil spills and releases of, and exposure to, hazardous substances. For example, our operations are subject to risks associated with hydraulic fracturing, including any mishandling, surface spillage or potential underground migration of fracturing fluids, including chemical additives. Both we and our customers are subject to these risks.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occurrence of any of these events could result in substantial losses to us or to our customers due to injury or loss of life, severe damage to or destruction of property, natural resources and equipment, pollution or other environmental damage, clean-up responsibilities, regulatory investigations and penalties, suspension of operations and repairs required to resume operations. The cost of managing such risks may be significant. The frequency and severity of such incidents will affect operating costs, insurability and relationships with customers, employees and regulators.</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Should these risks materialize for us, our customers may elect not to rent our tools or utilize our services if they view our environmental or safety record as unacceptable, which could cause us to lose customers and substantial revenues. Should these risks materialize for our customers, they may also suffer similar negative consequences with respect to their own customers and clients. If</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6" w:name="page17"/>
    <w:bookmarkEnd w:id="16"/>
    <w:p>
      <w:pPr>
        <w:ind w:right="40"/>
        <w:spacing w:after="0" w:line="281" w:lineRule="auto"/>
        <w:rPr>
          <w:sz w:val="20"/>
          <w:szCs w:val="20"/>
          <w:color w:val="auto"/>
        </w:rPr>
      </w:pPr>
      <w:r>
        <w:rPr>
          <w:rFonts w:ascii="Times New Roman" w:cs="Times New Roman" w:eastAsia="Times New Roman" w:hAnsi="Times New Roman"/>
          <w:sz w:val="18"/>
          <w:szCs w:val="18"/>
          <w:color w:val="auto"/>
        </w:rPr>
        <w:t>this were to happen, our customers may no longer be in a position to do business with us, thereby adversely affecting our business, results of operations and cash flows.</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insurance may not be adequate to cover all losses or liabilities we may suffer. Also, insurance may no longer be available to us, or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business, results of operations, financial condition and cash flows. In addition, we may not be able to secure additional insurance or bonding that might be required by new governmental regulations. This may cause us to restrict our operations, which might severely impact our business, results of operations and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Oilfield anti-indemnity provisions enacted by many states may restrict or prohibit a party’s indemnification of us.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typically enter into agreements with our customers governing the provision of our services, which usually include certain indemnification provisions for losses resulting from operations. Such agreements may require each party to indemnify the other against certain claims regardless of the negligence or other fault of the indemnified party. However, many states place limitations on contractual indemnity agreements,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OFS agreements. Such oilfield anti-indemnity acts may restrict or void a party’s indemnification of us, which could have a material adverse effect on our business, results of operations and cash flows.</w:t>
      </w:r>
    </w:p>
    <w:p>
      <w:pPr>
        <w:spacing w:after="0" w:line="2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Credit Facility Agreement could limit our growth and our ability to finance our operations, fund our capital needs, respond to changing conditions and engage in other business activities that may be in our best interests.</w:t>
      </w:r>
    </w:p>
    <w:p>
      <w:pPr>
        <w:spacing w:after="0" w:line="5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Amended and Restated Revolving Credit, Security and Guaranty Agreement among Drilling Tools International, Inc., certain of its subsidiaries, DTIC and PNC Bank, National Association, dated June 20, 2023 (“Credit Facility Agreement”) imposes operating and financial restrictions. These restrictions limit our ability to, among other things, subject to permitted exceptions:</w:t>
      </w:r>
    </w:p>
    <w:p>
      <w:pPr>
        <w:spacing w:after="0" w:line="69" w:lineRule="exact"/>
        <w:rPr>
          <w:sz w:val="20"/>
          <w:szCs w:val="20"/>
          <w:color w:val="auto"/>
        </w:rPr>
      </w:pPr>
    </w:p>
    <w:p>
      <w:pPr>
        <w:ind w:left="660" w:hanging="14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loans;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mergers and similar fundamental changes;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and pay dividends and distributions;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contained in the Credit Facility Agreement could:</w:t>
      </w:r>
    </w:p>
    <w:p>
      <w:pPr>
        <w:spacing w:after="0" w:line="117"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to plan for, or react to, market conditions, to meet capital needs or otherwise to restrict our activities or business plan;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ability to finance our operations or to engage in other business activities that would be in our interest.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Credit Facility Agreement requires compliance with a specified financial ratio. The ability to comply with this ratio may be affected by events beyond our control and, as a result, this ratio may not be met in circumstances when it is tested. This financial ratio restriction could limit the ability to obtain future financings, make needed capital expenditures, withstand a continued downturn in our business or a downturn in the economy in general or otherwise conduct necessary corporate activities. Declines in oil and natural gas prices, and therefore a reduction in our customers’ activity, could result in failure to meet one or more of the covenants under the Credit Facility Agreement which could require refinancing or amendment of such obligations resulting in the payment of consent fees or higher interest rates, or require a capital raise at an inopportune time or on terms not favorable.</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 breach of any of these covenants or the inability to comply with the required financial ratios or financial condition tests could result in a default under the Credit Facility Agreement. A default under the Credit Facility Agreement, if not cured or waived, could result in acceleration of all indebtedness outstanding thereunder.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indebtedness to execute our long-term growth strategy, which may reduce our profitability.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t>Maintaining a relevant rental fleet requires significant capital. We may require additional capital in the future to maintain and refresh our fleet. For the years ended December 31, 2023 and 2022, we spent $44 million, and $25 million, respectively, to purchase property, plant and equipment. Historically, we have financed these investments through cash flows from operations and external borrowings. These sources of capital may not be available to us in the future. If we are unable to fund capital expenditures for any reason, we may not be able to capture available growth opportunities or effectively maintain our existing assets and any such failure could have a material adverse effect on our business, results of operations and financial condition. If we incur additional indebtedness, our profitability may be reduced.</w:t>
      </w:r>
    </w:p>
    <w:p>
      <w:pPr>
        <w:spacing w:after="0" w:line="31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regulatory, economic and social disruptions in the countries in which we conduct business could adversely affect our business or results of operations.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our facilities in the United States, we operate stocking points in Scotland and Germany and facilities in Canada and the United Arab Emirates. Additionally, we rent downhole drilling tools in Ukraine to Ukraine-based directional drilling companies and drilling contractors through Denimex, which acts as our representative in Ukraine. Instability and unforeseen changes in any of the markets in which we conduct business could have an adverse effect on the demand for, or supply of, the products that we rent and the services that we provide, which in turn could have an adverse effect on our business, results of operations and cash flows. These factors include, but are not limited to:</w:t>
      </w:r>
    </w:p>
    <w:p>
      <w:pPr>
        <w:spacing w:after="0" w:line="74" w:lineRule="exact"/>
        <w:rPr>
          <w:sz w:val="20"/>
          <w:szCs w:val="20"/>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and expropriation;</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burdensome taxation;</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and recessionary markets, including capital and equity markets;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labor issues, political instability, natural disasters, terrorist attacks, cyber-terrorism, military activity and wars;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pandemic or contagious diseases;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in key oil producing countries;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restrictions, trade protection measures or price controls;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restrictions;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trade practices, trade partners and investment decisions resulting from domestic and foreign laws and regulations;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laws and regulations;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repatriate income or capital;</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availability of qualified personnel;</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new technologies;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or currency restrictions;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interest rate component of forward foreign currency rates.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successfully.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growth of our operations will depend upon our ability to expand our customer base in our existing markets and to enter new markets in a timely manner at reasonable costs, organically or through acquisitions. In order for us to recover expenses incurred in entering new markets and obtaining new customers, we must attract and retain customers on economic terms and for extended periods. Customer growth depends on several factors outside of our control, including economic and demographic conditions, such as population changes, job and income growth, housing starts, new business formation and the overall level of economic activity. We may experience difficulty managing our growth, integrating new customers and employees, and complying with applicable regulations. Expanding our operations also may require continued development of our operating and financial controls and may place additional stress on our management and operational resources. We may be unable to manage our growth and development successfully.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and cyberattacks could adversely impact us.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t>We depend on our IT systems, in particular COMPASS, for the efficient operation of our business. Accordingly, we rely upon the capacity, reliability and security of our IT hardware and software infrastructure and our ability to expand and update this infrastructure in response to our changing needs. Despite our implementation of security measures, our systems are vulnerable to damage from computer viruses, natural disasters, incursions by intruders or hackers, failures in hardware or software, power fluctuations, cyber terrorists and other similar disruptions. Moreover, we cannot guarantee that COMPASS, or features thereof, are not the protected intellectual property of third parties. If this is the case, these third parties may seek to protect their respective intellectual property rights, thereby hindering, or completely eliminating, our ability to use COMPASS and leverage its benefits.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we rely on third parties to support the operation of our IT hardware and software infrastructure, and in certain instances, utilize web-based applications. We also provide proprietary and client data to certain third parties, and such third parties may be the subject of IT failures or cyberattacks. The failure of our IT systems or those of our vendors or third parties to whom we disclose certain information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negatively impacted by changes in accounting principles.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and unusual weather conditions may affect our operations.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operations may be materially affected by severe weather conditions in areas where we operate. Severe weather, such as hurricanes, high winds and seas, blizzards and extreme temperatures may cause evacuation of personnel, curtailment of services and suspension of operations, inability to deliver tools to customers in accordance with contract schedules and loss of or damage to our tools and facilities. In addition, variations from normal weather patterns can have a significant impact on demand for oil and natural gas, thereby reducing demand for our tools and services.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require us to comply with various domestic and international regulations, violations of which could have a material adverse effect on our business, results of operations, financial condition and cash flows.</w:t>
      </w:r>
    </w:p>
    <w:p>
      <w:pPr>
        <w:spacing w:after="0" w:line="5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exposed to a variety of federal, state, local and international laws and regulations relating to matters such as environmental, workplace, health and safety, labor and employment, customs and tariffs, export and re-export controls, economic sanctions, currency exchange, bribery and corruption and taxation. These laws and regulations are complex, frequently change and have tended to become more stringent over time. They may be adopted, enacted, amended, enforced or interpreted in such a manner that the incremental cost of compliance could adversely impact our business, results of operations and cash flows.</w:t>
      </w:r>
    </w:p>
    <w:p>
      <w:pPr>
        <w:spacing w:after="0" w:line="18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addition to our U.S. operations, we operate stocking points in Scotland and Germany and facilities in Canada and the United Arab Emirates. Additionally, we rent downhole drilling tools in Ukraine to Ukraine-based directional drilling companies and drilling contractors through Denimex, which acts as our representative in Ukraine. Our operations outside of the United States require us to comply with numerous anti-bribery and anti-corruption regulations. The U.S. Foreign Corrupt Practices Act, among others, applies to us and our operations. Our policies, procedures and programs may not always protect us from reckless or criminal acts committed by our employees or agents, and severe criminal or civil sanctions may be imposed as a result of violations of these laws. We are also subject to the risks that our employees and agents outside of the United States may fail to comply with applicable laws.</w:t>
      </w:r>
    </w:p>
    <w:p>
      <w:pPr>
        <w:spacing w:after="0" w:line="1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we purchase tools for use in the United States, Canada, the United Kingdom, Germany, the United Arab Emirates and Ukraine for use in such countries. Most movement of these tools involves imports and exports. As a result, compliance with multiple trade sanctions, embargoes and import/export laws and regulations pose a constant challenge and risk to us since a portion of our business is conducted outside of the United States through our subsidiaries. Our failure to comply with these laws and regulations could materially affect our business, results of operations and cash flows.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may adversely affect our business and results of operations.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Environmental laws and regulations in the United States and foreign countries affect the services we provide and the equipment we rent and service, as well as the facilities we operate. Such laws and regulations also impact the oil and gas industry more broadly, thereby impacting demand for our products and equipment. For example, we may be affected by such laws as the Resource Conservation and Recovery Act, the Comprehensive Environmental Response, Compensation, and Liability Act, the Clean Water Act, the Clean Air Act and the Occupational Safety and Health Act of 1970. Further, our customers may be subject to a range of laws and regulations governing hydraulic fracturing, drilling and greenhouse gas emissions.</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and mitigation obligations, and the issuance of orders enjoining operations. These laws and regulations, as well as the finalizing of other new laws and regulations affecting our operations or the exploration and production and transportation of crude oil and natural gas by our customers, could adversely affect our business and operating results by increasing our costs of compliance, increasing the costs of compliance and costs of doing business for our customers, limiting the demand for our products and services, or restricting our operations. Increased regulation or a move away from the use of fossil fuels caused by additional regulation could also reduce demand for our products and services.</w:t>
      </w:r>
    </w:p>
    <w:p>
      <w:pPr>
        <w:spacing w:after="0" w:line="2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or future laws and regulations related to greenhouse gases and climate change and related public and governmental initiatives and additional compliance obligations could have a material adverse effect on our business, results of operations, prospects, and financial condition.</w:t>
      </w:r>
    </w:p>
    <w:p>
      <w:pPr>
        <w:spacing w:after="0" w:line="5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Changes in environmental requirements related to greenhouse gas emissions, climate change, or alternative energy sources may negatively impact demand for our products and services. For example, oil and natural gas E&amp;P may decline as a result of environmental requirements or laws, regulations and policies promoting the use of alternative forms of energy, including land use policies and other actions to restrict oil and gas leasing and permitting in response to environmental and climate change concerns. In January 2021, the Acting Secretary of the Department of the Interior issued an order suspending new leasing and drilling permits for fossil fuel production on federal lands and waters for 60 days. President Biden then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in June 2021, a judge in the U.S. District Court for the Western District of Louisiana issued a nationwide temporary injunction blocking the suspension. The Department of the Interior successfully appealed the U.S. District Court’s ruling in August 2022, but the moratorium was again enjoined that month. However, the Biden Administration may take further actions to limit new oil and natural gas leases. Further, to the extent that the Department of Interior’s report or other initiatives to reform federal leasing practices result in the development of additional restrictions on drilling, limitations on the availability of leases, or restrictions on the ability to obtain required permits, it could impact our customers’ opportunities and reduce demand for our products and services in the aforementioned areas.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Federal, state and local agencies continue to evaluate climate-related legislation and other regulatory initiatives that would restrict emissions of greenhouse gases in areas in which we conduct business. For example, the United States Environmental Protection Agency has proposed new methane emissions regulations for certain oil and gas facilities, while the Inflation Reduction Act of 2022 established a charge on methane emissions above certain limits from such facilities . Because our business depends on the level of activity in the oil and gas industry, existing or future laws and regulations related to greenhouse gases could have a negative impact on our business if such laws or regulations reduce demand for oil and natural gas. Likewise, such laws or regulations may result in additional compliance obligations with respect to the release, capture, sequestration and use of greenhouse gases. These additional obligations could increase our costs and have a material adverse effect on our business, results of operations, prospects and financial condition.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customers utilize hydraulic fracturing in their operations. Environmental concerns have been raised regarding the potential impact of hydraulic fracturing on underground water supplies and seismic activity. These concerns have led to several regulatory and governmental initiatives in the United States to restrict the hydraulic fracturing process, which could have an adverse impact on our customers’ production activities. Although we do not conduct hydraulic fracturing, increased regulation and attention given to the hydraulic fracturing process could lead to greater opposition to oil and gas production activities using hydraulic fracturing techniques. In December 2021, the Texas Railroad Commission, which regulates the state’s oil and gas industry, suspended the use of deep wastewater disposal wells in four oil-producing counties in West Texas. The suspension is intended to mitigate earthquakes thought to be caused by the injection of waste fluids, including saltwater, that are a byproduct of hydraulic fracturing into disposal wells. The ban will require oil and gas production companies to find other options to handle the wastewater, which may include piping or trucking it longer distances to other locations not under the ban. The finalization of new laws or regulations at the federal, state, local or foreign level imposing reporting obligations on, or otherwise limiting, delaying or banning, the hydraulic fracturing process or</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0" w:name="page21"/>
    <w:bookmarkEnd w:id="20"/>
    <w:p>
      <w:pPr>
        <w:ind w:right="340"/>
        <w:spacing w:after="0" w:line="265" w:lineRule="auto"/>
        <w:rPr>
          <w:sz w:val="20"/>
          <w:szCs w:val="20"/>
          <w:color w:val="auto"/>
        </w:rPr>
      </w:pPr>
      <w:r>
        <w:rPr>
          <w:rFonts w:ascii="Times New Roman" w:cs="Times New Roman" w:eastAsia="Times New Roman" w:hAnsi="Times New Roman"/>
          <w:sz w:val="18"/>
          <w:szCs w:val="18"/>
          <w:color w:val="auto"/>
        </w:rPr>
        <w:t>other processes on which hydraulic fracturing and subsequent hydrocarbon production relies, such as water disposal, could make it more difficult to complete oil and natural gas wells. Further, it could increase our customers’ costs of compliance and doing business, and otherwise adversely affect the hydraulic fracturing services they perform, which could negatively impact demand for our products.</w:t>
      </w:r>
    </w:p>
    <w:p>
      <w:pPr>
        <w:spacing w:after="0" w:line="1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Increasing attention by the public and government agencies to climate change and Environmental, Social and Governance (“ESG”) matters could also negatively impact demand for our products and services and the products of our oil and gas producing customers. In recent years, increasing attention has been given to corporate activities related to ESG in public discourse and the investment community. A number of advocacy groups, both domestically and internationally, have campaigned for governmental and private action to promote change at public companies related to ESG matters, including through the investment and voting practices of investment advisers, public pension funds, universities and other members of the investing community. These activities include increasing attention and demands for action related to climate change and energy rebalancing matters, such as promoting the use of substitutes to fossil fuel products and encouraging the divestment of fossil fuel equities, as well as pressuring lenders and other financial services companies to limit or curtail activities with fossil fuel companies. If this were to continue, it could have a material adverse effect on the valuation of the Common Stock and our ability to access equity capital markets.</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our business could be impacted by initiatives to address greenhouse gases and climate change and incentives to conserve energy or use alternative energy sources. For example, the Inflation Reduction Act of 2022, signed into law by President Biden in August 2022, includes financial and other incentives to increase wind and solar electric generation and encourage consumers to use these alternative energy sources. Additional similar state or federal initiatives to incentivize a shift away from fossil fuels could reduce demand for hydrocarbons, thereby reducing demand for our products and services and negatively impacting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rates, adverse positions taken by taxing authorities and tax audits could impact our operating results.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jurisdiction of numerous domestic and foreign taxing authorities. Changes in tax laws or tax rates, the resolution of tax assessments or audits by various tax authorities could impact our operating results. In addition, we may periodically restructure our legal entity organization. If taxing authorities were to disagree with our tax positions in connection with any such restructurings, our effective income tax rate could be impacted. The final determination of our income tax liabilities involves the interpretation of local tax laws, tax treaties and related authorities in each taxing jurisdiction, as well as the significant use of estimates and assumptions regarding future operations and results and the timing of income and expenses. We may be audited and receive tax assessments from taxing authorities that may result in assessment of additional taxes that are ultimately resolved with the authorities or through the courts. We believe these assessments may occasionally be based on erroneous and even arbitrary interpretations of local tax law. Resolution of any tax matter involves uncertainties and there are no assurances that the outcomes will be favorable. If U.S. or foreign tax authorities change applicable tax laws, our overall taxes could increase, and our business, financial condition or results of operating may be adversely impacted.</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fully protect our intellectual property rights or trade secrets, we may suffer a loss in revenue or any competitive advantage or market share we hold, or we may incur costs in litigation defending intellectual property rights.</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have some patents and others pending, we do not have patents relating to many of our key processes and technology. If we are not able to maintain the confidentiality of our trade secrets, or if our competitors are able to replicate our technology or services, our competitive advantage would be diminished. We also cannot provide any assurance that any patents we may obtain in the future would provide us with any significant commercial benefit or would allow us to prevent our competitors from employing comparable technologies or processes. We may initiate litigation from time to time to protect and enforce our intellectual property rights. In any such litigation, a defendant may assert that our intellectual property rights are invalid or unenforceable. Third parties from time to time may also initiate litigation against us by asserting that our businesses infringe, impair, misappropriate, dilute or otherwise violate another party’s intellectual property rights. We may not prevail in any such litigation, and our intellectual property rights may be found invalid or unenforceable or our products and services may be found to infringe, impair, misappropriate, dilute or otherwise violate the intellectual property rights of others. The results or costs of any such litigation may have an adverse effect on our business, results of operations and financial condition. Any litigation concerning intellectual property could be protracted and costly, is inherently unpredictable and could have an adverse effect on our business, regardless of its outcome.</w:t>
      </w:r>
    </w:p>
    <w:p>
      <w:pPr>
        <w:spacing w:after="0" w:line="189"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Moreover, third parties on whom we rely for certain tools may be subject to litigation to defend their intellectual property rights. If such litigation ends adversely for the third party with whom we deal, our ability to obtain such tools could be significantly limited or restricted. This could have a material adverse effect on our business.</w:t>
      </w:r>
    </w:p>
    <w:p>
      <w:pPr>
        <w:spacing w:after="0" w:line="28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1" w:name="page22"/>
    <w:bookmarkEnd w:id="21"/>
    <w:p>
      <w:pPr>
        <w:ind w:right="100"/>
        <w:spacing w:after="0" w:line="258" w:lineRule="auto"/>
        <w:rPr>
          <w:sz w:val="20"/>
          <w:szCs w:val="20"/>
          <w:color w:val="auto"/>
        </w:rPr>
      </w:pPr>
      <w:r>
        <w:rPr>
          <w:rFonts w:ascii="Times New Roman" w:cs="Times New Roman" w:eastAsia="Times New Roman" w:hAnsi="Times New Roman"/>
          <w:sz w:val="18"/>
          <w:szCs w:val="18"/>
          <w:color w:val="auto"/>
        </w:rPr>
        <w:t>Our effective tax rates may fluctuate widely in the future, particularly if our business expands domestically or internationally. Future effective tax rates could be affected by operating losses in jurisdictions where no tax benefit can be recorded under U.S. generally accepted accounting principles (“GAAP”),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our business.</w:t>
      </w:r>
    </w:p>
    <w:p>
      <w:pPr>
        <w:spacing w:after="0" w:line="1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Additionally, we are subject to significant income, withholding, and other tax obligations in the United States and may become subject to taxation in numerous additional U.S. state and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 (c) 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our after-tax profitability and financial condition. Additionally, the Internal Revenue Service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95"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18"/>
          <w:szCs w:val="18"/>
          <w:color w:val="auto"/>
        </w:rPr>
        <w:t>Our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the Common Stock</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the Common Stock.</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which requires, among other things, that we maintain effective disclosure controls and procedures and internal control over financial reporting. We continue to refine our disclosure controls and other procedures that are designed to ensure that information required to be disclosed by us in filings with the SEC is recorded, processed, summarized and reported within the time periods specified in SEC rules, and that information required to be disclosed in reports under the Exchange Act is accumulated and communicated to our management, including our principal executive and financial officers.</w:t>
      </w:r>
    </w:p>
    <w:p>
      <w:pPr>
        <w:spacing w:after="0" w:line="2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will continue to refine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have been engaging, and will continue to engage, in a process to document and evaluate our internal control over financial reporting. This process is both costly and challenging, and requires us to dedicate significant internal resources. We may also engage outside consultants and hire new employees with the requisite skillset and experience. We are developing a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8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the Common Stock. In addition, we could be subject to sanctions or investigations by Nasdaq, the SEC and other regulatory authorities.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Common Stock may be volatile, which could cause the value of your investment to decline.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ind w:right="40"/>
        <w:spacing w:after="0" w:line="260" w:lineRule="auto"/>
        <w:rPr>
          <w:sz w:val="20"/>
          <w:szCs w:val="20"/>
          <w:color w:val="auto"/>
        </w:rPr>
      </w:pPr>
      <w:r>
        <w:rPr>
          <w:rFonts w:ascii="Times New Roman" w:cs="Times New Roman" w:eastAsia="Times New Roman" w:hAnsi="Times New Roman"/>
          <w:sz w:val="18"/>
          <w:szCs w:val="18"/>
          <w:color w:val="auto"/>
        </w:rPr>
        <w:t>The market price of the Common Stock has been and may continue to be volatile and subject to wide fluctuations depending on a number of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the Common Stock. Factors affecting the trading price of the Common Stock may include:</w:t>
      </w:r>
    </w:p>
    <w:p>
      <w:pPr>
        <w:spacing w:after="0" w:line="74" w:lineRule="exact"/>
        <w:rPr>
          <w:sz w:val="20"/>
          <w:szCs w:val="20"/>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prepared by and recommendations provided by securities analysts concerning us or the market in general;</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success of the Merger;</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products, services or technologies by us or our competitors;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the Common Stock;</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composition of the board of directors of DTIC ("the Board") or our management;</w:t>
      </w:r>
    </w:p>
    <w:p>
      <w:pPr>
        <w:spacing w:after="0" w:line="116" w:lineRule="exact"/>
        <w:rPr>
          <w:rFonts w:ascii="Times New Roman" w:cs="Times New Roman" w:eastAsia="Times New Roman" w:hAnsi="Times New Roman"/>
          <w:sz w:val="18"/>
          <w:szCs w:val="18"/>
          <w:color w:val="auto"/>
        </w:rPr>
      </w:pPr>
    </w:p>
    <w:p>
      <w:pPr>
        <w:ind w:left="660" w:right="420" w:hanging="143"/>
        <w:spacing w:after="0" w:line="28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trade wars, pandemics (such as COVID-19), currency fluctuations and acts of war or terrorism; and</w:t>
      </w:r>
    </w:p>
    <w:p>
      <w:pPr>
        <w:spacing w:after="0" w:line="52"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Common Stock, regardless of our actual operating performance. The stock markets have, from time to time, experienced significant price and volume fluctuations that have affected and continue to affect the market prices of equity securities of many companies. Stock prices of many companies have fluctuated in a manner often unrelated to the operating performance of those companies. Shareholder activism, which could take many forms or arise in a variety of situations, has been increasing recently. Volatility in the market price of the Common Stock or other reasons may in the future cause us to become the target of securities litigation or shareholder activism. Shareholder activism or securities litigation could give rise to perceived uncertainties regarding the future of our business and it could subject us to substantial costs, divert resources and the attention of management from our business and adversely affect relationships with suppliers and other parties.</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Further, although the Common Stock is currently listed on Nasdaq, an active trading market for the Common Stock may not be sustained. Accordingly, if an active trading market for these securities is not maintained, the liquidity of the Common Stock, your ability to sell your shares of the Common Stock when desired and the prices that you may obtain for your shares will be adversely affected.</w:t>
      </w:r>
    </w:p>
    <w:p>
      <w:pPr>
        <w:spacing w:after="0" w:line="28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expect our expenditures to continue to be significant in the foreseeable future as we expand our business, and that our level of expenditures will be significantly affected by the performance of the oil and gas industry. Our future capital requirements may be uncertain and actual capital requirements may be different from those currently anticipated, as we look to expand the size of our business, both in terms of fleet size and geographic scope. We may need to seek equity or debt financing to finance a portion of our capital expenditures. Such financing might not be available to us in a timely manner or on terms that are acceptable, or at all.</w:t>
      </w:r>
    </w:p>
    <w:p>
      <w:pPr>
        <w:spacing w:after="0" w:line="18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3" w:name="page24"/>
    <w:bookmarkEnd w:id="23"/>
    <w:p>
      <w:pPr>
        <w:jc w:val="both"/>
        <w:spacing w:after="0" w:line="265" w:lineRule="auto"/>
        <w:rPr>
          <w:sz w:val="20"/>
          <w:szCs w:val="20"/>
          <w:color w:val="auto"/>
        </w:rPr>
      </w:pPr>
      <w:r>
        <w:rPr>
          <w:rFonts w:ascii="Times New Roman" w:cs="Times New Roman" w:eastAsia="Times New Roman" w:hAnsi="Times New Roman"/>
          <w:sz w:val="18"/>
          <w:szCs w:val="18"/>
          <w:color w:val="auto"/>
        </w:rPr>
        <w:t>financing unattractive or unavailable to us. If we are unable to raise sufficient funds, we may have to significantly reduce our spending, delay or cancel our planned activities or substantially change our corporate structure. We might not be able to obtain any funding, and we might not have sufficient resources to conduct our business as planned, both of which could mean that we would be forced to curtail or discontinue our operations.</w:t>
      </w:r>
    </w:p>
    <w:p>
      <w:pPr>
        <w:spacing w:after="0" w:line="17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additional borrowing capacity under a credit facility. The sale of additional equity or equity-linked securities could dilute our holders of Common Stock ("Stockholders"). Moreover, the net proceeds received by us from an offering of equity securities could be reduced if the price of the Common Stock is negatively impacted by a sale of a large number of the shares of Common Stock registered by the Registration Statement. The incurrence of indebtedness would result in increased debt service obligations and could subject us to operating and financing covenants that would restrict our operations or our ability to pay dividends to our Stockholders. If we cannot raise additional funds when we need or want them, our business, financial condition, and results of operations could be negatively impacted.</w:t>
      </w:r>
    </w:p>
    <w:p>
      <w:pPr>
        <w:spacing w:after="0" w:line="2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will incur significant increased expenses and administrative burdens which could have an adverse effect on our business, financial condition and operating results.</w:t>
      </w:r>
    </w:p>
    <w:p>
      <w:pPr>
        <w:spacing w:after="0" w:line="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public company, we face increased legal, accounting, administrative and other costs and expenses that we did not incur as a private company. These expenses may increase even more after we are no longer an “emerging growth company.” The Sarbanes-Oxley Act, including the requirements of Section 404, and rules and regulations subsequently implemented by the SEC, the Dodd-Frank Wall Street Reform and Consumer Protection Act of 2010 and the rules and regulations promulgated and to be promulgated thereunder, the PCAOB and Nasdaq, impose additional reporting and other obligations on public companies. Compliance with public company requirements will continue to lead to increased costs and make certain activities more time consuming. A number of those requirements require us to carry out activities we have not done previously. For example, we have created new board committees, have entered into new insurance policies and adopted new internal controls and disclosure controls and procedures. In addition, we have incurred, and will continue to incur, expenses associated with SEC reporting requirements. We have expanded our staff and may be required to continue expanding to ensure that our workforce has the requisite experience to implement these changes.</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Furthermore, if any issues in complying with those requirements are identified (for example, if management or our independent registered public accounting firm identifies a material weakness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the Board or as executive officers.</w:t>
      </w:r>
    </w:p>
    <w:p>
      <w:pPr>
        <w:spacing w:after="0" w:line="2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of disclosure of information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9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of DTIC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6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General Corporation Law of the State of Delaware ("DGCL"), our Certificate of Incorporation or Bylaws, any action asserting a claim governed by the internal affairs doctrine of the State of Delaware or any other action asserting an “internal corporate claim” (as defined in Section 115 of the DGCL), confer jurisdiction to the Court of Chancery of the State of Delaware (or, if the Court of Chancery of the State of Delaware does not have jurisdiction, the federal district court for the District of Delaware or other state courts of the State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4" w:name="page25"/>
    <w:bookmarkEnd w:id="24"/>
    <w:p>
      <w:pPr>
        <w:ind w:right="360"/>
        <w:spacing w:after="0" w:line="260" w:lineRule="auto"/>
        <w:rPr>
          <w:sz w:val="20"/>
          <w:szCs w:val="20"/>
          <w:color w:val="auto"/>
        </w:rPr>
      </w:pPr>
      <w:r>
        <w:rPr>
          <w:rFonts w:ascii="Times New Roman" w:cs="Times New Roman" w:eastAsia="Times New Roman" w:hAnsi="Times New Roman"/>
          <w:sz w:val="18"/>
          <w:szCs w:val="18"/>
          <w:color w:val="auto"/>
        </w:rPr>
        <w:t>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Salzberg,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Sciabacucchi </w:t>
      </w:r>
      <w:r>
        <w:rPr>
          <w:rFonts w:ascii="Times New Roman" w:cs="Times New Roman" w:eastAsia="Times New Roman" w:hAnsi="Times New Roman"/>
          <w:sz w:val="18"/>
          <w:szCs w:val="18"/>
          <w:color w:val="auto"/>
        </w:rPr>
        <w:t>which found that an exclusive forum provision providing for claims under the Securities Act to be brought in federal court is facially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litigation and regulatory inquiries and investigations are expensive and could harm our business, financial condition and operating results and could divert management attention.</w:t>
      </w:r>
    </w:p>
    <w:p>
      <w:pPr>
        <w:spacing w:after="0" w:line="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In the past, securities class action litigation and/or shareholder derivative litigation and inquiries or investigations by regulatory authorities have often followed certain significant business transactions, such as the sale of a company or announcement of any other strategic transaction, such as the Merger. Any shareholder litigation and/or regulatory investigations against us, whether or not resolved in our favor, could result in substantial costs and divert our management’s attention from other business concerns, which could adversely affect our business and cash resources and the ultimate value of our securities.</w:t>
      </w:r>
    </w:p>
    <w:p>
      <w:pPr>
        <w:spacing w:after="0" w:line="19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While we have not received demand letters, we may in the future receive demand letters or complaints, from purported holders of the Common Stock regarding certain actions taken in connection with the Merger, the adequacy of the registration statement filed therewith or this Annual Report on Form 10-K. These demand letters or complaints may lead to litigation against our directors and officers in connection with the Merger. Defending against any lawsuits could require us to incur significant costs and draw the attention of our management away from the day-to-day operations of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performance by our management team may not be indicative of future performance of an investment in us.</w:t>
      </w:r>
    </w:p>
    <w:p>
      <w:pPr>
        <w:spacing w:after="0" w:line="12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Information regarding performance by, or businesses associated with, our management team, directors, advisors and their respective affiliates is presented for informational purposes only. Past performance by our management team, directors, advisors and such affiliates is not a guarantee of the future success of our business and operations. You should not rely on the historical performance of our management team, directors and advisors or that of their respective affiliates as indicative of our future performance, of an investment in us, or the returns the Common Stock will, or is likely to, generate going forward.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HHEP-Directional, L.P. ("HHEP") owns a significant equity interest in us and may take actions that conflict with your interests.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interests of HHEP may not align with our interests and those of our Stockholders. HHEP is in the business of making investments in companies and may acquire and hold interests in businesses that compete directly or indirectly with us. HHEP (and its affiliates, partners, and associate entities), may also pursue business opportunities that may be complementary to our business and, as a result, those business opportunities may not be available to us. Our Certificate of Incorporation provides that we renounce any interest or expectancy in, or being offered an opportunity to participate in, business opportunities that may be presented to any Stockholder, director, officer or any other person or entity (including, with respect to any of the foregoing that are entities, any affiliates and their respective directors, officers, partners, members and associated entities) in each case who is not a full-time employee of DTIC or any of its subsidiaries (each, an “Exempted Person”). Our Certificate of Incorporation further provides that no Exempted Person has a duty to communicate the receipt of knowledge of any potential circumstances, transaction, agreement, arrangement or other matter that may be Corporate Opportunity (as defined therein).</w:t>
      </w:r>
    </w:p>
    <w:p>
      <w:pPr>
        <w:spacing w:after="0" w:line="2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Common Stock in the public markets, or the perception that such sales could occur, could reduce the price that the Common Stock might otherwise attain.</w:t>
      </w:r>
    </w:p>
    <w:p>
      <w:pPr>
        <w:spacing w:after="0" w:line="50"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Sales of a substantial number of shares of the Common Stock in the public market, or the perception that such sales could occur, could adversely affect the market price of the Common Stock and may make it more difficult for investors to sell their shares of the Common Stock at a time and price that investors deem appropriate.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t>Approximately 17.5 million shares of Common Stock are subject to transfer restrictions set forth in the lock-up agreement between DTIC and Michael W. Domino, Jr., the lock-up agreement between DTIC and HHEP, and the lock-up agreement between DTIC and RobJon (the “Lock-Up Agreements”). As a result of the Lock-Up agreements, dated June 20, 2023, a significant portion of our total outstanding shares are restricted from immediate resale but may be sold into the market in the near future. Under the terms of the Lock-Up Agreements, the Stockholder Parties agreed, subject to certain customary exceptions, that during the period that is the earlier of (i) the date that is 180 days following June 20, 2023 and (ii) the date specified in a written waiver of the provisions of the Lock-Up Agreements duly executed by ROC Holdings and DTIC, not to dispose of, directly or indirectly, any shares of the Common Stock subject to their respective Lock-Up Agreement, or take other related actions with respect to such shares. The shares of the Common Stock subject to the Lock- Up Agreements include all shares held by the Stockholder Parties, except for shares of the Common Stock issued pursuant to the Exchange Agreements.</w:t>
      </w:r>
    </w:p>
    <w:p>
      <w:pPr>
        <w:spacing w:after="0" w:line="213"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Other than R. Wayne Prejean, who is the President, Manager and sole owner of RobJon’s general partner, and Mr. Domino, no directors, officers or employees of DTIC are party to any lock-up agreement with respect to the Common Stock.</w:t>
      </w:r>
    </w:p>
    <w:p>
      <w:pPr>
        <w:spacing w:after="0" w:line="16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Registration Statement has become effective and during such time as it remains effective, Alberto Pontonio, Aldo Rodriguez, Ashley Lane, CFH Ventures, Ltd., Charles E. Crass, Curtis L. Crofford, David R. Johnson, EarlyBirdCapital, the EarlyBird Affiliates, HHEP, FP SPAC 2, Hicks Holdings Operating LLC, John D. “Jack” Furst, MHH Ventures, Ltd., Michael W. Domino, Jr., MV Partners I LP, Oak Stream Investors II, Ltd., R. Wayne Prejean, RBH Ventures, Ltd., RobJon Holdings, L.P., ROC Holdings, Thomas O. Hicks, TOH, Jr. Ventures, Ltd. and WCH Ventures, Ltd., and their respective permitted transferees (the “Selling Stockholders”) will be permitted, subject to the lock-up restrictions described above, to sell the shares registered hereby. Sales of our shares as restrictions end or pursuant to registration rights may make it more difficult for us to sell equity securities in the future at a time and at a price that we deem appropriate. These sales also could cause the trading price of the Common Stock to fall and make it more difficult for you to sell shares of the Common Stock. We expect that, because of the significant number of shares offered hereby, the Selling Stockholders will continue to offer shares covered by this prospectus for a significant period of time, the precise duration of which cannot be predicted. Accordingly, the adverse market and price pressures resulting from an offering pursuant to this prospectus may continue for an extended period of time. As of December 31, 2023, these Lock-Up agreements have expired.</w:t>
      </w:r>
    </w:p>
    <w:p>
      <w:pPr>
        <w:spacing w:after="0" w:line="32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your approval, which would dilute your ownership interests and may depress the market price of your shares.</w:t>
      </w:r>
    </w:p>
    <w:p>
      <w:pPr>
        <w:spacing w:after="0" w:line="5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We may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could have the following effects:</w:t>
      </w:r>
    </w:p>
    <w:p>
      <w:pPr>
        <w:spacing w:after="0" w:line="69" w:lineRule="exact"/>
        <w:rPr>
          <w:sz w:val="20"/>
          <w:szCs w:val="20"/>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will decrease;</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may be diminished;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3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access to a significant amount of cash and our management has broad discretion over the use of that cash. Our management may use the cash in ways that our Stockholders may not approve.</w:t>
      </w:r>
    </w:p>
    <w:p>
      <w:pPr>
        <w:spacing w:after="0" w:line="5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use of such cash and cash equivalents. Our failure to apply these resources effectively could compromise our ability to pursue our growth strategy and we might not be able to yield a significant return, if any, on our investment of these assets. You will not have the opportunity to influence directly our decisions on how to use our cash resources.</w:t>
      </w:r>
    </w:p>
    <w:p>
      <w:pPr>
        <w:spacing w:after="0" w:line="28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the Common Stock for the foreseeable future, you may not receive any return on investment unless you sell the Common Stock at a price greater than what you paid for it.</w:t>
      </w:r>
    </w:p>
    <w:p>
      <w:pPr>
        <w:spacing w:after="0" w:line="5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We may retain future earnings, if any, for future operations, expansion and debt repayment and there are no current plans to pay any cash dividends for the foreseeable future. Any decision to declare and pay dividends in the future will be made by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DTIC or its subsidiaries incur. As a result, you may not receive any return on an investment in Common Stock unless you sell your shares of Common Stock for a price greater than that which you paid for it.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6" w:name="page27"/>
    <w:bookmarkEnd w:id="26"/>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DTIC’s sole material asset is its direct equity interest in DTIH and, accordingly, it is dependent upon distributions from DTIH to pay taxes and cover its corporate and other overhead expenses and pay dividends, if any, on the Common Stock.</w:t>
      </w:r>
    </w:p>
    <w:p>
      <w:pPr>
        <w:spacing w:after="0" w:line="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DTIC is a holding company and has no material assets other than its direct equity interest in DTIH. We have no independent means of generating revenue. To the extent DTIH has available cash, DTIC will cause DTIH to make distributions of cash to pay taxes, cover its corporate and other overhead expenses and pay dividends, if any, on the Common Stock. To the extent that DTIC needs funds and DTIH’s operating subsidiaries fail to generate sufficient cash flow to distribute funds to DTIC or is restricted from making such distributions or payments under applicable law or regulation or under the terms of DTIC’s financing arrangements, or is otherwise unable to provide such funds, DTIC’s liquidity and financial condition could be materially adversely affected.</w:t>
      </w:r>
    </w:p>
    <w:p>
      <w:pPr>
        <w:spacing w:after="0" w:line="28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Capital Market ("Nasdaq") may delist the Common Stock from trading, which could limit investors’ ability to execute transactions in the Common Stock and subject us to additional trading restrictions.</w:t>
      </w:r>
    </w:p>
    <w:p>
      <w:pPr>
        <w:spacing w:after="0" w:line="5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cannot assure you that the Common Stock will continue to be listed on Nasdaq. If Nasdaq delists the Common Stock from trading and we are unable to list the Common Stock on another national securities exchange, we expect the Common Stock could be quoted on an over-the-counter market. If this were to occur, we could face significant material adverse consequences, including:</w:t>
      </w:r>
    </w:p>
    <w:p>
      <w:pPr>
        <w:spacing w:after="0" w:line="69" w:lineRule="exact"/>
        <w:rPr>
          <w:sz w:val="20"/>
          <w:szCs w:val="20"/>
          <w:color w:val="auto"/>
        </w:rPr>
      </w:pPr>
    </w:p>
    <w:p>
      <w:pPr>
        <w:ind w:left="660" w:hanging="14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Common Stock;</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Common Stock;</w:t>
      </w:r>
    </w:p>
    <w:p>
      <w:pPr>
        <w:spacing w:after="0" w:line="116" w:lineRule="exact"/>
        <w:rPr>
          <w:rFonts w:ascii="Times New Roman" w:cs="Times New Roman" w:eastAsia="Times New Roman" w:hAnsi="Times New Roman"/>
          <w:sz w:val="18"/>
          <w:szCs w:val="18"/>
          <w:color w:val="auto"/>
        </w:rPr>
      </w:pPr>
    </w:p>
    <w:p>
      <w:pPr>
        <w:ind w:left="660" w:right="220" w:hanging="143"/>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will require brokers trading in the Common Stock to adhere to more stringent rules and possibly result in a reduced level of trading activity in the secondary trading market for the Common Stock;</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the Common Stock is listed on Nasdaq, the Common Stock qualifies as a covered security. Although the states are preempted from regulating the sale of the Common Stock,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shares of Common Stock would not be covered securities and we would be subject to regulation in each state in which we offer the Common Stock.</w:t>
      </w:r>
    </w:p>
    <w:p>
      <w:pPr>
        <w:spacing w:after="0" w:line="28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the Common Stock adversely, the price and trading volume of the Common Stock could decline.</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the Common Stock will be influenced by the research and reports that industry or securities analysts may publish about us, our business, our market or our competitors. If any of the analysts who cover us change their recommendation regarding our stock adversely, or provide more favorable relative recommendations about our competitors, the price of the Common Stock would likely decline. If an analyst that covers us ceases its coverage or fails to regularly publish reports on us, we could lose visibility in the financial markets, which could cause our stock price or trading volume to decline.</w:t>
      </w:r>
    </w:p>
    <w:p>
      <w:pPr>
        <w:spacing w:after="0" w:line="286"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applicable rules of Nasdaq and, as a result, qualify for exemptions from certain corporate governance requirements. If we rely on these exemptions, our Stockholders will not have the same protections afforded to stockholders of companies that are subject to such requirements.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HHEP controls more than 50% of the voting power for the election of the Board. Accordingly, we are a “controlled company” within the meaning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rules. A “controlled company” and may elect not to comply with certain corporate governance requirements, including the requirements to have:</w:t>
      </w:r>
    </w:p>
    <w:p>
      <w:pPr>
        <w:spacing w:after="0" w:line="98" w:lineRule="exact"/>
        <w:rPr>
          <w:sz w:val="20"/>
          <w:szCs w:val="20"/>
          <w:color w:val="auto"/>
        </w:rPr>
      </w:pPr>
    </w:p>
    <w:p>
      <w:pPr>
        <w:ind w:left="660" w:hanging="14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with the majority comprised of independent directors;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and</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oversight of director nominations.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7" w:name="page28"/>
    <w:bookmarkEnd w:id="27"/>
    <w:p>
      <w:pPr>
        <w:spacing w:after="0" w:line="281" w:lineRule="auto"/>
        <w:rPr>
          <w:sz w:val="20"/>
          <w:szCs w:val="20"/>
          <w:color w:val="auto"/>
        </w:rPr>
      </w:pPr>
      <w:r>
        <w:rPr>
          <w:rFonts w:ascii="Times New Roman" w:cs="Times New Roman" w:eastAsia="Times New Roman" w:hAnsi="Times New Roman"/>
          <w:sz w:val="18"/>
          <w:szCs w:val="18"/>
          <w:color w:val="auto"/>
        </w:rPr>
        <w:t>While we do not currently rely on these exemptions, we may take advantage of these exemptions in the future. As a result, our Stockholders may not have the same protections afforded to stockholders of companies that are subject to all of Nasdaq’s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4"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Identification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cybersecurity Risk Management Policy in place that governs the life cycle in which cybersecurity risks, including:</w:t>
      </w:r>
    </w:p>
    <w:p>
      <w:pPr>
        <w:spacing w:after="0" w:line="332" w:lineRule="exact"/>
        <w:rPr>
          <w:sz w:val="20"/>
          <w:szCs w:val="20"/>
          <w:color w:val="auto"/>
        </w:rPr>
      </w:pPr>
    </w:p>
    <w:p>
      <w:pPr>
        <w:ind w:left="660" w:right="140" w:hanging="143"/>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Identification: through various initiatives performed, including, annual assessments, penetration tests, Incident Response tabletop exercises, vulnerability scans, and cybersecurity reviews of critical third-party vendor engagements, etc.</w:t>
      </w:r>
    </w:p>
    <w:p>
      <w:pPr>
        <w:spacing w:after="0" w:line="54" w:lineRule="exact"/>
        <w:rPr>
          <w:rFonts w:ascii="Times New Roman" w:cs="Times New Roman" w:eastAsia="Times New Roman" w:hAnsi="Times New Roman"/>
          <w:sz w:val="18"/>
          <w:szCs w:val="18"/>
          <w:color w:val="auto"/>
        </w:rPr>
      </w:pPr>
    </w:p>
    <w:p>
      <w:pPr>
        <w:ind w:left="660" w:right="60" w:hanging="143"/>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Evaluation &amp; Treatment: Identified issues, vulnerabilities, and exposures are captured within the Company’s Risk Register, which is updated periodically to reflect the most up to date treatment option selected by the Risk Owners.</w:t>
      </w:r>
    </w:p>
    <w:p>
      <w:pPr>
        <w:spacing w:after="0" w:line="54" w:lineRule="exact"/>
        <w:rPr>
          <w:rFonts w:ascii="Times New Roman" w:cs="Times New Roman" w:eastAsia="Times New Roman" w:hAnsi="Times New Roman"/>
          <w:sz w:val="18"/>
          <w:szCs w:val="18"/>
          <w:color w:val="auto"/>
        </w:rPr>
      </w:pPr>
    </w:p>
    <w:p>
      <w:pPr>
        <w:ind w:left="660" w:right="380" w:hanging="143"/>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Reporting and Ongoing Management: Potentially material risks are shared as part of a monthly Cybersecurity Governance Forum, that’s attended by leadership. Risk Mitigations are tracked to completion through various project updates.</w:t>
      </w:r>
    </w:p>
    <w:p>
      <w:pPr>
        <w:spacing w:after="0" w:line="37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foundation of the Company’s cybersecurity framework is based on written policies that govern different process areas. Risks are identified through various processes that employees perform through their daily operations and are mitigated, managed and/or governed through these established processes.</w:t>
      </w:r>
    </w:p>
    <w:p>
      <w:pPr>
        <w:spacing w:after="0" w:line="13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 is not aware of any cybersecurity risks that have materially affected or are reasonably likely to materially affect the Company’s business strategy, results of operations or financial condition. However, the Company cannot provide assurance that the Company will not be materially affected in the future by such risks or any future material incidents.</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Leveraging the Company’s Cybersecurity Risk Management &amp; Governance process, it has identified cybersecurity risk factors that are inherent to the Company’s business and industry. The risk factors discussed in this section should be considered together with information included elsewhere in this Annual Report on Form 10-K and should not be considered the only risks to which the Company is exposed. Additionally, mitigation of these risk factors is tracked by management as part of the Cybersecurity Maturity Roadmap.</w:t>
      </w:r>
    </w:p>
    <w:p>
      <w:pPr>
        <w:spacing w:after="0" w:line="290" w:lineRule="exact"/>
        <w:rPr>
          <w:sz w:val="20"/>
          <w:szCs w:val="20"/>
          <w:color w:val="auto"/>
        </w:rPr>
      </w:pPr>
    </w:p>
    <w:p>
      <w:pPr>
        <w:ind w:left="660" w:hanging="143"/>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Company’s supply chain could result in an adverse impact on results of operations.</w:t>
      </w:r>
    </w:p>
    <w:p>
      <w:pPr>
        <w:spacing w:after="0" w:line="116" w:lineRule="exact"/>
        <w:rPr>
          <w:rFonts w:ascii="Times New Roman" w:cs="Times New Roman" w:eastAsia="Times New Roman" w:hAnsi="Times New Roman"/>
          <w:sz w:val="18"/>
          <w:szCs w:val="18"/>
          <w:color w:val="auto"/>
        </w:rPr>
      </w:pPr>
    </w:p>
    <w:p>
      <w:pPr>
        <w:ind w:left="660" w:right="580" w:hanging="143"/>
        <w:spacing w:after="0" w:line="28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compromise or equipment sabotage could impact the operations of the manufacturing or distribution sites which could impact the revenue.</w:t>
      </w:r>
    </w:p>
    <w:p>
      <w:pPr>
        <w:spacing w:after="0" w:line="54" w:lineRule="exact"/>
        <w:rPr>
          <w:rFonts w:ascii="Times New Roman" w:cs="Times New Roman" w:eastAsia="Times New Roman" w:hAnsi="Times New Roman"/>
          <w:sz w:val="18"/>
          <w:szCs w:val="18"/>
          <w:color w:val="auto"/>
        </w:rPr>
      </w:pPr>
    </w:p>
    <w:p>
      <w:pPr>
        <w:ind w:left="660" w:right="580" w:hanging="143"/>
        <w:spacing w:after="0" w:line="28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breaches of confidential information, sensitive data, personal information, or intellectual property could damage the Company’s reputation, disrupt operations, increase costs, and impact revenues.</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 state attacks due to current geopolitical and economic climate could impact oil and gas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p>
    <w:p>
      <w:pPr>
        <w:spacing w:after="0" w:line="229"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The Company uses an IT Managed Service Provider in conjunction with a Cybersecurity Advisory firm to perform various functions, guiding the Company’s cybersecurity posture, and providing ongoing support to the Company’s cybersecurity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Incident Response retainer services that can be leveraged, when needed.</w:t>
      </w:r>
    </w:p>
    <w:p>
      <w:pPr>
        <w:spacing w:after="0" w:line="22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 uses a third-party external auditor to perform annual audits, which include cybersecurity components, and a cybersecurity advisory firm to conduct annual risk assessments and penetration tests.</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To manage third-party risks, the Company has a Third-Party Risk Management Policy and procedures in place. The process involves performing reviews of the cybersecurity controls of third-party vendors that have access to the Company’s confidential or sensitive information, or those who may have access to the Company’s systems. Since the process was established, key critical vendors who</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9" w:name="page30"/>
    <w:bookmarkEnd w:id="29"/>
    <w:p>
      <w:pPr>
        <w:ind w:right="260"/>
        <w:spacing w:after="0" w:line="281" w:lineRule="auto"/>
        <w:rPr>
          <w:sz w:val="20"/>
          <w:szCs w:val="20"/>
          <w:color w:val="auto"/>
        </w:rPr>
      </w:pPr>
      <w:r>
        <w:rPr>
          <w:rFonts w:ascii="Times New Roman" w:cs="Times New Roman" w:eastAsia="Times New Roman" w:hAnsi="Times New Roman"/>
          <w:sz w:val="18"/>
          <w:szCs w:val="18"/>
          <w:color w:val="auto"/>
        </w:rPr>
        <w:t>may have material impact on the Company’s confidentiality, integrity or availability of data were prioritized and reviews were completed. The review of other relevant third-party vendors upon onboarding began in January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Cybersecurity Matters</w:t>
      </w:r>
    </w:p>
    <w:p>
      <w:pPr>
        <w:spacing w:after="0" w:line="2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cybersecurity dashboard with roadmap progress is shared with the board of directors regularly, which includes actions completed and any topics that need board awareness / sponsorship such as approval of budgets which include cyber security project initiatives.</w:t>
      </w:r>
    </w:p>
    <w:p>
      <w:pPr>
        <w:spacing w:after="0" w:line="163"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An in-depth update regarding cyber security is discussed during quarterly meetings with the Audit Committee. The Audit Committee is ultimately responsible for overseeing management’s execution of the Company’s cybersecurity risk management program.</w:t>
      </w:r>
    </w:p>
    <w:p>
      <w:pPr>
        <w:spacing w:after="0" w:line="163"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 Chief Financial Officer (CFO) and designees are responsible for reviewing and approving the Cybersecurity Risk Management processes, or exceptions to such processes.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Counsel is consulted on legal matters related to Cybersecurity Risk or Incident Management as deemed necessary by leadership.</w:t>
      </w:r>
    </w:p>
    <w:p>
      <w:pPr>
        <w:spacing w:after="0" w:line="22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Additionally, the Cybersecurity Risk Committee holds periodic Cybersecurity Governance Forums, in which detailed cybersecurity program updates and metrics are reported.</w:t>
      </w:r>
    </w:p>
    <w:p>
      <w:pPr>
        <w:spacing w:after="0" w:line="16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Company’s Chief Financial Officer and VP of Finance are responsible for the oversight and communication of cybersecurity threats and risks to the Company’s Board of Directors. They meet regularly with the Board of Directors where a Cybersecurity roadmap progress is shared with the board.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3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As of December 31, 2023, our one operating and reporting segment operated out of 16 facilities in 13 locations, 12 of which are located in the United States and one of which is located in Canada. Our properties are comprised of service centers and manufacturing facilities, 100% of which are leased. Please see the table below for additional information on our properties: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Location</w:t>
            </w:r>
          </w:p>
        </w:tc>
        <w:tc>
          <w:tcPr>
            <w:tcW w:w="400" w:type="dxa"/>
            <w:vAlign w:val="bottom"/>
          </w:tcPr>
          <w:p>
            <w:pPr>
              <w:spacing w:after="0"/>
              <w:rPr>
                <w:sz w:val="20"/>
                <w:szCs w:val="20"/>
                <w:color w:val="auto"/>
              </w:rPr>
            </w:pPr>
          </w:p>
        </w:tc>
        <w:tc>
          <w:tcPr>
            <w:tcW w:w="34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Type</w:t>
            </w:r>
          </w:p>
        </w:tc>
        <w:tc>
          <w:tcPr>
            <w:tcW w:w="380" w:type="dxa"/>
            <w:vAlign w:val="bottom"/>
          </w:tcPr>
          <w:p>
            <w:pPr>
              <w:spacing w:after="0"/>
              <w:rPr>
                <w:sz w:val="20"/>
                <w:szCs w:val="20"/>
                <w:color w:val="auto"/>
              </w:rPr>
            </w:pPr>
          </w:p>
        </w:tc>
        <w:tc>
          <w:tcPr>
            <w:tcW w:w="34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Own/Lease</w:t>
            </w:r>
          </w:p>
        </w:tc>
      </w:tr>
      <w:tr>
        <w:trPr>
          <w:trHeight w:val="243"/>
        </w:trPr>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4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1"/>
                <w:szCs w:val="21"/>
                <w:color w:val="auto"/>
              </w:rPr>
            </w:pP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Bakersfield, CA</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7"/>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Broussard, LA</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Iberia, LA</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7"/>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Shreveport, LA</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Williston, ND</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7"/>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Oklahoma City, OK</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Charleroi, PA</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7"/>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Houston, TX</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3"/>
        </w:trPr>
        <w:tc>
          <w:tcPr>
            <w:tcW w:w="350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Midland, TX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3"/>
        </w:trPr>
        <w:tc>
          <w:tcPr>
            <w:tcW w:w="350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Odessa, TX </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Carlsbad, NM</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7"/>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Casper, WY</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Vernal, UT</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4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34"/>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Nisku, Canada</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38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w:t>
            </w:r>
          </w:p>
        </w:tc>
      </w:tr>
      <w:tr>
        <w:trPr>
          <w:trHeight w:val="251"/>
        </w:trPr>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43"/>
        </w:trPr>
        <w:tc>
          <w:tcPr>
            <w:tcW w:w="35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Consists of two facilities</w:t>
            </w:r>
          </w:p>
        </w:tc>
        <w:tc>
          <w:tcPr>
            <w:tcW w:w="40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3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our business, we are, from time to time, involved in routine litigation or subject to disputes or claims related to our business activities, including workers’ compensation claims and employment related disputes. Although no assurance can be given with respect to the outcome of these or any other pending legal and administrative proceedings and the effect such outcomes may have, in the opinion of our management, there is no pending litigation, dispute or claim against us that, if decided adversely, will have a material adverse effect on our results of operations, financial condition or cash flows. See Note 15, </w:t>
      </w:r>
      <w:r>
        <w:rPr>
          <w:rFonts w:ascii="Times New Roman" w:cs="Times New Roman" w:eastAsia="Times New Roman" w:hAnsi="Times New Roman"/>
          <w:sz w:val="18"/>
          <w:szCs w:val="18"/>
          <w:i w:val="1"/>
          <w:iCs w:val="1"/>
          <w:color w:val="auto"/>
        </w:rPr>
        <w:t>Commitments and Contingencies.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Common Stock is listed on Nasdaq under the symbol “DTI”. On December 29, 2023, the closing price of the Common Stock was $3.20 per share. As of December 31, 2023, there were approximately 86 holders of record of Common Stock. Such number does not include beneficial owners holding shares of the Common Stock through nominees.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We currently intend to retain any future earnings and do not expect to pay any dividends in the foreseeable future. Our ability to pay dividends on the Common Stock could be restricted by the terms of the Credit Facility Agreement or the terms of any agreement governing other indebtedness we may incur. Any future determination to declare cash dividends will be made at the discretion of the Board, subject to applicable laws, and will depend on a number of factors, including our financial condition, results of operations, capital requirements, contractual restrictions, general business conditions and other factors that the Board may deem relevant.</w:t>
      </w:r>
    </w:p>
    <w:p>
      <w:pPr>
        <w:spacing w:after="0" w:line="7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information relating to our equity compensation plans required by Item 5. “Market for Registrant’s Common Equity, Related Stockholder Matters and Issuer Purchases of Equity Securities” is incorporated by reference to such information as set forth in Item 12. “Security Ownership of Certain Beneficial Owners and Management and Related Stockholder Matters” contained herein.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 [Reserved]</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Drilling Tools International Holdings, Inc. (“DTIH”) entered into a business combination agreement (the “Agreement”) with ROC Energy Acquisition Corp. (“ROC”) on February 13, 2023. The transactions contemplated by the Agreement (the “Merger”) were completed on June 20, 2023, and in conjunction therewith ROC changed its name to Drilling Tools International Corporation (“DTIC” and, together with its subsidiaries, “DTI”, the “Company”, “we”, “us” or “our”, unless the context otherwise requires).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annual financial statements and the related notes included under Item 8 – Consolidated Financial Statements and Supplementary Data of this Annual Report on Form 10-K (the “Report”) as well as DTIH’s audited consolidated financial statements and notes thereto included in the prospectus/proxy statement/consent solicitation statement, dated May 12, 2023, and filed with the SEC. The discussion and the analysis should also be read together with the information set forth in the section entitled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following discussion contains forward-looking statements based upon current expectations that involve risks, uncertainties and assumptions. Our actual results may differ materially from those anticipated in these forward-looking statements as a result of various factors, including those set forth under the sections titled “Risk Factors” and “Cautionary Note Regarding Forward-Looking Statements” or in other parts of this Report. Our historical results are not necessarily indicative of the results that may be expected for any period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leading OSC, based on the percentage of active rigs to which we supply tools in the geographies in which we are active, that rents downhole drilling tools used in horizontal and directional drilling of oil and natural gas. We operate from 16 locations in North America and 4 international stocking points in Europe and the Middle East, and maintain a large fleet of rental equipment consisting of drill collars, stabilizers, crossover subs, wellbore conditioning tools, drill pipe, hevi-wate drill pipe and tubing. We also rent surface control equipment such as blowout preventers and handling tools and provide downhole products for producing wells.</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business model primarily centers on revenue generated from tool rentals and product sales. We generated revenue from tool rentals and product sales of $152.0 million and $129.6 million for the years ended December 31, 2023 and 2022, respectively, and had net income of $14.7 million and $21.1 million for those same periods. We historically incurred significant operating losses since inception. As of December 31, 2023 and 2022, we had an accumulated deficit of $6.3 million and $21.1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financial performance will be driven by continued investment in oil and gas drilling following years of industry underinvestment.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drilling contractors need to replace aging or consumable products and our ability to provide competitive pricing.</w:t>
      </w:r>
    </w:p>
    <w:p>
      <w:pPr>
        <w:spacing w:after="0" w:line="16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These factors may be influenced by the oil and gas region in which our customers operate. While these factors may lead to differing revenues, we have generally been able to forecast our product needs and anticipated revenue levels based on historic trends in a region and with a specific customer.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2020 and early 2021, demand for oil significantly declined as a result of the COVID-19 pandemic and other factors. Oil prices have since increased due in part to an increase in demand for oil and increases in oil production by OPEC+ members. However, prices remained volatile through 2022. In the first half of 2022, West Texas Intermediate (“WTI”) oil prices and volatility thereof increased dramatically, in large part due to Russia’s invasion of Ukraine. Russia has since been subject to a host of sanctions, some of which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ind w:right="420"/>
        <w:spacing w:after="0" w:line="281" w:lineRule="auto"/>
        <w:rPr>
          <w:sz w:val="20"/>
          <w:szCs w:val="20"/>
          <w:color w:val="auto"/>
        </w:rPr>
      </w:pPr>
      <w:r>
        <w:rPr>
          <w:rFonts w:ascii="Times New Roman" w:cs="Times New Roman" w:eastAsia="Times New Roman" w:hAnsi="Times New Roman"/>
          <w:sz w:val="18"/>
          <w:szCs w:val="18"/>
          <w:color w:val="auto"/>
        </w:rPr>
        <w:t>limit its ability to export crude oil and other petroleum products. The anticipated impact on supply drove WTI oil prices above $123 per barrel in early March 2022.</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By the end of December 2022, WTI oil prices declined to approximately $80 per barrel due in part to high inflation rates and fears of a global recession that could negatively impact oil demand. WTI oil prices declined further during the first quarter of 2023, reaching a low of $67 per barrel in the middle of March, following turmoil in the banking sector, which escalated fears of a global recession and a concomitant decline in oil demand. However, in April 2023, WTI oil prices returned to the low-$80s per barrel range, due in part to the Organization of Petroleum Exporting Countries and other oil producing nations' ("OPEC+’s") decision to further cut production by approximately 1.2 million barrels per day. This production cut was effective as of May 2023 and continued through the end of the year.</w:t>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Despite this high volatility in spot oil prices, our customers tend to focus more on medium-term and long-term commodity prices when making investment decisions due to the longer lead times of offshore projects. These forward prices experienced far less volatility in 2022 and the early part of 2023, and they have remained at levels that are highly favorable for offshore project demand.</w:t>
      </w:r>
    </w:p>
    <w:p>
      <w:pPr>
        <w:spacing w:after="0" w:line="177" w:lineRule="exact"/>
        <w:rPr>
          <w:sz w:val="20"/>
          <w:szCs w:val="20"/>
          <w:color w:val="auto"/>
        </w:rPr>
      </w:pPr>
    </w:p>
    <w:p>
      <w:pPr>
        <w:jc w:val="both"/>
        <w:ind w:right="500"/>
        <w:spacing w:after="0" w:line="265" w:lineRule="auto"/>
        <w:rPr>
          <w:sz w:val="20"/>
          <w:szCs w:val="20"/>
          <w:color w:val="auto"/>
        </w:rPr>
      </w:pPr>
      <w:r>
        <w:rPr>
          <w:rFonts w:ascii="Times New Roman" w:cs="Times New Roman" w:eastAsia="Times New Roman" w:hAnsi="Times New Roman"/>
          <w:sz w:val="18"/>
          <w:szCs w:val="18"/>
          <w:color w:val="auto"/>
        </w:rPr>
        <w:t>Prices for natural gas have decreased throughout 2023 relative to 2022 in the United States due to several factors, including an increase in natural gas production, consistent consumption year over year, and increased natural gas inventories. Henry Hub natural gas spot prices have decreased from an average of $5.53 per one million British Thermal Units ("MMBtu") for December 2022 and $2.52 per MMBtu in December 2023.</w:t>
      </w:r>
    </w:p>
    <w:p>
      <w:pPr>
        <w:spacing w:after="0" w:line="17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ongoing conflict in Ukraine and the evolving Israel-Hamas conflict have caused uncertainty in the financial markets and the oil and natural gas markets, both globally and in the United States. Such uncertainty has already caused, and could continue to cause, stock price volatility and supply chain disruptions. This uncertainty could cause higher oil and natural gas prices. Such elevated prices could in turn cause higher inflation, which could impact consumer spending and negatively impact demand for our goods and services. Moreover, additional interest rate increases by the U.S. Federal Reserve could further increase the probability of a recession.</w:t>
      </w:r>
    </w:p>
    <w:p>
      <w:pPr>
        <w:spacing w:after="0" w:line="18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United States onshore drilling activity. During the year ended December 31, 2023, the weekly average U.S. onshore rig count as reported by Baker Hughes was 667 compared to 705 for the year ended December 31, 2022, respectively. Current rig activity remains significantly improved from 2020 levels when the weekly average rig count for the year ended December 31, 2020 was 418.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Increased Costs</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 To date, we do not believe that inflation has had a material impact to our financial condition or results of operations because we have been able to increase the prices we receive from our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use a number of financial and operational measures to routinely analyze and evaluate the performance of our business, including revenue, net and non-GAAP measures Adjusted EBITDA and Free Cash Flow.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analyze our performance by comparing actual monthly revenue to revenue trends and revenue forecasts by product line as well as tool activity trends for each month. Our revenue is primarily derived from tool rental and product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4" w:name="page35"/>
    <w:bookmarkEnd w:id="34"/>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define Free Cash Flow as net cash (used in) provided by operating activities,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purchases of property, plant and equipment. Free Cash Flow is a supplemental non-GAAP financial measure that is used by our management and other external users of our financial statements, such as industry analysts, investors, lenders, rating agencies and others to assess our ability to internally fund our capital program, service or incur additional debt and pay dividends. We believe Free Cash Flow is a useful liquidity measure because it allows us and others to compare cash flow provided by operating activities across periods and to assess our ability to internally fund our capital program, reduce leverage, fund acquisitions and pay dividends to Stockholders where applicable.</w:t>
      </w:r>
    </w:p>
    <w:p>
      <w:pPr>
        <w:spacing w:after="0" w:line="1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Please refer to the section titled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below for a reconciliation of Adjusted EBITDA to net income (loss), the most directly comparable financial performance measure calculated and presented in accordance with GAAP, and a reconciliation of Free Cash Flow to net cash (used in) provided by operating activities, the most directly comparable liquidity measure calculated and presented in accordance with GAAP.</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2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discussion below relating to significant line items from our consolidated statements of operations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currently generate our revenue, net from tool rental services and product sales. Tool rental services, which consists of rental services, inspection services, and repair services, is accounted for under Topic 842. We recognize revenues from renting tools on a straight-line basis. Our rental contract periods are daily, monthly, per well, or based on footage. As part of this straight-line methodology, when the equipment is returned, we recognize as incremental revenue the excess, if any, of the amount the customer is contractually required to pay, which is based on the rental contract period applicable to the actual number of days the drilling tool was rented, over the cumulative amount of revenue recognized to date.</w:t>
      </w:r>
    </w:p>
    <w:p>
      <w:pPr>
        <w:spacing w:after="0" w:line="1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our shipping dock.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tool rental services revenue to increase due to an expected increase in drilling activity, customer pricing and market share.</w:t>
      </w:r>
    </w:p>
    <w:p>
      <w:pPr>
        <w:spacing w:after="0" w:line="22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expect our product sales revenue to increase because we expect oil and gas companies to continue to drill faster and harder, thereby pushing the limits of downhole drilling tools and often contributing to tools being lost-in-hole or damaged-beyond-repair. In addition, we expect that product sales revenue will increase as aged and consumable products will continue to be replaced in order to maintain or increase capacity.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consist of cost of revenue, selling, general and administrative expense, and depreciation and amortization expense.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Our cost of revenue consists primarily of all direct and indirect expenses related to providing our tool rental services offering and delivering our product sales, including personnel-related expenses and costs associated with maintaining the facilities.</w:t>
      </w:r>
    </w:p>
    <w:p>
      <w:pPr>
        <w:spacing w:after="0" w:line="16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expect our total cost of tool rental revenue and our total cost of product sale revenue to increase in absolute dollars in future periods, corresponding to our anticipated growth in revenue and employee headcount. This increase in headcount is intended to support our customers and maintain the manufacturing, operations and field service team. The expected increase in these two costs builds-in some expected cost inflation.</w:t>
      </w:r>
    </w:p>
    <w:p>
      <w:pPr>
        <w:spacing w:after="0" w:line="17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expect that gross margins will continue to improve slightly as we leverage our existing cost structure to increase our business activity. In addition, we expect that customer price increases will help offset cost inflation.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our operating expenses to increase in absolute dollars for the foreseeable future as a result of operating as a public company. In particular, we expect our legal, accounting, tax, personnel-related expenses and directors’ and officers’ insurance costs reported within general and administrative expense to increase as we establish more comprehensive compliance and governance functions, increase security and IT compliance functions,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18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7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We intend to increase investments in our sales and marketing organization to increase revenue, expand our global customer base, and broaden our brand awareness. We expect our sales and marketing expenses to continue to increase in absolute dollars for the foreseeable future.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software and partnerships.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other (expense) income, net is primarily comprised of interest income (expense), gain on sale of property, unrealized gain (loss) on securities, and other miscellaneous income and expense unrelated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years ended December 31, 2023 and 2022:</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6"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152,034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124,135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(1,103 )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c>
          <w:tcPr>
            <w:tcW w:w="6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property</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asset disposal</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(489 )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(255 )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(6,359 )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(384 )</w:t>
            </w:r>
          </w:p>
        </w:tc>
        <w:tc>
          <w:tcPr>
            <w:tcW w:w="60" w:type="dxa"/>
            <w:vAlign w:val="bottom"/>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(8,105 )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6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(5,046 )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(3,697 )</w:t>
            </w:r>
          </w:p>
        </w:tc>
        <w:tc>
          <w:tcPr>
            <w:tcW w:w="60" w:type="dxa"/>
            <w:vAlign w:val="bottom"/>
          </w:tcPr>
          <w:p>
            <w:pPr>
              <w:spacing w:after="0"/>
              <w:rPr>
                <w:sz w:val="20"/>
                <w:szCs w:val="20"/>
                <w:color w:val="auto"/>
              </w:rPr>
            </w:pPr>
          </w:p>
        </w:tc>
      </w:tr>
      <w:tr>
        <w:trPr>
          <w:trHeight w:val="27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549"/>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5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2,257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-4117975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-4117975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-3176270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-1925955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-1283970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-1266825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Tool rental revenue increased $20.2 million, or 20%, to $119.2 million for the year ended December 31, 2023 as compared to $99.0 million for the year ended December 31, 2022. The increase was primarily driven by increased market activity and customer pricing across all divisions, especially in relation to our Directional Tool Rentals ("DTR") division, the revenue of which increased $10.3 million, our Premium Tools Division ("PTD"), the revenue of which increased $7.2 million, and our Wellbore Optimization Tools ("WOT") division, the revenue of which increased $2.1 million. No other driver of this increase was individually significant.</w:t>
      </w:r>
    </w:p>
    <w:p>
      <w:pPr>
        <w:spacing w:after="0" w:line="1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Product sale revenue increased $2.3 million, or 7%, to $32.8 million for the year ended December 31, 2023 as compared to $30.5 million for the year ended December 31, 2022. The increase was primarily driven by increased market activity, specifically related to our accessory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Cost of tool rental revenue increased $3.4 million, or 12%, to $31.0 million for the year ended December 31, 2023 as compared to $27.6 million for the for the year ended December 31, 2022. Across all divisions, the increase in cost of tool rental revenue was primarily driven by increased labor costs as well as increased repair costs due to increased rental activity.</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79" w:right="239" w:bottom="1440" w:gutter="0" w:footer="0" w:header="0"/>
        </w:sectPr>
      </w:pPr>
    </w:p>
    <w:bookmarkStart w:id="37" w:name="page38"/>
    <w:bookmarkEnd w:id="37"/>
    <w:p>
      <w:pPr>
        <w:ind w:right="160"/>
        <w:spacing w:after="0" w:line="312" w:lineRule="auto"/>
        <w:rPr>
          <w:sz w:val="20"/>
          <w:szCs w:val="20"/>
          <w:color w:val="auto"/>
        </w:rPr>
      </w:pPr>
      <w:r>
        <w:rPr>
          <w:rFonts w:ascii="Times New Roman" w:cs="Times New Roman" w:eastAsia="Times New Roman" w:hAnsi="Times New Roman"/>
          <w:sz w:val="17"/>
          <w:szCs w:val="17"/>
          <w:color w:val="auto"/>
        </w:rPr>
        <w:t>Cost of product sale revenue decreased $0.9 million, or 16%, to $4.6 million for the year ended December 31, 2023 as compared to $5.4 million for the for the year ended December 31, 2022. The decrease in cost of product sale revenue was primarily driven by a decrease in manufacturing costs during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4"/>
                <w:szCs w:val="14"/>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$16.7 million, or 32%, to $68.3 million for the year ended December 31, 2023 as compared to $51.6 million for the year ended December 31, 2022. This increase was primarily driven by an increase in personnel-related expenses of $10.5 million. Additionally, there was an increase in expenses incurred as a result of the Merger and the transition to becoming a public company. Specifically, there was a $1.7 million increase in stock option expenses, a $1.4 million increase in accounting, legal, and advertising related expenses, and a $1.2 million increase in insurance expenses. No other driver of this increase was individually significant.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240" w:type="dxa"/>
            <w:vAlign w:val="bottom"/>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expenses increased $0.6 million, or 3%, to $20.4 million for the year ended December 31, 2023 as compared to $19.8 million for the year ended December 31, 2022. The increase was primarily due an increase in depreciation expense resulting from a higher property, plant and equipment balance as of December 31,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626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Interest expense, net increased $0.6 million, or 131%, to $1.1 million for the year ended December 31, 2023 as compared to $0.5 million for the year ended December 31, 2022. The main driver of the increase was the settlement of the interest rate swap on July 10, 2023, causing there to be no unrealized gain for the year ended December 31, 2023 as compared to an unrealized gain of $1.4 million for the year ended December 31, 2022. The decrease in unrealized gain resulted in an increase in total interest expense, net year over year. This increase was partially offset by a decrease of $0.6 million in interest on the revolving line of credit during the year ended December 31, 2023 as compared to the year ended December 31, 2022, as a result of the revolving line of credit to be paid down completely in June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asset disposal</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76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6"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Loss on asset disposal increased $0.5 million, or 100%, to $0.5 million for the year ended December 31, 2023 as compared to nil for the year ended December 31, 2022. The increase is due to there being no loss on asset disposal for the year ended December 31, 2022. The loss on asset disposal for the year ended December 31, 2023 relates to a group of assets disposed of where the net book value of the assets exceeded the consideration received.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 (loss) on equity securities</w:t>
      </w: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76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bl>
    <w:p>
      <w:pPr>
        <w:spacing w:after="0" w:line="23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Unrealized loss on equity securities increased by $0.5 million, or 209%, to $0.3 million for the year ended December 31, 2023 as compared to an unrealized gain on equity securities of $0.2 million for the year ended December 31, 2022 primarily due to unfavorable market conditions during 2023 as compared to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4"/>
                <w:szCs w:val="14"/>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Other expenses, net increased by $6.0 million, or 1,556%, to $6.4 million for the year ended December 31, 2023 as compared to $0.4 million for the year ended December 31, 2022. The increase was primarily due to transaction costs with no comparable activity during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18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use the non-GAAP financial measure Free Cash Flow, which is defined as net cash provided by (used in) operating activities, reduced by purchases of property, plant and equipment. We believe Free Cash Flow is an important liquidity measure of the cash that is available, after capital expenditures, for operational expenses and investment in our business and is a key financial indicator used by management. Free Cash Flow is useful to investors as a liquidity measure because it measures our ability to generate or use cash. Once our business needs and obligations are met, cash can be used to maintain a strong balance sheet and invest in future growth.</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2"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These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69" w:lineRule="exact"/>
        <w:rPr>
          <w:sz w:val="20"/>
          <w:szCs w:val="20"/>
          <w:color w:val="auto"/>
        </w:rPr>
      </w:pPr>
    </w:p>
    <w:p>
      <w:pPr>
        <w:ind w:left="660" w:hanging="14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reflect our future contractual commitments;</w:t>
      </w:r>
    </w:p>
    <w:p>
      <w:pPr>
        <w:spacing w:after="0" w:line="116" w:lineRule="exact"/>
        <w:rPr>
          <w:rFonts w:ascii="Times New Roman" w:cs="Times New Roman" w:eastAsia="Times New Roman" w:hAnsi="Times New Roman"/>
          <w:sz w:val="18"/>
          <w:szCs w:val="18"/>
          <w:color w:val="auto"/>
        </w:rPr>
      </w:pPr>
    </w:p>
    <w:p>
      <w:pPr>
        <w:ind w:left="660" w:right="160" w:hanging="143"/>
        <w:spacing w:after="0" w:line="28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2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(used in) operating activities for the years ended December 31,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68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(43,750 )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(24,688 )</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320" w:type="dxa"/>
            <w:vAlign w:val="bottom"/>
            <w:gridSpan w:val="2"/>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(20,416 )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(10,694 )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12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4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4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91" w:right="239" w:bottom="1440" w:gutter="0" w:footer="0" w:header="0"/>
        </w:sectPr>
      </w:pPr>
    </w:p>
    <w:bookmarkStart w:id="39" w:name="page40"/>
    <w:bookmarkEnd w:id="39"/>
    <w:p>
      <w:pPr>
        <w:ind w:right="280"/>
        <w:spacing w:after="0" w:line="281"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years ended December 31, 2023 and 2022 (non-recurring transaction expenses recorded to other (income) expense are presented separately within Adjusted EBITDA):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sale of property</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asset disposal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ERC credit received</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51,042</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41,163</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31, 2023 and 2022, we had $6.0 million and $2.4 million of cash and cash equivalents, respectively.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Agreement</w:t>
      </w:r>
    </w:p>
    <w:p>
      <w:pPr>
        <w:spacing w:after="0" w:line="119"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the consolidated financial statements included elsewhere in this Report.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capital expenditures relate to capital additions or improvements that add to our rental or repair capacity or extend the useful life of our drilling tools and related infrastructure. Also, our capital expenditures relate to the replacement of tools that are lost or damaged by a customer, and such expenditures are funded by a rental tool recovery sale amount paid by the customer. We regularly incur capital expenditures on an on-going basis to (i) increase the size of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880"/>
        <w:spacing w:after="0" w:line="281"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non-cancellable operating leases agreements. See Note 15,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consolidated financial statements included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Obligations</w:t>
      </w:r>
    </w:p>
    <w:p>
      <w:pPr>
        <w:spacing w:after="0" w:line="12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consolidated financial statements included elsewhere in this Report.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from:</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(23,864 )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(2,530 )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(9,337 )</w:t>
            </w: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$23.3 million resulting from our net income of $14.7 million, adjusted for non-cash charges of $25.0 million in depreciation and amortization, including amortization of right of use assets and deferred financing costs, $4.0 million of stock-based compensation expense as a result of the Merger, $0.5 million of losses on asset disposals, $3.4 million in deferred tax expense, and $0.3 million of other non-cash charges. This was partially offset by a $16.7 million gain on rental tool recovery sales and $8.1 million in net changes from operating assets and liabilities. The $8.1 million in cash used in operating assets and liabilities is primarily due to a $1.0 million cash outflow in accounts receivable associated with an increase in sales and higher revenues during 2023 compared to 2022, a $4.4 million cash outflow from operating lease liabilities as we increase right-of-use assets on hand, a $1.7 million cash outflow from inventories due to purchased inventory related to our attempt to reduce risk and uncertainties in our supply chain, and a $1.5 million cash out flow in accounts payable due to differences in the timing of disbursements. This was partially offset by a $0.6 million cash inflow in accrued expenses due to differences in the timing of disbursements.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$13.9 million, resulting from our net income of $21.1 million, adjusted for non-cash charges of $24 million in depreciation and amortization, including amortization of right of use assets, deferred financing costs, and debt discounts, $0.6 million in provisions for inventory and property, plant, and equipment, and $1 million in deferred tax expense. This was partially offset by a $16.8 million gain on rental tool recovery sales, $14 million in net changes from operating assets and liabilities, and $1.4 million in unrealized gains on interest rate swaps. The $14 million in cash used from operating assets and liabilities is primarily due to a $9.3 million cash outflow in accounts receivable associated with an increasing sales trend and higher revenues during 2022 compared to 2021, a $3.5 million cash outflow in prepaid expenses, and a $0.9 million cash outflow resulting from an increase in purchased inventory as we seek to reduce risk and uncertainties in our supply chain. This is partially offset by a $3.8 million cash inflow in accounts payable and accrued expenses due to differences in the timing of disbursements during 2022 compared to 2021, and a $4.2 million cash inflow relating to operating lease liabilities associated with our real estate and equipment lease agreements.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$23.9 million. Purchases of property, plant, and equipment of $43.8 million were partially offset by proceeds from rental tool recovery sales of $19.7 million and proceeds from sale of property of $0.2 million.</w:t>
      </w:r>
    </w:p>
    <w:p>
      <w:pPr>
        <w:spacing w:after="0" w:line="5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$2.5 million. Proceeds from rental tool recovery sales of $21.1 million and proceeds from sale of property of $1.0 million were offset by purchases of property, plant, and equipment of $24.7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$4.3 million resulting from proceeds from the Merger and PIPE Financing, net of transaction costs, of $23.1 million. This was partially offset by a complete paydown on the Credit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1" w:name="page42"/>
    <w:bookmarkEnd w:id="41"/>
    <w:p>
      <w:pPr>
        <w:ind w:right="100"/>
        <w:spacing w:after="0" w:line="281" w:lineRule="auto"/>
        <w:rPr>
          <w:sz w:val="20"/>
          <w:szCs w:val="20"/>
          <w:color w:val="auto"/>
        </w:rPr>
      </w:pPr>
      <w:r>
        <w:rPr>
          <w:rFonts w:ascii="Times New Roman" w:cs="Times New Roman" w:eastAsia="Times New Roman" w:hAnsi="Times New Roman"/>
          <w:sz w:val="18"/>
          <w:szCs w:val="18"/>
          <w:color w:val="auto"/>
        </w:rPr>
        <w:t>Facility Agreement of $18.3 million, payments of deferred financing costs of $0.3 million, and payments to holders of DTIH convertible preferred stock in connection with the Merger of $0.2 million.</w:t>
      </w:r>
    </w:p>
    <w:p>
      <w:pPr>
        <w:spacing w:after="0" w:line="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$9.3 million resulting from a net decrease in amounts outstanding under the Credit Facility Agreement of $8.1 million, payments of long-term debt of $1.0 million, and payments of deferred financing costs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preparing our annual financial statements in accordance with generally accepted accounting principles in the United States of America (“GAAP”),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available data or is not otherwise capable of being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 We identify certain accounting policies as critical based on, among other things, their impact on the portrayal of our financial condition and results of operations and the degree of difficulty, subjectivity and complexity in their deployment. Note 1, Summary of significant accounting policies, to the financial statements included elsewhere in this Report includes a summary of the significant accounting policies used in the preparation of the accompanying consolidated financial statements.</w:t>
      </w:r>
    </w:p>
    <w:p>
      <w:pPr>
        <w:spacing w:after="0" w:line="186" w:lineRule="exact"/>
        <w:rPr>
          <w:sz w:val="20"/>
          <w:szCs w:val="20"/>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 xml:space="preserve">The critical accounting estimates, assumptions and judgments we believe to have the most significant impact on the annual financial statements are described below. 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financial statements included elsewhere in this Report for additional information related to critical accounting estimates and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1, 2019, we adopted Accounting Standards Codification (“ASC”) 606 on a modified retrospective basis for all contracts with customers. As a result of the adoption, there were no material changes to the timing of the revenue recognition or measurement of revenue. Therefore, the only changes to the financial statements related to the adoption are in the disclosures as included herein. We adopted ASC 842, Leases (“ASC 842”) as of January 1, 2022. ASC 842 was adopted using the modified retrospective transition approach, with no restatement of prior periods or cumulative adjustments to retained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revenue in accordance with two different accounting standards: 1) Topic 606 (which addresses revenue from contracts with customers) and 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842 (which addresses lease revenue). We derive our revenue from two revenue types: tool rental services and product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 Rental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Owned tool rentals represent our most significant revenue type and are governed by our standard rental contract. We account for such rentals as operating leases. The lease terms are included in the contracts, and the determination of whether our contracts contain leases generally does not require significant assumptions or judgments. Owned tool rentals represent revenue from renting tools that we own. We do not generally provide an option for the lessee to purchase the rented equipment at the end of the lease.</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the amounts billed to customers in excess of recognizable revenue as deferred revenue on our consolidated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As noted above, we are unsure of when the customer will return rented drilling tools. As such, we do not know how much the customer will owe us upon return of the tool and we therefore cannot provide a maturity analysis of future lease payments. Our drilling tools are generally rented for short periods of time, oftentimes for significantly less than a year. Lessees do not provide residual value guarantees on rented equipment.</w:t>
      </w:r>
    </w:p>
    <w:p>
      <w:pPr>
        <w:spacing w:after="0" w:line="17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We expect to derive significant future benefits from our drilling tools following the end of the rental term. Our rentals are generally short-term in nature, and our tools are typically rented for the majority of the time that we own them.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our customers, and other charges for made to order product sales. Product sales are accounted for under Topic 606.</w:t>
      </w:r>
    </w:p>
    <w:p>
      <w:pPr>
        <w:spacing w:after="0" w:line="16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our arrangements with customers, we: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a contract when we have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our contracts with customers contain a single performance obligation to provide a product sale, we do not have any performance obligations requiring allocation of transaction prices.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when control of the asset transfers to the customer, which typically occurs upon delivery of the product or when the product is made available to the customer for pickup at our shipping dock. Additionally, pursuant to the contractual terms with our customers, the customer must notify us of, and purchase from us, any rented tools that are damaged beyond repair, lost-in-hole, or lost-in-transit while in the care, custody or control of such customer. Revenue is recognized for these products when the customer notifies us that one of these noted events has occurred.</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do not have any material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 and judgments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accounted for under Topic 606 generally do not require significant estimates or judgments, primarily because:</w:t>
      </w:r>
    </w:p>
    <w:p>
      <w:pPr>
        <w:spacing w:after="0" w:line="117" w:lineRule="exact"/>
        <w:rPr>
          <w:sz w:val="20"/>
          <w:szCs w:val="20"/>
          <w:color w:val="auto"/>
        </w:rPr>
      </w:pPr>
    </w:p>
    <w:p>
      <w:pPr>
        <w:ind w:left="660" w:hanging="143"/>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is generally fixed and stated in our contracts;</w:t>
      </w:r>
    </w:p>
    <w:p>
      <w:pPr>
        <w:spacing w:after="0" w:line="116" w:lineRule="exact"/>
        <w:rPr>
          <w:rFonts w:ascii="Times New Roman" w:cs="Times New Roman" w:eastAsia="Times New Roman" w:hAnsi="Times New Roman"/>
          <w:sz w:val="18"/>
          <w:szCs w:val="18"/>
          <w:color w:val="auto"/>
        </w:rPr>
      </w:pPr>
    </w:p>
    <w:p>
      <w:pPr>
        <w:ind w:left="660" w:right="160" w:hanging="143"/>
        <w:spacing w:after="0" w:line="28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out contracts generally do not include multiple performance obligations, and accordingly, do not require estimates of standalone selling price for each performance obligation;</w:t>
      </w:r>
    </w:p>
    <w:p>
      <w:pPr>
        <w:spacing w:after="0" w:line="54" w:lineRule="exact"/>
        <w:rPr>
          <w:rFonts w:ascii="Times New Roman" w:cs="Times New Roman" w:eastAsia="Times New Roman" w:hAnsi="Times New Roman"/>
          <w:sz w:val="18"/>
          <w:szCs w:val="18"/>
          <w:color w:val="auto"/>
        </w:rPr>
      </w:pPr>
    </w:p>
    <w:p>
      <w:pPr>
        <w:ind w:left="660" w:right="340" w:hanging="143"/>
        <w:spacing w:after="0" w:line="28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do not include material amounts of variable consideration, or result in significant obligations associated with returns, refunds, or warranties; and</w:t>
      </w:r>
    </w:p>
    <w:p>
      <w:pPr>
        <w:spacing w:after="0" w:line="54" w:lineRule="exact"/>
        <w:rPr>
          <w:rFonts w:ascii="Times New Roman" w:cs="Times New Roman" w:eastAsia="Times New Roman" w:hAnsi="Times New Roman"/>
          <w:sz w:val="18"/>
          <w:szCs w:val="18"/>
          <w:color w:val="auto"/>
        </w:rPr>
      </w:pPr>
    </w:p>
    <w:p>
      <w:pPr>
        <w:ind w:left="660" w:right="120" w:hanging="143"/>
        <w:spacing w:after="0" w:line="26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revenue is recognized when the applicable performance obligations are readily determinable. As noted above, our Topic 606 revenue is generally recognized at the time of delivery to, or made available for pick-up by, the customer or upon notification from our customers that a rented tool is damaged beyond repair, lost-in-hole, or lost-in-transit while in the car, custody, or control of our customers.</w:t>
      </w:r>
    </w:p>
    <w:p>
      <w:pPr>
        <w:spacing w:after="0" w:line="20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Our revenues accounted for under Topic 842 also generally do not require significant estimates or judgments. We monitor and review our estimated standalone selling prices on a regular basis.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When active market quotes are not available, management uses valuation techniques to measure the fair value of financial instruments.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applying the valuation techniques, management makes maximum use of market inputs wherever possible, and uses estimates and assumptions that are, as far as possible, consistent with observable data that market participants would use in pricing the instrument. Where applicable data is not observable, management uses its best estimate about the assumptions that market participants would make. Such estimates include liquidity risk, credit risk and volatility, and such estimates may vary from the actual results that would be achieved in an arm’s length transaction at the reporting date. The assessment of the timing and extent of impairment of intangible assets involves both significant judgements by management about the current and future prospects for the intangible assets as well as estimates about the factors used to quantify the extent of any impairment that is recognized.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718, Compensation - Stock Compensation. ASC 718 requires that the cost of awards of equity instruments offered in exchange for employee services, including employee stock options and restricted stock awards, be measured based on the grant-date fair value of the award. We adopted FASB ASU No. 2016- 09, Compensation - Stock Compensation (Topic 718): Improvements to Employee Share-Based Payment Accounting, on February 1, 2019. This ASU involves several aspects of the accounting for stock-based payment transactions, including the income tax consequences, classification of awards as either equity or liabilities, and classification in the accompanying consolidated statements of cash flows. The adoption did not have a material impact on accompanying consolidated financial statements. We determine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 For the stock options granted prior to the Company’s common stock being publicly traded on June 21, 2023, the Company estimated the fair value of its common stock as of the grant date and used these estimates as inputs into the Black-Scholes model. The Board of Directors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adopted ASC 842, Leases (“ASC 842”) as of January 1, 2022. ASC 842 was adopted using the modified retrospective transition approach, with no restatement of prior periods or cumulative adjustments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We elected the use-of-hindsight to reassess lease term. We elected not to recognize leases with an initial term of 12 months or less within the consolidated balance sheets and to recognize those lease payments on a straight-line basis in the consolidated statements of operation over the lease term. The new lease accounting standard also provides practical expedients for an entity’s ongoing accounting. We elected the practical expedient to not separate lease and non-lease components for all leases.</w:t>
      </w:r>
    </w:p>
    <w:p>
      <w:pPr>
        <w:spacing w:after="0" w:line="187"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and current operating lease liabilities and operating lease liabilities, net of current portion on our consolidated balance sheets. We recognize lease expense for its operating leases on a straight-line basis over the term of the lease.</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we also reassess the lease classification as of the effective date of the modification.</w:t>
      </w:r>
    </w:p>
    <w:p>
      <w:pPr>
        <w:spacing w:after="0" w:line="145" w:lineRule="exact"/>
        <w:rPr>
          <w:sz w:val="20"/>
          <w:szCs w:val="20"/>
          <w:color w:val="auto"/>
        </w:rPr>
      </w:pPr>
    </w:p>
    <w:p>
      <w:pPr>
        <w:ind w:right="60" w:firstLine="54"/>
        <w:spacing w:after="0" w:line="26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our incremental borrowing rate because the interest rate implicit in our leases is not readily determinable. The incremental borrowing rate is estimated to approximate the interest rate on a collateralized basis with similar terms and payments, and in economic environments where the leased asset is located.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t>Our lease terms include periods under options to extend or terminate the lease when it is reasonably certain that we will exercise that option in the measurement of its ROU assets and liabilities. We consider contractual-based factors such as the nature and terms of the renewal or termination, asset-based factors such as physical location of the asset and entity-based factors such as the importance of the leased asset to our operations to determine the lease term. We generally use the base, non-cancelable lease term when determining the ROU assets and lease liabilities. The ROU asset is tested for impairment in accordance with Accounting Standards Codification Topic 360, Property, Plant, and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lease agreement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the “Tool Rental Revenue” line on the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evaluate the recoverability of identifiable intangible assets whenever events or changes in circumstances indicate that an intangible asset’s carrying amount may not be recoverable. Such circumstances could include, but are not limited to, (1) a significant decrease in the market value of an asset, (2) a significant adverse change in the extent to or manner in which an asset is used, or (3) an accumulation of costs significantly in excess of the amount originally expected for the acquisition of an asset. We measure the carrying amount of the asset against the estimated undiscounted future cash flows associated with it. Should the sum of the expected future net cash flows be less than the carrying value of the asset being evaluated, an impairment loss would be recognized. The impairment loss would be calculated as the amount by which the carrying value of the asset exceeds its fair value. The fair value is measured based on quoted market prices, if available. If quoted market prices are not available, the estimate of fair value is based on various valuation techniques, including the discounted value of estimated future cash flows. The evaluation of asset impairment requires us to make assumptions about future cash flows over the life of the asset being evaluated. These assumptions require significant judgment and actual results may differ from assumed and estimated amounts. For the year ended December 31, 2023 and 2022, management determined that there was no impairment with regard to our intangible assets.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property, plant and equipment, events or circumstances indicating possible impairment may include a significant decrease in market value or a significant change in the business climate. An impairment loss is recognized when the carrying amount of an asset exceeds the estimated undiscounted future cash flows expected to result from the use of the asset and its eventual disposition. The amount of the impairment loss is the excess of the asset’s carrying amount over its fair value. For the year ended December 31, 2023 and 2022, management determined that there was no impairment with regard to our property, plant, and equipment.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19"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elsewhere in this report.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the offering on December 6, 2021; (ii) the last day of the fiscal year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5" w:name="page46"/>
    <w:bookmarkEnd w:id="45"/>
    <w:p>
      <w:pPr>
        <w:spacing w:after="0" w:line="265" w:lineRule="auto"/>
        <w:rPr>
          <w:sz w:val="20"/>
          <w:szCs w:val="20"/>
          <w:color w:val="auto"/>
        </w:rPr>
      </w:pPr>
      <w:r>
        <w:rPr>
          <w:rFonts w:ascii="Times New Roman" w:cs="Times New Roman" w:eastAsia="Times New Roman" w:hAnsi="Times New Roman"/>
          <w:sz w:val="18"/>
          <w:szCs w:val="18"/>
          <w:color w:val="auto"/>
        </w:rPr>
        <w:t>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2"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accounts receivable. We maintain cash and cash equivalents with major and reputable financial institutions. Deposits held with these financial institutions may exceed the amount of insurance provided by the Federal Deposit Insurance Corporation and Canadian Deposit Insurance Corporation on such deposits but may be redeemed upon demand. We perform periodic evaluations of the relative credit standing of these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12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2023, 39% of our total revenue was earned from three of our customers. During the years ended December 31, 2022, 28% of our total revenue was earned from two of our customers. Amounts due from these customers included in accounts receivable at December 31, 2023 and December 31, 2022 were approximately $11.1 million and $8.6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customers are primarily located in the United States and Canada. Therefore, foreign exchange risk exposures arise from transactions denominated in currencies other than the U.S.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expect we will continue to experience inflationary pressures on our cost structure for the foreseeable future. However, tightness in overseas freight and transit times from have eased.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410)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and Comprehensive Income for the Years Ended December 31, 2023 and 2022</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Consolidated Statements of Changes in Redeemable Convertible Preferred Stock and Shareholder's Equity for the Years Ended December 31 2023, and 2022</w:t>
      </w:r>
    </w:p>
    <w:p>
      <w:pPr>
        <w:spacing w:after="0" w:line="55" w:lineRule="exact"/>
        <w:rPr>
          <w:sz w:val="20"/>
          <w:szCs w:val="20"/>
          <w:color w:val="auto"/>
        </w:rPr>
      </w:pPr>
    </w:p>
    <w:p>
      <w:pPr>
        <w:ind w:right="4460"/>
        <w:spacing w:after="0" w:line="406" w:lineRule="auto"/>
        <w:rPr>
          <w:sz w:val="20"/>
          <w:szCs w:val="20"/>
          <w:color w:val="auto"/>
        </w:rPr>
      </w:pPr>
      <w:r>
        <w:rPr>
          <w:rFonts w:ascii="Times New Roman" w:cs="Times New Roman" w:eastAsia="Times New Roman" w:hAnsi="Times New Roman"/>
          <w:sz w:val="18"/>
          <w:szCs w:val="18"/>
          <w:color w:val="auto"/>
        </w:rPr>
        <w:t>Consolidated Statement of Cash Flows for the Years Ended December 31, 2023 and 2022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304" w:right="6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Tools International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Drilling Tools International Corporation (the “Company”) as of December 31, 2023 and 2022, and the related consolidated statements of income and comprehensive income, changes in redeemable convertible preferred stock and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data)</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 equity securities, at fair value</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40,155</w:t>
            </w: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132,498</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7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 par value $0.01;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nil shares and 30,000,000 shares authorized at December 31, 2023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2022, respectively; nil shares and 6,719,641 shares issued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 respectively</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500,000,000 shares and 65,000,000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authorized at December 31, 2023 and December 31, 2022, respectively;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29,768,568 shares and 11,951,137 shares issued and outstanding at December 31,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2023 and December 31, 2022,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par value $0.0001; 10,000,000 and nil shares authorized at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and December 31, 2022, respectively; nil shares issued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 respectively</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(6,306 )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(21,054 )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treasury stock, at cost; nil shares at December 31, 2023 and December 31, 2022</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132,498</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-5804535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-5804535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-4871085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-4871085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-3150235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129,556</w:t>
            </w: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104,279</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property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asset disposal</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(6,359 )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(3,698 )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dividends on redeemable convertible preferred stock</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21,421,610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11,951,137</w:t>
            </w:r>
          </w:p>
        </w:tc>
        <w:tc>
          <w:tcPr>
            <w:tcW w:w="100" w:type="dxa"/>
            <w:vAlign w:val="bottom"/>
          </w:tcPr>
          <w:p>
            <w:pPr>
              <w:spacing w:after="0"/>
              <w:rPr>
                <w:sz w:val="19"/>
                <w:szCs w:val="19"/>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25,131,024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19,677,507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comprehensive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-4477385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-4477385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-3543935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-3543935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-2294255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-1335405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-992505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-975360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-658495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jc w:val="center"/>
        <w:ind w:left="340" w:right="26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SHAREHOLDERS’ EQUITY</w:t>
      </w:r>
    </w:p>
    <w:tbl>
      <w:tblPr>
        <w:tblLayout w:type="fixed"/>
        <w:tblInd w:w="0" w:type="dxa"/>
        <w:tblCellMar>
          <w:top w:w="0" w:type="dxa"/>
          <w:left w:w="0" w:type="dxa"/>
          <w:bottom w:w="0" w:type="dxa"/>
          <w:right w:w="0" w:type="dxa"/>
        </w:tblCellMar>
      </w:tblPr>
      <w:tr>
        <w:trPr>
          <w:trHeight w:val="128"/>
        </w:trPr>
        <w:tc>
          <w:tcPr>
            <w:tcW w:w="2240" w:type="dxa"/>
            <w:vAlign w:val="bottom"/>
          </w:tcPr>
          <w:p>
            <w:pPr>
              <w:spacing w:after="0"/>
              <w:rPr>
                <w:sz w:val="11"/>
                <w:szCs w:val="11"/>
                <w:color w:val="auto"/>
              </w:rPr>
            </w:pPr>
          </w:p>
        </w:tc>
        <w:tc>
          <w:tcPr>
            <w:tcW w:w="1840" w:type="dxa"/>
            <w:vAlign w:val="bottom"/>
            <w:gridSpan w:val="6"/>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 Convertible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6"/>
        </w:trPr>
        <w:tc>
          <w:tcPr>
            <w:tcW w:w="22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76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70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2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2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r>
      <w:tr>
        <w:trPr>
          <w:trHeight w:val="142"/>
        </w:trPr>
        <w:tc>
          <w:tcPr>
            <w:tcW w:w="22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i w:val="1"/>
                <w:iCs w:val="1"/>
                <w:color w:val="auto"/>
              </w:rPr>
              <w:t>(In thousands, except share and per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7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ed</w:t>
            </w:r>
          </w:p>
        </w:tc>
        <w:tc>
          <w:tcPr>
            <w:tcW w:w="11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00" w:type="dxa"/>
            <w:vAlign w:val="bottom"/>
          </w:tcPr>
          <w:p>
            <w:pPr>
              <w:spacing w:after="0"/>
              <w:rPr>
                <w:sz w:val="12"/>
                <w:szCs w:val="12"/>
                <w:color w:val="auto"/>
              </w:rPr>
            </w:pPr>
          </w:p>
        </w:tc>
      </w:tr>
      <w:tr>
        <w:trPr>
          <w:trHeight w:val="162"/>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share data)</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Borders>
              <w:right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2"/>
        </w:trPr>
        <w:tc>
          <w:tcPr>
            <w:tcW w:w="22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66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20,370,37</w:t>
            </w: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53,175,02</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9"/>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16,689</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(811,156 )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(933 )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53,979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(42,134 )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(284 )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11,160</w:t>
            </w:r>
          </w:p>
        </w:tc>
        <w:tc>
          <w:tcPr>
            <w:tcW w:w="100" w:type="dxa"/>
            <w:vAlign w:val="bottom"/>
            <w:shd w:val="clear" w:color="auto" w:fill="CFF0FC"/>
          </w:tcPr>
          <w:p>
            <w:pPr>
              <w:spacing w:after="0"/>
              <w:rPr>
                <w:sz w:val="14"/>
                <w:szCs w:val="14"/>
                <w:color w:val="auto"/>
              </w:rPr>
            </w:pPr>
          </w:p>
        </w:tc>
      </w:tr>
      <w:tr>
        <w:trPr>
          <w:trHeight w:val="130"/>
        </w:trPr>
        <w:tc>
          <w:tcPr>
            <w:tcW w:w="22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Retroactive application of Merger</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(13,650,7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(41,223,8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22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36 )</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(531 )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811,156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(402 )</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23"/>
        </w:trPr>
        <w:tc>
          <w:tcPr>
            <w:tcW w:w="224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Adjusted Balances, beginning of</w:t>
            </w: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11,951,13</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9"/>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16,689</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(42,134 )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(284 )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11,160</w:t>
            </w:r>
          </w:p>
        </w:tc>
        <w:tc>
          <w:tcPr>
            <w:tcW w:w="100" w:type="dxa"/>
            <w:vAlign w:val="bottom"/>
            <w:shd w:val="clear" w:color="auto" w:fill="CFF0FC"/>
          </w:tcPr>
          <w:p>
            <w:pPr>
              <w:spacing w:after="0"/>
              <w:rPr>
                <w:sz w:val="14"/>
                <w:szCs w:val="14"/>
                <w:color w:val="auto"/>
              </w:rPr>
            </w:pPr>
          </w:p>
        </w:tc>
      </w:tr>
      <w:tr>
        <w:trPr>
          <w:trHeight w:val="130"/>
        </w:trPr>
        <w:tc>
          <w:tcPr>
            <w:tcW w:w="22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Accretion of redeemable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convertible preferred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to redemption</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(1,189 )</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(1,189 )</w:t>
            </w:r>
          </w:p>
        </w:tc>
      </w:tr>
      <w:tr>
        <w:trPr>
          <w:trHeight w:val="131"/>
        </w:trPr>
        <w:tc>
          <w:tcPr>
            <w:tcW w:w="2240" w:type="dxa"/>
            <w:vAlign w:val="bottom"/>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Foreign currency</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FF0FC"/>
          </w:tcPr>
          <w:p>
            <w:pPr>
              <w:spacing w:after="0"/>
              <w:rPr>
                <w:sz w:val="14"/>
                <w:szCs w:val="14"/>
                <w:color w:val="auto"/>
              </w:rPr>
            </w:pPr>
          </w:p>
        </w:tc>
      </w:tr>
      <w:tr>
        <w:trPr>
          <w:trHeight w:val="162"/>
        </w:trPr>
        <w:tc>
          <w:tcPr>
            <w:tcW w:w="2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21,080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21,080</w:t>
            </w:r>
          </w:p>
        </w:tc>
        <w:tc>
          <w:tcPr>
            <w:tcW w:w="100" w:type="dxa"/>
            <w:vAlign w:val="bottom"/>
          </w:tcPr>
          <w:p>
            <w:pPr>
              <w:spacing w:after="0"/>
              <w:rPr>
                <w:sz w:val="14"/>
                <w:szCs w:val="14"/>
                <w:color w:val="auto"/>
              </w:rPr>
            </w:pPr>
          </w:p>
        </w:tc>
      </w:tr>
      <w:tr>
        <w:trPr>
          <w:trHeight w:val="122"/>
        </w:trPr>
        <w:tc>
          <w:tcPr>
            <w:tcW w:w="22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11,951,13</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07"/>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17,878</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(21,054 )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100" w:type="dxa"/>
            <w:vAlign w:val="bottom"/>
            <w:shd w:val="clear" w:color="auto" w:fill="CFF0FC"/>
          </w:tcPr>
          <w:p>
            <w:pPr>
              <w:spacing w:after="0"/>
              <w:rPr>
                <w:sz w:val="18"/>
                <w:szCs w:val="18"/>
                <w:color w:val="auto"/>
              </w:rPr>
            </w:pPr>
          </w:p>
        </w:tc>
      </w:tr>
      <w:tr>
        <w:trPr>
          <w:trHeight w:val="112"/>
        </w:trPr>
        <w:tc>
          <w:tcPr>
            <w:tcW w:w="2240" w:type="dxa"/>
            <w:vAlign w:val="bottom"/>
            <w:tcBorders>
              <w:top w:val="single" w:sz="8" w:color="CFF0FC"/>
            </w:tcBorders>
          </w:tcPr>
          <w:p>
            <w:pPr>
              <w:ind w:left="20"/>
              <w:spacing w:after="0" w:line="112" w:lineRule="exact"/>
              <w:rPr>
                <w:sz w:val="20"/>
                <w:szCs w:val="20"/>
                <w:color w:val="auto"/>
              </w:rPr>
            </w:pPr>
            <w:r>
              <w:rPr>
                <w:rFonts w:ascii="Times New Roman" w:cs="Times New Roman" w:eastAsia="Times New Roman" w:hAnsi="Times New Roman"/>
                <w:sz w:val="12"/>
                <w:szCs w:val="12"/>
                <w:color w:val="auto"/>
              </w:rPr>
              <w:t>Net exercise of stock options by DTIH</w:t>
            </w: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65"/>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 (Note 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31"/>
        </w:trPr>
        <w:tc>
          <w:tcPr>
            <w:tcW w:w="22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Accretion of redeemable</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convertible preferred stock to</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redemption value prior to closing of the</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Merger</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(314 )</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(314 )</w:t>
            </w:r>
          </w:p>
        </w:tc>
      </w:tr>
      <w:tr>
        <w:trPr>
          <w:trHeight w:val="130"/>
        </w:trPr>
        <w:tc>
          <w:tcPr>
            <w:tcW w:w="22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Exchange of DTIH redeemable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convertible preferred stock for DTIC</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(Note 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(18,192 )</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100" w:type="dxa"/>
            <w:vAlign w:val="bottom"/>
          </w:tcPr>
          <w:p>
            <w:pPr>
              <w:spacing w:after="0"/>
              <w:rPr>
                <w:sz w:val="14"/>
                <w:szCs w:val="14"/>
                <w:color w:val="auto"/>
              </w:rPr>
            </w:pPr>
          </w:p>
        </w:tc>
      </w:tr>
      <w:tr>
        <w:trPr>
          <w:trHeight w:val="131"/>
        </w:trPr>
        <w:tc>
          <w:tcPr>
            <w:tcW w:w="22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DTIC Common Stock to</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former holders of DTIH redeemable</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convertible preferred stock in connection</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with Exchange Agreements (Note 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2,042,181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100" w:type="dxa"/>
            <w:vAlign w:val="bottom"/>
            <w:shd w:val="clear" w:color="auto" w:fill="CFF0FC"/>
          </w:tcPr>
          <w:p>
            <w:pPr>
              <w:spacing w:after="0"/>
              <w:rPr>
                <w:sz w:val="14"/>
                <w:szCs w:val="14"/>
                <w:color w:val="auto"/>
              </w:rPr>
            </w:pPr>
          </w:p>
        </w:tc>
      </w:tr>
      <w:tr>
        <w:trPr>
          <w:trHeight w:val="130"/>
        </w:trPr>
        <w:tc>
          <w:tcPr>
            <w:tcW w:w="22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Merger, net of redemptions and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costs (Note 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5,711,721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(8,839 )</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(8,838 )</w:t>
            </w:r>
          </w:p>
        </w:tc>
      </w:tr>
      <w:tr>
        <w:trPr>
          <w:trHeight w:val="131"/>
        </w:trPr>
        <w:tc>
          <w:tcPr>
            <w:tcW w:w="22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DTIC Common Stock in</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connection with the consummation of</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the PIPE Financing (Note 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2,970,296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FF0FC"/>
          </w:tcPr>
          <w:p>
            <w:pPr>
              <w:spacing w:after="0"/>
              <w:rPr>
                <w:sz w:val="14"/>
                <w:szCs w:val="14"/>
                <w:color w:val="auto"/>
              </w:rPr>
            </w:pPr>
          </w:p>
        </w:tc>
      </w:tr>
      <w:tr>
        <w:trPr>
          <w:trHeight w:val="162"/>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tcPr>
          <w:p>
            <w:pPr>
              <w:spacing w:after="0"/>
              <w:rPr>
                <w:sz w:val="14"/>
                <w:szCs w:val="14"/>
                <w:color w:val="auto"/>
              </w:rPr>
            </w:pPr>
          </w:p>
        </w:tc>
      </w:tr>
      <w:tr>
        <w:trPr>
          <w:trHeight w:val="130"/>
        </w:trPr>
        <w:tc>
          <w:tcPr>
            <w:tcW w:w="224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(114 )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(114 )</w:t>
            </w:r>
          </w:p>
        </w:tc>
      </w:tr>
      <w:tr>
        <w:trPr>
          <w:trHeight w:val="162"/>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14,748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14,748</w:t>
            </w:r>
          </w:p>
        </w:tc>
        <w:tc>
          <w:tcPr>
            <w:tcW w:w="100" w:type="dxa"/>
            <w:vAlign w:val="bottom"/>
          </w:tcPr>
          <w:p>
            <w:pPr>
              <w:spacing w:after="0"/>
              <w:rPr>
                <w:sz w:val="14"/>
                <w:szCs w:val="14"/>
                <w:color w:val="auto"/>
              </w:rPr>
            </w:pPr>
          </w:p>
        </w:tc>
      </w:tr>
      <w:tr>
        <w:trPr>
          <w:trHeight w:val="124"/>
        </w:trPr>
        <w:tc>
          <w:tcPr>
            <w:tcW w:w="22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29,768,56</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5"/>
        </w:trPr>
        <w:tc>
          <w:tcPr>
            <w:tcW w:w="2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(6,306 )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(225 )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88,690</w:t>
            </w:r>
          </w:p>
        </w:tc>
        <w:tc>
          <w:tcPr>
            <w:tcW w:w="100" w:type="dxa"/>
            <w:vAlign w:val="bottom"/>
            <w:shd w:val="clear" w:color="auto" w:fill="CFF0FC"/>
          </w:tcPr>
          <w:p>
            <w:pPr>
              <w:spacing w:after="0"/>
              <w:rPr>
                <w:sz w:val="16"/>
                <w:szCs w:val="16"/>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-2285365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-2268220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-2285365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-2268220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-2285365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-2268220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-2285365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-2268220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-2285365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-2268220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-2285365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-2268220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-2285365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-2268220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-2285365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-2268220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-2285365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-2268220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14,748</w:t>
            </w:r>
          </w:p>
        </w:tc>
        <w:tc>
          <w:tcPr>
            <w:tcW w:w="260" w:type="dxa"/>
            <w:vAlign w:val="bottom"/>
          </w:tcPr>
          <w:p>
            <w:pPr>
              <w:spacing w:after="0"/>
              <w:rPr>
                <w:sz w:val="14"/>
                <w:szCs w:val="14"/>
                <w:color w:val="auto"/>
              </w:rPr>
            </w:pPr>
          </w:p>
        </w:tc>
        <w:tc>
          <w:tcPr>
            <w:tcW w:w="60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from operating activities:</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20,352</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3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Non-cash lease expense</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excess and obsolete property and equipment</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asset disposal</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Bad debt expense</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tax expense</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Gain on sale of property</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(101 )</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(127 )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loss on equity securities</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(234 )</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Unrealized (gain) loss on interest rate swap</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(1,423 )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Realized loss on interest rate swap</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Gross profit from sale of lost-in-hole equipment</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(16,686 )</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(16,813 )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8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(1,048 )</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(9,268 )</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(3,476 )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Inventories, net</w:t>
            </w:r>
          </w:p>
        </w:tc>
        <w:tc>
          <w:tcPr>
            <w:tcW w:w="38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(1,716 )</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(906 )</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Deposits and other long-term assets</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(496 )</w:t>
            </w: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8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(4,415 )</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(4,174 )</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(1,552 )</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(1,432 )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from operating activities</w:t>
            </w:r>
          </w:p>
        </w:tc>
        <w:tc>
          <w:tcPr>
            <w:tcW w:w="3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23,334</w:t>
            </w:r>
          </w:p>
        </w:tc>
        <w:tc>
          <w:tcPr>
            <w:tcW w:w="26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13,994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Purchase of property, plant and equipment</w:t>
            </w:r>
          </w:p>
        </w:tc>
        <w:tc>
          <w:tcPr>
            <w:tcW w:w="38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(43,750 )</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(24,688 )</w:t>
            </w:r>
          </w:p>
        </w:tc>
        <w:tc>
          <w:tcPr>
            <w:tcW w:w="0" w:type="dxa"/>
            <w:vAlign w:val="bottom"/>
          </w:tcPr>
          <w:p>
            <w:pPr>
              <w:spacing w:after="0"/>
              <w:rPr>
                <w:sz w:val="1"/>
                <w:szCs w:val="1"/>
                <w:color w:val="auto"/>
              </w:rPr>
            </w:pPr>
          </w:p>
        </w:tc>
      </w:tr>
      <w:tr>
        <w:trPr>
          <w:trHeight w:val="162"/>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sale of lost-in-hole equipment</w:t>
            </w:r>
          </w:p>
        </w:tc>
        <w:tc>
          <w:tcPr>
            <w:tcW w:w="3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19,684</w:t>
            </w: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21,116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from investing activities</w:t>
            </w:r>
          </w:p>
        </w:tc>
        <w:tc>
          <w:tcPr>
            <w:tcW w:w="38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(23,864 )</w:t>
            </w:r>
          </w:p>
        </w:tc>
        <w:tc>
          <w:tcPr>
            <w:tcW w:w="60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(2,530 )</w:t>
            </w:r>
          </w:p>
        </w:tc>
        <w:tc>
          <w:tcPr>
            <w:tcW w:w="0" w:type="dxa"/>
            <w:vAlign w:val="bottom"/>
          </w:tcPr>
          <w:p>
            <w:pPr>
              <w:spacing w:after="0"/>
              <w:rPr>
                <w:sz w:val="1"/>
                <w:szCs w:val="1"/>
                <w:color w:val="auto"/>
              </w:rPr>
            </w:pPr>
          </w:p>
        </w:tc>
      </w:tr>
      <w:tr>
        <w:trPr>
          <w:trHeight w:val="15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Merger and PIPE Financing, net of transaction costs</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23,162</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(324 )</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(251 )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revolving line of credit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73,050</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Payments on revolving line of credit</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(91,399 )</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(116,670 )</w:t>
            </w: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on long-term debt</w:t>
            </w:r>
          </w:p>
        </w:tc>
        <w:tc>
          <w:tcPr>
            <w:tcW w:w="3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Payments on finance leases</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r>
        <w:trPr>
          <w:trHeight w:val="130"/>
        </w:trPr>
        <w:tc>
          <w:tcPr>
            <w:tcW w:w="77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Payments to holders of DTIH redeemable convertible preferred stock in connection with</w:t>
            </w:r>
          </w:p>
        </w:tc>
        <w:tc>
          <w:tcPr>
            <w:tcW w:w="380" w:type="dxa"/>
            <w:vAlign w:val="bottom"/>
          </w:tcPr>
          <w:p>
            <w:pPr>
              <w:spacing w:after="0"/>
              <w:rPr>
                <w:sz w:val="11"/>
                <w:szCs w:val="11"/>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(194 )</w:t>
            </w:r>
          </w:p>
        </w:tc>
        <w:tc>
          <w:tcPr>
            <w:tcW w:w="600" w:type="dxa"/>
            <w:vAlign w:val="bottom"/>
          </w:tcPr>
          <w:p>
            <w:pPr>
              <w:spacing w:after="0"/>
              <w:rPr>
                <w:sz w:val="11"/>
                <w:szCs w:val="11"/>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retiring their DTI stock upon the Merger</w:t>
            </w:r>
          </w:p>
        </w:tc>
        <w:tc>
          <w:tcPr>
            <w:tcW w:w="38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from financing activities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(9,337 )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Changes in Foreign Exchange Rate</w:t>
            </w:r>
          </w:p>
        </w:tc>
        <w:tc>
          <w:tcPr>
            <w:tcW w:w="38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(114 )</w:t>
            </w:r>
          </w:p>
        </w:tc>
        <w:tc>
          <w:tcPr>
            <w:tcW w:w="6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Cash</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3,651</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at Beginning of Period</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at End of Period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6,003</w:t>
            </w: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Cash paid for interest</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auto"/>
              </w:rPr>
              <w:t>Cash paid for income taxes</w:t>
            </w:r>
          </w:p>
        </w:tc>
        <w:tc>
          <w:tcPr>
            <w:tcW w:w="380" w:type="dxa"/>
            <w:vAlign w:val="bottom"/>
            <w:tcBorders>
              <w:bottom w:val="single" w:sz="8" w:color="auto"/>
            </w:tcBorders>
          </w:tcPr>
          <w:p>
            <w:pPr>
              <w:jc w:val="right"/>
              <w:ind w:right="2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3,006</w:t>
            </w:r>
          </w:p>
        </w:tc>
        <w:tc>
          <w:tcPr>
            <w:tcW w:w="260" w:type="dxa"/>
            <w:vAlign w:val="bottom"/>
          </w:tcPr>
          <w:p>
            <w:pPr>
              <w:spacing w:after="0"/>
              <w:rPr>
                <w:sz w:val="12"/>
                <w:szCs w:val="12"/>
                <w:color w:val="auto"/>
              </w:rPr>
            </w:pPr>
          </w:p>
        </w:tc>
        <w:tc>
          <w:tcPr>
            <w:tcW w:w="600" w:type="dxa"/>
            <w:vAlign w:val="bottom"/>
            <w:tcBorders>
              <w:bottom w:val="single" w:sz="8" w:color="auto"/>
            </w:tcBorders>
          </w:tcPr>
          <w:p>
            <w:pPr>
              <w:jc w:val="right"/>
              <w:ind w:right="4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ROU assets obtained in exchange for lease liabilities</w:t>
            </w:r>
          </w:p>
        </w:tc>
        <w:tc>
          <w:tcPr>
            <w:tcW w:w="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3,264</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700" w:type="dxa"/>
            <w:vAlign w:val="bottom"/>
            <w:shd w:val="clear" w:color="auto" w:fill="CFF0FC"/>
          </w:tcPr>
          <w:p>
            <w:pPr>
              <w:ind w:left="160"/>
              <w:spacing w:after="0" w:line="111" w:lineRule="exact"/>
              <w:rPr>
                <w:sz w:val="20"/>
                <w:szCs w:val="20"/>
                <w:color w:val="auto"/>
              </w:rPr>
            </w:pPr>
            <w:r>
              <w:rPr>
                <w:rFonts w:ascii="Times New Roman" w:cs="Times New Roman" w:eastAsia="Times New Roman" w:hAnsi="Times New Roman"/>
                <w:sz w:val="12"/>
                <w:szCs w:val="12"/>
                <w:color w:val="auto"/>
              </w:rPr>
              <w:t>Purchases of inventory included in accounts payable and accrued expenses and other</w:t>
            </w:r>
          </w:p>
        </w:tc>
        <w:tc>
          <w:tcPr>
            <w:tcW w:w="380" w:type="dxa"/>
            <w:vAlign w:val="bottom"/>
            <w:vMerge w:val="restart"/>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26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700" w:type="dxa"/>
            <w:vAlign w:val="bottom"/>
            <w:tcBorders>
              <w:bottom w:val="single" w:sz="8" w:color="CFF0FC"/>
            </w:tcBorders>
            <w:shd w:val="clear" w:color="auto" w:fill="CFF0FC"/>
          </w:tcPr>
          <w:p>
            <w:pPr>
              <w:ind w:left="260"/>
              <w:spacing w:after="0" w:line="106" w:lineRule="exact"/>
              <w:rPr>
                <w:sz w:val="20"/>
                <w:szCs w:val="20"/>
                <w:color w:val="auto"/>
              </w:rPr>
            </w:pPr>
            <w:r>
              <w:rPr>
                <w:rFonts w:ascii="Times New Roman" w:cs="Times New Roman" w:eastAsia="Times New Roman" w:hAnsi="Times New Roman"/>
                <w:sz w:val="12"/>
                <w:szCs w:val="12"/>
                <w:color w:val="auto"/>
              </w:rPr>
              <w:t>current liabilities</w:t>
            </w:r>
          </w:p>
        </w:tc>
        <w:tc>
          <w:tcPr>
            <w:tcW w:w="38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700" w:type="dxa"/>
            <w:vAlign w:val="bottom"/>
          </w:tcPr>
          <w:p>
            <w:pPr>
              <w:ind w:left="160"/>
              <w:spacing w:after="0" w:line="111" w:lineRule="exact"/>
              <w:rPr>
                <w:sz w:val="20"/>
                <w:szCs w:val="20"/>
                <w:color w:val="auto"/>
              </w:rPr>
            </w:pPr>
            <w:r>
              <w:rPr>
                <w:rFonts w:ascii="Times New Roman" w:cs="Times New Roman" w:eastAsia="Times New Roman" w:hAnsi="Times New Roman"/>
                <w:sz w:val="12"/>
                <w:szCs w:val="12"/>
                <w:color w:val="auto"/>
              </w:rPr>
              <w:t>Purchases of property and equipment included in accounts payable and accrued expenses and other</w:t>
            </w:r>
          </w:p>
        </w:tc>
        <w:tc>
          <w:tcPr>
            <w:tcW w:w="38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260" w:type="dxa"/>
            <w:vAlign w:val="bottom"/>
          </w:tcPr>
          <w:p>
            <w:pPr>
              <w:spacing w:after="0"/>
              <w:rPr>
                <w:sz w:val="9"/>
                <w:szCs w:val="9"/>
                <w:color w:val="auto"/>
              </w:rPr>
            </w:pPr>
          </w:p>
        </w:tc>
        <w:tc>
          <w:tcPr>
            <w:tcW w:w="600" w:type="dxa"/>
            <w:vAlign w:val="bottom"/>
            <w:vMerge w:val="restart"/>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700" w:type="dxa"/>
            <w:vAlign w:val="bottom"/>
          </w:tcPr>
          <w:p>
            <w:pPr>
              <w:ind w:left="260"/>
              <w:spacing w:after="0" w:line="106" w:lineRule="exact"/>
              <w:rPr>
                <w:sz w:val="20"/>
                <w:szCs w:val="20"/>
                <w:color w:val="auto"/>
              </w:rPr>
            </w:pPr>
            <w:r>
              <w:rPr>
                <w:rFonts w:ascii="Times New Roman" w:cs="Times New Roman" w:eastAsia="Times New Roman" w:hAnsi="Times New Roman"/>
                <w:sz w:val="12"/>
                <w:szCs w:val="12"/>
                <w:color w:val="auto"/>
              </w:rPr>
              <w:t>current liabilities</w:t>
            </w:r>
          </w:p>
        </w:tc>
        <w:tc>
          <w:tcPr>
            <w:tcW w:w="38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FF0FC"/>
            </w:tcBorders>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Non-cash directors and officers insurance</w:t>
            </w:r>
          </w:p>
        </w:tc>
        <w:tc>
          <w:tcPr>
            <w:tcW w:w="380" w:type="dxa"/>
            <w:vAlign w:val="bottom"/>
            <w:tcBorders>
              <w:bottom w:val="single" w:sz="8" w:color="auto"/>
            </w:tcBorders>
            <w:shd w:val="clear" w:color="auto" w:fill="CFF0FC"/>
          </w:tcPr>
          <w:p>
            <w:pPr>
              <w:jc w:val="right"/>
              <w:ind w:right="2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695</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auto"/>
              </w:rPr>
              <w:t>Non-cash Merger financing</w:t>
            </w:r>
          </w:p>
        </w:tc>
        <w:tc>
          <w:tcPr>
            <w:tcW w:w="380" w:type="dxa"/>
            <w:vAlign w:val="bottom"/>
          </w:tcPr>
          <w:p>
            <w:pPr>
              <w:jc w:val="right"/>
              <w:ind w:right="2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2"/>
                <w:szCs w:val="12"/>
                <w:color w:val="auto"/>
              </w:rPr>
            </w:pPr>
          </w:p>
        </w:tc>
        <w:tc>
          <w:tcPr>
            <w:tcW w:w="600" w:type="dxa"/>
            <w:vAlign w:val="bottom"/>
          </w:tcPr>
          <w:p>
            <w:pPr>
              <w:jc w:val="right"/>
              <w:ind w:right="4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700" w:type="dxa"/>
            <w:vAlign w:val="bottom"/>
            <w:shd w:val="clear" w:color="auto" w:fill="CFF0FC"/>
          </w:tcPr>
          <w:p>
            <w:pPr>
              <w:ind w:left="160"/>
              <w:spacing w:after="0" w:line="111" w:lineRule="exact"/>
              <w:rPr>
                <w:sz w:val="20"/>
                <w:szCs w:val="20"/>
                <w:color w:val="auto"/>
              </w:rPr>
            </w:pPr>
            <w:r>
              <w:rPr>
                <w:rFonts w:ascii="Times New Roman" w:cs="Times New Roman" w:eastAsia="Times New Roman" w:hAnsi="Times New Roman"/>
                <w:sz w:val="12"/>
                <w:szCs w:val="12"/>
                <w:color w:val="auto"/>
              </w:rPr>
              <w:t>Exchange of DTIH redeemable convertible preferred stock for DTIC Common Stock in connection</w:t>
            </w:r>
          </w:p>
        </w:tc>
        <w:tc>
          <w:tcPr>
            <w:tcW w:w="380" w:type="dxa"/>
            <w:vAlign w:val="bottom"/>
            <w:vMerge w:val="restart"/>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26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700" w:type="dxa"/>
            <w:vAlign w:val="bottom"/>
            <w:tcBorders>
              <w:bottom w:val="single" w:sz="8" w:color="CFF0FC"/>
            </w:tcBorders>
            <w:shd w:val="clear" w:color="auto" w:fill="CFF0FC"/>
          </w:tcPr>
          <w:p>
            <w:pPr>
              <w:ind w:left="260"/>
              <w:spacing w:after="0" w:line="106" w:lineRule="exact"/>
              <w:rPr>
                <w:sz w:val="20"/>
                <w:szCs w:val="20"/>
                <w:color w:val="auto"/>
              </w:rPr>
            </w:pPr>
            <w:r>
              <w:rPr>
                <w:rFonts w:ascii="Times New Roman" w:cs="Times New Roman" w:eastAsia="Times New Roman" w:hAnsi="Times New Roman"/>
                <w:sz w:val="12"/>
                <w:szCs w:val="12"/>
                <w:color w:val="auto"/>
              </w:rPr>
              <w:t>with Merger</w:t>
            </w:r>
          </w:p>
        </w:tc>
        <w:tc>
          <w:tcPr>
            <w:tcW w:w="38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700" w:type="dxa"/>
            <w:vAlign w:val="bottom"/>
          </w:tcPr>
          <w:p>
            <w:pPr>
              <w:ind w:left="160"/>
              <w:spacing w:after="0" w:line="111" w:lineRule="exact"/>
              <w:rPr>
                <w:sz w:val="20"/>
                <w:szCs w:val="20"/>
                <w:color w:val="auto"/>
              </w:rPr>
            </w:pPr>
            <w:r>
              <w:rPr>
                <w:rFonts w:ascii="Times New Roman" w:cs="Times New Roman" w:eastAsia="Times New Roman" w:hAnsi="Times New Roman"/>
                <w:sz w:val="12"/>
                <w:szCs w:val="12"/>
                <w:color w:val="auto"/>
              </w:rPr>
              <w:t>Issuance of DTIC Common Stock to former holders of DTIH redeemable convertible</w:t>
            </w:r>
          </w:p>
        </w:tc>
        <w:tc>
          <w:tcPr>
            <w:tcW w:w="38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260" w:type="dxa"/>
            <w:vAlign w:val="bottom"/>
          </w:tcPr>
          <w:p>
            <w:pPr>
              <w:spacing w:after="0"/>
              <w:rPr>
                <w:sz w:val="9"/>
                <w:szCs w:val="9"/>
                <w:color w:val="auto"/>
              </w:rPr>
            </w:pPr>
          </w:p>
        </w:tc>
        <w:tc>
          <w:tcPr>
            <w:tcW w:w="600" w:type="dxa"/>
            <w:vAlign w:val="bottom"/>
            <w:vMerge w:val="restart"/>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6"/>
        </w:trPr>
        <w:tc>
          <w:tcPr>
            <w:tcW w:w="7700" w:type="dxa"/>
            <w:vAlign w:val="bottom"/>
          </w:tcPr>
          <w:p>
            <w:pPr>
              <w:ind w:left="260"/>
              <w:spacing w:after="0" w:line="106" w:lineRule="exact"/>
              <w:rPr>
                <w:sz w:val="20"/>
                <w:szCs w:val="20"/>
                <w:color w:val="auto"/>
              </w:rPr>
            </w:pPr>
            <w:r>
              <w:rPr>
                <w:rFonts w:ascii="Times New Roman" w:cs="Times New Roman" w:eastAsia="Times New Roman" w:hAnsi="Times New Roman"/>
                <w:sz w:val="12"/>
                <w:szCs w:val="12"/>
                <w:color w:val="auto"/>
              </w:rPr>
              <w:t>preferred stock in connection with Exchange Agreements</w:t>
            </w:r>
          </w:p>
        </w:tc>
        <w:tc>
          <w:tcPr>
            <w:tcW w:w="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FF0FC"/>
            </w:tcBorders>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Accretion of redeemable convertible preferred stock to redemption value</w:t>
            </w:r>
          </w:p>
        </w:tc>
        <w:tc>
          <w:tcPr>
            <w:tcW w:w="380" w:type="dxa"/>
            <w:vAlign w:val="bottom"/>
            <w:tcBorders>
              <w:bottom w:val="single" w:sz="8" w:color="auto"/>
            </w:tcBorders>
            <w:shd w:val="clear" w:color="auto" w:fill="CFF0FC"/>
          </w:tcPr>
          <w:p>
            <w:pPr>
              <w:jc w:val="right"/>
              <w:ind w:right="2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314</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1,189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-3732530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-3732530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-3312795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-2182495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-1754505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-1737360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-1523365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-1506220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-975360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-958215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-658495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-641350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-341630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-324485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3" w:name="page54"/>
    <w:bookmarkEnd w:id="53"/>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SIFNICIANT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manufactures, rents, inspects, and refurbishes downhole drilling tools primarily to companies in the oil and natural gas industry for bottom hole assemblies used in onshore and offshore horizontal and directional drilling.</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June 20, 2023 (the "Closing Date"), a merger transaction between Drilling Tools International Holdings, Inc. ("DTIH"), ROC Energy Acquisition Corp ("ROC"), and ROC Merger Sub, Inc., a directly, wholly owned subsidiary of ROC ("Merger Sub"), was completed (the "Merger", see Note 3,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xml:space="preserve">)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 See Note 3,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xml:space="preserve"> for further discussion.</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California, Louisiana, Oklahoma, Pennsylvania, North Dakota, New Mexico, Utah, and Wyoming. The Company’s international operations are located in Canada with additional stocking points in Europe and the Middle East.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consolidated financial statements are to the FASB Accounting Standards Codifications (“ASC”) and Accounting Standards Update (“ASU”).</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Related Credits and Relief</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response to the COVID-19 outbreak, the U.S. government enacted the Coronavirus Aid, Relief, and Economic Security Act (“CARES Act”) and provided an Employee Retention Credit (“ERC”) which is a refundable tax credit against certain employment taxes equal to 50% of qualified wages paid, up to $10 thousand per employee annually for wages paid. Additional relief provisions were passed by the United States government, which extended and expanded the qualified wage caps on these credits to 70% of qualified wages paid, up to $10 thousand per employee per quarter, through December 31, 2021. In November 2021, the Infrastructure Investment and Jobs Act was signed into law and ended the employee retention credit early, making wages paid after December 31, 2021, ineligible for the credit.</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ERC benefits of nil and $4.3 million were included in selling, general, and administrative expense as an offset to the related compensation expenses in the consolidated statements of income and comprehensive income for the year ended December 31, 2023 and 2022, respectively. ERC benefits receivable of nil and $2.1 million were included in prepaid expenses and other current assets in the accompanying consolidated balance sheet as of December 31, 2023, and 2022, respectively. The Company received all ERC benefits receivables in January 2023, resulting in the ERC benefits receivable balance to be nil as December 31, 2023.</w:t>
      </w:r>
    </w:p>
    <w:p>
      <w:pPr>
        <w:spacing w:after="0" w:line="182"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Laws and regulations concerning government programs, including the ERC, are complex and subject to varying interpretations. Claims made under these programs may also be subject to retroactive audit and review. While the Company does not believe there is a basis for estimation of an audit or recapture risk at this time, there can be no assurance that regulatory authorities will not challenge the Company’s claim to the ERC in a future period.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on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Translations and Transactions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consolidated statements of income and comprehensive income have been translated at the average rates for the year of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consolidated statements of income and comprehensive income. For the year ended December 31, 2023, the aggregate foreign currency exchange rate fluctuations on transactions included in the consolidated statements of income and comprehensive income totaled approximately $0.1 million in losses. For the year ended December 31, 2022, the aggregate foreign currency exchange rate fluctuations on transactions included in the consolidated statements of income and comprehensive income totaled $0.2 million in gains, respectively.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the Company generated approximately 39% of its revenue from three customers. For the year ended December 31, 2022, the Company generated approximately 28% of its revenue from two customers. Amounts due from these customers included in accounts receivable at December 31, 2023 and 2022, were approximately $11.1 million and $8.6 million, respectively.</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the Company had two vendors that represented approximately 23% of its vendor purchases. For the year ended December 31, 2022, the Company had one vendor that represented approximately 12% of its vendor purchases. Amounts due to these vendors included in accounts payable at December 31, 2023 and 2022 were approximately $0.3 million and $0.9 million, respectively.</w:t>
      </w:r>
    </w:p>
    <w:p>
      <w:pPr>
        <w:spacing w:after="0" w:line="17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Owned tool rentals represent revenue from renting tools that the Company owns. The Company does not generally provide an option for the lessee to purchase the rented equipment at the end of the lease.</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the amounts billed to customers in excess of recognizable revenue as deferred revenue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11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December 31, 2023 and 2022, the Company had contract assets of $4.2 million and $4.8 million, respectively. Contract assets were recorded in accounts receivable, net in the accompanying consolidated balance sheets.</w:t>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December 31, 2023 and 2022, the Company did not have any material contract liabilities. All deferred revenue were expected to be recognized during the following 12 months, and they were recorded in accrued expenses and other current liabilities in the accompanying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credit losses and are classified as account receivable, net on the consolidated balance sheets.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on December 31, 2022, which was retroactively applied as of the first day of fiscal year 2022.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DTI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6"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beginning accounts receivable balance as of January 1, 2022 was $20.0 million. The changes in the allowance for credit losses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 as follows (in thousands):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(1,222 )</w:t>
            </w: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effect adjustments upon adoption of ASU 2016-13</w:t>
            </w:r>
          </w:p>
        </w:tc>
        <w:tc>
          <w:tcPr>
            <w:tcW w:w="14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during 2022</w:t>
            </w:r>
          </w:p>
        </w:tc>
        <w:tc>
          <w:tcPr>
            <w:tcW w:w="14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(336 )</w:t>
            </w: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14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(1,498 )</w:t>
            </w:r>
          </w:p>
        </w:tc>
      </w:tr>
      <w:tr>
        <w:trPr>
          <w:trHeight w:val="20"/>
        </w:trPr>
        <w:tc>
          <w:tcPr>
            <w:tcW w:w="786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during 2023</w:t>
            </w:r>
          </w:p>
        </w:tc>
        <w:tc>
          <w:tcPr>
            <w:tcW w:w="144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14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4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(1,458 )</w:t>
            </w:r>
          </w:p>
        </w:tc>
      </w:tr>
      <w:tr>
        <w:trPr>
          <w:trHeight w:val="20"/>
        </w:trPr>
        <w:tc>
          <w:tcPr>
            <w:tcW w:w="7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2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Inventory that is obsolete or in excess of forecasted usage is written down to its net realizable value based on assumptions regarding future demand and market conditions. Inventory write-downs are charged to operating costs and establish a new cost basis for the inventory. Inventory includes raw material and finished goods.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4"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The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7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and 2022, management determined that there were no triggering events necessitating impairment testing of property, plant, and equipment or intangible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consolidated balance sheets and to recognize those lease payments on a straight-line basis in the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9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consolidated balance sheets. The Company recognizes lease expense for its operating leases on a straight-line basis over the term of the lease.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ASC Topic 360, </w:t>
      </w:r>
      <w:r>
        <w:rPr>
          <w:rFonts w:ascii="Times New Roman" w:cs="Times New Roman" w:eastAsia="Times New Roman" w:hAnsi="Times New Roman"/>
          <w:sz w:val="18"/>
          <w:szCs w:val="18"/>
          <w:i w:val="1"/>
          <w:iCs w:val="1"/>
          <w:color w:val="auto"/>
        </w:rPr>
        <w:t>Property, Plant, and Equipment.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11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consolidated statements of income and comprehensive income.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Intangibles</w:t>
      </w:r>
    </w:p>
    <w:p>
      <w:pPr>
        <w:spacing w:after="0" w:line="121"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 Equity Securities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Equity securities are stated at fair value. Unrealized gains and losses are reflected in the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For the year ended December 31, 2023 and 2022, the Company believes the cost of the securities was recoverable in all material respects.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16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years ended December 31, 2023 and 2022, the application of valuation techniques applied to similar assets and liabilities has been consistent.</w:t>
      </w:r>
    </w:p>
    <w:p>
      <w:pPr>
        <w:spacing w:after="0" w:line="18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an unrealized gain due to the change in fair value of its interest rate swap of $1.4 million. The interest swap agreement was settled on July 10, 2023. Upon settlement, the swap had a fair value of $0.4 million. For the year ended December 31, 2023, the settlement resulted in a realized loss of $4 thousand. The realized losses are included in other expense, net in the consolidated statements of income and comprehensive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117"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in active markets and other observable inputs directly or indirectly related to the assets or liabilities being measured.</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liabilities measured at fair value are summarized as follows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2"/>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2022</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r>
      <w:tr>
        <w:trPr>
          <w:trHeight w:val="278"/>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-1078230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-1078230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-1078230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-1078230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Level 3 assets or liabilities.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520"/>
        <w:spacing w:after="0" w:line="28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and accounts payable. The carrying amount of such instruments approximates fair value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Prior to the closing of the Merger, there were outstanding shares of DTIH Series A redeemable convertible preferred stock (the "redeemable convertible preferred stock"), which was classified outside of permanent equity in mezzanine equity on the consolidated balance sheets as it was redeemable on a fixed date.</w:t>
      </w:r>
    </w:p>
    <w:p>
      <w:pPr>
        <w:spacing w:after="0" w:line="177"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Upon the closing of the Merger, all of the redeemable convertible preferred stock was canceled in exchange for DTIC Common Stock and the right to receive cash. Accordingly, there was no redeemable convertible preferred stock outstanding as of December 31, 2023. As of December 31, 2022, the carrying value of the redeemable convertible preferred stock outstanding was $17.9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closing of the Merger, the Board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9"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The Board of the Company has not issued any shares of any classes or series of preferred stock as of December 31, 2023, and through the date these financial statements were available to be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Company recorded all operating costs associated with its product sales and tool rental revenue streams in cost of product sale revenue and cost of tool rental revenue, respectively, in the consolidated statements of income and comprehensive income. All indirect operating costs, including labor, freight, contract labor and others, are included in selling, general, and administrative expense in the consolidated statements of income and comprehensive income.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 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 For any stock options granted prior to the Company’s common stock being publicly traded on June 21, 2023, the Company estimated the fair value of its common stock as of the grant date and used these estimates as inputs into the Black-Scholes model. The Board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For the year ended December 31, 2023, the Company did not grant any stock options. For any grants of stock options subsequent to the Company being publicly traded, the Company will use the quoted market price as of the grant date as an input into the Black-Scholes model.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82" w:lineRule="exact"/>
        <w:rPr>
          <w:sz w:val="20"/>
          <w:szCs w:val="20"/>
          <w:color w:val="auto"/>
        </w:rPr>
      </w:pPr>
    </w:p>
    <w:p>
      <w:pPr>
        <w:jc w:val="both"/>
        <w:ind w:right="620"/>
        <w:spacing w:after="0" w:line="281" w:lineRule="auto"/>
        <w:rPr>
          <w:sz w:val="20"/>
          <w:szCs w:val="20"/>
          <w:color w:val="auto"/>
        </w:rPr>
      </w:pPr>
      <w:r>
        <w:rPr>
          <w:rFonts w:ascii="Times New Roman" w:cs="Times New Roman" w:eastAsia="Times New Roman" w:hAnsi="Times New Roman"/>
          <w:sz w:val="18"/>
          <w:szCs w:val="18"/>
          <w:color w:val="auto"/>
        </w:rPr>
        <w:t>The redeemable convertible preferred stock did not contractually entitle its holders to participate in profits or losses. As such, it was not treated as a participating security in periods of net income or net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600"/>
        <w:spacing w:after="0" w:line="265"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 assets and liabilities are recognized for the future tax consequences attributable to differences between the consolidated financial statement carrying amounts of existing assets and liabilities and their respective tax bases.</w:t>
      </w:r>
    </w:p>
    <w:p>
      <w:pPr>
        <w:spacing w:after="0" w:line="177"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2" w:lineRule="exact"/>
        <w:rPr>
          <w:sz w:val="20"/>
          <w:szCs w:val="20"/>
          <w:color w:val="auto"/>
        </w:rPr>
      </w:pPr>
    </w:p>
    <w:p>
      <w:pPr>
        <w:jc w:val="both"/>
        <w:ind w:right="560"/>
        <w:spacing w:after="0" w:line="265" w:lineRule="auto"/>
        <w:rPr>
          <w:sz w:val="20"/>
          <w:szCs w:val="20"/>
          <w:color w:val="auto"/>
        </w:rPr>
      </w:pPr>
      <w:r>
        <w:rPr>
          <w:rFonts w:ascii="Times New Roman" w:cs="Times New Roman" w:eastAsia="Times New Roman" w:hAnsi="Times New Roman"/>
          <w:sz w:val="18"/>
          <w:szCs w:val="18"/>
          <w:color w:val="auto"/>
        </w:rPr>
        <w:t>the benefit recorded in the consolidated financial statements equals the largest amount that is greater than 50% likely to be realized upon its ultimate settlement. The Company has no uncertain tax positions at December 31, 2023 and 2022. The Company believes there are no tax positions taken or expected to be taken that would significantly increase or decrease unrecognized tax benefits within twelve months of the reporting date.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consolidated statements of income and comprehensive income for the year ended December 31, 2023 and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w:t>
      </w:r>
    </w:p>
    <w:p>
      <w:pPr>
        <w:spacing w:after="0" w:line="12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works as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Not Yet Effective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does not intend to early adopt this ASU.</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November 2023, FASB issued ASU 2023-07, Segment Reporting (Topic 280) - 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 permitted. The Company is still evaluating the effects of adopting this new accounting guidance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2 - REVISIONS OF PREVIOUSLY ISSUED FINANCIAL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preparation of its consolidated financial statements as of and for the year ended December 31, 2023, the Company identified certain errors in its previously issued consolidated statements of cash flows for the year ended December 31, 2022 and the three months ended March 31, 2023. The errors identified had no impact on the consolidated balance sheets, statements of operations/income and comprehensive income (loss), and statements of changes in redeemable convertible preferred stock and shareholders’ equity for the year ended December 31, 2022 and the three months ended March 31, 2023. As described further below, the Company has revised its previously issued consolidated statement of cash flows for the year ended December 31, 2022 within this Annual Report on Form 10-K. The Company will revise its consolidated statement of cash flows for the three months ended March 31, 2023 in its future filing of its Quarterly Report on Form 10-Q as of and for the three months ended March 31, 2024. The following paragraphs describe the errors in the previously issued consolidated statements of cash flows for the year ended December 31, 2022 and the table following these paragraphs presents the quantitative impact of the errors described in the paragraphs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 errors related to leases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determined that the previously reported amount of $9.5 million in ROU assets obtained in exchange for lease liabilities disclosed within the non-cash investing and financing activities section of the consolidated statement of cash flows for the year ended December 31, 2022 was calculated incorrectly. The calculation of the amount previously reported in the consolidated statement of cash flows incorrectly included amounts for Canadian leases that were excluded from the consolidated balance sheet due to their being immaterial. In addition, the calculation incorrectly included amounts for ROU assets obtained in exchange for lease liabilities whereby the leases had terminated.</w:t>
      </w:r>
    </w:p>
    <w:p>
      <w:pPr>
        <w:spacing w:after="0" w:line="182"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Also, with respect to leases, the Company determined that the previously reported amount of non-cash lease expense of negative $3.8 million within the operating activities section of the consolidated statement of cash flows for the year ended December 31, 2022 was calculated incorrectly. The previously reported amount was calculated as solely the change in ROU assets from December 31, 2021 to December 31, 2022 without taking into account the fact that the change in ROU assets is also impacted by the non-cash ROU assets obtained in exchange for lease liabilities.</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the Company determined that the previously reported amount of $3.7 million for operating lease liabilities within the changes in operating assets and liabilities section of the consolidated statement of cash flows was calculated incorrectly. The previously reported amount was calculated as solely the change in the operating lease liability from December 31, 2021 to December 31, 2022 without taking into account the fact that the change in the operating lease liability is also impacted by the non-cash ROU assets obtained in exchange for lease liabilities described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 errors related to inventory and property, plant, and equipment</w:t>
      </w:r>
    </w:p>
    <w:p>
      <w:pPr>
        <w:spacing w:after="0" w:line="227"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Company determined that the previously reported amount of inventories of negative $1.0 million within the changes in operating assets and liabilities section of the consolidated statement of cash flows for the year ended December 31, 2022 was calculated incorrectly. The calculation of the amount previously reported in the consolidated statement of cash flows incorrectly included the non-cash amounts expensed on the income statement for the provision for excess and obsolete inventory. The provision for excess and obsolete inventory should have been presented separately within the reconciliation of net income to net cash flows from operating activities in the consolidated statement of cash flows for the year ended December 31, 2022.</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Company determined that the previously reported amount of inventories of negative $1.0 million and accounts payable of negative $1.0 million within the changes in operating assets and liabilities section of the consolidated statement of cash flows for the year ended December 31, 2022 were not adjusted for the impact of the amount of purchases of inventory that were not paid in cash during the year ended December 31, 2022. The previously reported amounts were calculated as solely the changes in inventories and accounts payable from December 31, 2021 to December 31, 2022 without taking into account the fact that the changes in both inventories and accounts payable are also impacted by the amount of inventory that has not yet been paid in cash at period end.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65" w:name="page66"/>
    <w:bookmarkEnd w:id="65"/>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determined that the previously reported amount of proceeds from sale of lost-in-hole equipment of $20.3 million within the investing activities section of the consolidated statement of cash flows for the year ended December 31, 2022 was calculated incorrectly. The calculation of the amount previously reported in the consolidated statement of cash flows incorrectly included the non-cash amounts expensed on the income statement for the provision for excess and obsolete property, plant and equipment. The amount for the provision for excess and obsolete property, plant and equipment should have been presented within the reconciliation of net income to net cash flows from operating activities on the consolidated statement of cash flows for the year ended December 31, 2022.</w:t>
      </w:r>
    </w:p>
    <w:p>
      <w:pPr>
        <w:spacing w:after="0" w:line="186"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Furthermore, the Company determined that the previously reported amount of purchases of property, plant and equipment of negative $23.8 million within the investing activities section of the consolidated statement of cash flows for the year ended December 31, 2022 was calculated incorrectly. The Company determined that the previously reported amount of purchases of property, plant and equipment was calculated using an incorrect amount for the additions to property, plant and equipment that were not paid for in cash during the year ended December 31, 2022.</w:t>
      </w:r>
    </w:p>
    <w:p>
      <w:pPr>
        <w:spacing w:after="0" w:line="182"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Additionally, the Company determined that the previously reported amount of accounts payable of negative $1.0 million within the operating activities section of the consolidated statement of cash flows for the year ended December 31, 2022 was not adjusted for the impact of the purchases of property, plant and equipment that were not paid for in cash during the year ended December 31, 2022.</w:t>
      </w:r>
    </w:p>
    <w:p>
      <w:pPr>
        <w:spacing w:after="0" w:line="17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Also, with respect to inventory and property, plant and equipment, the Company determined that the previously disclosed non-cash investing and financing activities section incorrectly failed to disclose the amounts of purchases of inventory and property, plant and equipment remaining in accounts payable as of December 31, 2022.</w:t>
      </w:r>
    </w:p>
    <w:p>
      <w:pPr>
        <w:spacing w:after="0" w:line="1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evaluated the errors described above (and quantified in the table below), both qualitatively and quantitatively, in accordance with Securities and Exchange Commission (“SEC”) Staff Accounting Bulletin (“SAB”) Topic 1.M, Materiality, codified in ASC 250, Accounting Changes and Error Corrections, and concluded that the errors were not material to the previously issued financial statements taken as a whole. The consolidated financial statements presented herein as of and for the years ended December 31, 2023 and 2022 have been revised to correct the errors described above in accordance with SEC SAB Topic 1.M, as codified in ASC 250.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 thousands) the effects of the corrections of the errors described above: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100" w:type="dxa"/>
            <w:vAlign w:val="bottom"/>
          </w:tcPr>
          <w:p>
            <w:pPr>
              <w:spacing w:after="0"/>
              <w:rPr>
                <w:sz w:val="14"/>
                <w:szCs w:val="14"/>
                <w:color w:val="auto"/>
              </w:rPr>
            </w:pPr>
          </w:p>
        </w:tc>
        <w:tc>
          <w:tcPr>
            <w:tcW w:w="1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660" w:type="dxa"/>
            <w:vAlign w:val="bottom"/>
          </w:tcPr>
          <w:p>
            <w:pPr>
              <w:spacing w:after="0"/>
              <w:rPr>
                <w:sz w:val="14"/>
                <w:szCs w:val="14"/>
                <w:color w:val="auto"/>
              </w:rPr>
            </w:pPr>
          </w:p>
        </w:tc>
        <w:tc>
          <w:tcPr>
            <w:tcW w:w="178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40" w:type="dxa"/>
            <w:vAlign w:val="bottom"/>
          </w:tcPr>
          <w:p>
            <w:pPr>
              <w:spacing w:after="0"/>
              <w:rPr>
                <w:sz w:val="14"/>
                <w:szCs w:val="14"/>
                <w:color w:val="auto"/>
              </w:rPr>
            </w:pPr>
          </w:p>
        </w:tc>
        <w:tc>
          <w:tcPr>
            <w:tcW w:w="13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(3,768 )</w:t>
            </w:r>
          </w:p>
        </w:tc>
        <w:tc>
          <w:tcPr>
            <w:tcW w:w="6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7,907</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7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property and equipment</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510</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660" w:type="dxa"/>
            <w:vAlign w:val="bottom"/>
          </w:tcPr>
          <w:p>
            <w:pPr>
              <w:spacing w:after="0"/>
              <w:rPr>
                <w:sz w:val="20"/>
                <w:szCs w:val="20"/>
                <w:color w:val="auto"/>
              </w:rPr>
            </w:pPr>
          </w:p>
        </w:tc>
        <w:tc>
          <w:tcPr>
            <w:tcW w:w="17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6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(7,907 )</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(4,174 )</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660" w:type="dxa"/>
            <w:vAlign w:val="bottom"/>
          </w:tcPr>
          <w:p>
            <w:pPr>
              <w:spacing w:after="0"/>
              <w:rPr>
                <w:sz w:val="20"/>
                <w:szCs w:val="20"/>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(451 )</w:t>
            </w:r>
          </w:p>
        </w:tc>
        <w:tc>
          <w:tcPr>
            <w:tcW w:w="3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(1,432 )</w:t>
            </w: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(23,753 )</w:t>
            </w:r>
          </w:p>
        </w:tc>
        <w:tc>
          <w:tcPr>
            <w:tcW w:w="6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(935 )</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(24,688 )</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lost-in-hole equipment</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660" w:type="dxa"/>
            <w:vAlign w:val="bottom"/>
          </w:tcPr>
          <w:p>
            <w:pPr>
              <w:spacing w:after="0"/>
              <w:rPr>
                <w:sz w:val="20"/>
                <w:szCs w:val="20"/>
                <w:color w:val="auto"/>
              </w:rPr>
            </w:pPr>
          </w:p>
        </w:tc>
        <w:tc>
          <w:tcPr>
            <w:tcW w:w="17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797</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6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(1,544 )</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FF0FC"/>
          </w:tcPr>
          <w:p>
            <w:pPr>
              <w:spacing w:after="0"/>
              <w:rPr>
                <w:sz w:val="21"/>
                <w:szCs w:val="21"/>
                <w:color w:val="auto"/>
              </w:rPr>
            </w:pPr>
          </w:p>
        </w:tc>
      </w:tr>
      <w:tr>
        <w:trPr>
          <w:trHeight w:val="21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inventory included in accounts payable and accrued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and other current liabilities</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7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r>
        <w:trPr>
          <w:trHeight w:val="218"/>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accrued expenses and other current liabilities</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21"/>
                <w:szCs w:val="21"/>
                <w:color w:val="auto"/>
              </w:rPr>
            </w:pPr>
          </w:p>
        </w:tc>
      </w:tr>
      <w:tr>
        <w:trPr>
          <w:trHeight w:val="863"/>
        </w:trPr>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5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6" w:name="page67"/>
    <w:bookmarkEnd w:id="66"/>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1 - S</w:t>
      </w:r>
      <w:r>
        <w:rPr>
          <w:rFonts w:ascii="Times New Roman" w:cs="Times New Roman" w:eastAsia="Times New Roman" w:hAnsi="Times New Roman"/>
          <w:sz w:val="18"/>
          <w:szCs w:val="18"/>
          <w:i w:val="1"/>
          <w:iCs w:val="1"/>
          <w:color w:val="auto"/>
        </w:rPr>
        <w:t>ummary of significant accounting Policies</w:t>
      </w:r>
      <w:r>
        <w:rPr>
          <w:rFonts w:ascii="Times New Roman" w:cs="Times New Roman" w:eastAsia="Times New Roman" w:hAnsi="Times New Roman"/>
          <w:sz w:val="18"/>
          <w:szCs w:val="18"/>
          <w:color w:val="auto"/>
        </w:rPr>
        <w:t>, on June 20, 2023, the Company completed the Merger. Upon the closing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the following occurred:</w:t>
      </w:r>
    </w:p>
    <w:p>
      <w:pPr>
        <w:spacing w:after="0" w:line="98" w:lineRule="exact"/>
        <w:rPr>
          <w:sz w:val="20"/>
          <w:szCs w:val="20"/>
          <w:color w:val="auto"/>
        </w:rPr>
      </w:pPr>
    </w:p>
    <w:p>
      <w:pPr>
        <w:ind w:left="660" w:right="60" w:hanging="143"/>
        <w:spacing w:after="0" w:line="276"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DTIH common stock issued and outstanding immediately prior to the closing of the Merger, which totaled 52,363,876 shares (other than the shares described for the net exercise of the option and as compensation pursuant to the TSA), was exchanged for the right to receive</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0.2282 shares of DTIC Common Stock (the "Common Exchange Ratio") resulting in the issuance of 11,951,137 shares of DTIC Common Stock.</w:t>
      </w:r>
    </w:p>
    <w:p>
      <w:pPr>
        <w:spacing w:after="0" w:line="98" w:lineRule="exact"/>
        <w:rPr>
          <w:rFonts w:ascii="Times New Roman" w:cs="Times New Roman" w:eastAsia="Times New Roman" w:hAnsi="Times New Roman"/>
          <w:sz w:val="17"/>
          <w:szCs w:val="17"/>
          <w:color w:val="auto"/>
        </w:rPr>
      </w:pPr>
    </w:p>
    <w:p>
      <w:pPr>
        <w:ind w:left="660" w:hanging="143"/>
        <w:spacing w:after="0" w:line="26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DTIH redeemable convertible preferred stock issued and outstanding immediately prior to the closing of the Merger, which totaled 20,370,377 shares, was exchanged for the right to receive 0.3299 shares of DTIC Common Stock (the "Preferred Exchange Ratio") resulting in the issuance of 6,719,641 shares of DTIC Common Stock.</w:t>
      </w:r>
    </w:p>
    <w:p>
      <w:pPr>
        <w:spacing w:after="0" w:line="69" w:lineRule="exact"/>
        <w:rPr>
          <w:rFonts w:ascii="Times New Roman" w:cs="Times New Roman" w:eastAsia="Times New Roman" w:hAnsi="Times New Roman"/>
          <w:sz w:val="18"/>
          <w:szCs w:val="18"/>
          <w:color w:val="auto"/>
        </w:rPr>
      </w:pPr>
    </w:p>
    <w:p>
      <w:pPr>
        <w:ind w:left="660" w:right="740" w:hanging="143"/>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non-redeemable share of ROC common stock issued and outstanding immediately prior to the closing of the Merger, which totaled 3,403,500 shares, was exchanged for, on a one-for-one basis, shares of DTIC Common Stock.</w:t>
      </w:r>
    </w:p>
    <w:p>
      <w:pPr>
        <w:spacing w:after="0" w:line="54" w:lineRule="exact"/>
        <w:rPr>
          <w:rFonts w:ascii="Times New Roman" w:cs="Times New Roman" w:eastAsia="Times New Roman" w:hAnsi="Times New Roman"/>
          <w:sz w:val="18"/>
          <w:szCs w:val="18"/>
          <w:color w:val="auto"/>
        </w:rPr>
      </w:pPr>
    </w:p>
    <w:p>
      <w:pPr>
        <w:ind w:left="660" w:right="40" w:hanging="143"/>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ROC common stock subject to possible redemption that was not redeemed prior to the closing of the Merger, which totaled 158,621 shares, was exchanged for, on a one-for-one basis, shares of DTIC Common Stock.</w:t>
      </w:r>
    </w:p>
    <w:p>
      <w:pPr>
        <w:spacing w:after="0" w:line="54" w:lineRule="exact"/>
        <w:rPr>
          <w:rFonts w:ascii="Times New Roman" w:cs="Times New Roman" w:eastAsia="Times New Roman" w:hAnsi="Times New Roman"/>
          <w:sz w:val="18"/>
          <w:szCs w:val="18"/>
          <w:color w:val="auto"/>
        </w:rPr>
      </w:pPr>
    </w:p>
    <w:p>
      <w:pPr>
        <w:ind w:left="660" w:right="80" w:hanging="143"/>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ROC's public rights and private rights outstanding immediately prior to the closing of the Merger, which totaled 20,700,000 and 796,000, respectively, were exchanged for, on a ten-for-one basis, 2,070,000 and 79,600 shares of DTIC Common Stock, respectively.</w:t>
      </w:r>
    </w:p>
    <w:p>
      <w:pPr>
        <w:spacing w:after="0" w:line="54" w:lineRule="exact"/>
        <w:rPr>
          <w:rFonts w:ascii="Times New Roman" w:cs="Times New Roman" w:eastAsia="Times New Roman" w:hAnsi="Times New Roman"/>
          <w:sz w:val="18"/>
          <w:szCs w:val="18"/>
          <w:color w:val="auto"/>
        </w:rPr>
      </w:pPr>
    </w:p>
    <w:p>
      <w:pPr>
        <w:ind w:left="660" w:hanging="143"/>
        <w:spacing w:after="0" w:line="26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Merger, one DTIH stock option holder elected to net exercise all of such holder's options, resulting in the issuance of 158,444 shares of DTIH common stock, which upon the closing of the Merger, were canceled and exchanged for the right to receive 0.2282 shares of DTIC Common Stock per share of DTIH common stock, which resulted in the issuance of 36,163 shares of DTIC Common Stock.</w:t>
      </w:r>
    </w:p>
    <w:p>
      <w:pPr>
        <w:spacing w:after="0" w:line="69" w:lineRule="exact"/>
        <w:rPr>
          <w:rFonts w:ascii="Times New Roman" w:cs="Times New Roman" w:eastAsia="Times New Roman" w:hAnsi="Times New Roman"/>
          <w:sz w:val="18"/>
          <w:szCs w:val="18"/>
          <w:color w:val="auto"/>
        </w:rPr>
      </w:pPr>
    </w:p>
    <w:p>
      <w:pPr>
        <w:ind w:left="660" w:hanging="143"/>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DTIH entered into a transaction services agreement (the "TSA") with Hicks Holdings Operating LLC ("HHLLC") on January 27, 2012, as amended February 13, 2023, pursuant to which DTIH must pay HHLLC a transaction fee equal to 1.5% of any subsequent transaction, as defined in the TSA. The Merger constitutes a subsequent transaction per the TSA and, therefore, the Board authorized DTIH to issue 1,149,830 shares of DTIH common stock to HHLLC and 328,611 shares of DTIH common stock to a stockholder of DTIH who is affiliated with HHLLC, immediately prior to the closing of the Merger. The DTIH common stock was issued immediately prior to the closing of the Merger and the issuance resulted in the recognition of $2.3 million of stock-based compensation expense within other expense on the consolidated statements of income and comprehensive income for the year ended December 31, 2023. The shares of DTIH common stock issued were exchanged for 337,429 shares of DTIC Common Stock as of the date of the closing of the Merger in accordance with the Common Exchange Ratio. The $2.3 million of stock-based compensation was recorded by taking the $6.95 quoted market price of the Company's common stock as of the date and time of the closing of the Merger and multiplying this price by the 337,429 shares of DTIC Common Stock Issued.</w:t>
      </w:r>
    </w:p>
    <w:p>
      <w:pPr>
        <w:spacing w:after="0" w:line="83" w:lineRule="exact"/>
        <w:rPr>
          <w:rFonts w:ascii="Times New Roman" w:cs="Times New Roman" w:eastAsia="Times New Roman" w:hAnsi="Times New Roman"/>
          <w:sz w:val="18"/>
          <w:szCs w:val="18"/>
          <w:color w:val="auto"/>
        </w:rPr>
      </w:pPr>
    </w:p>
    <w:p>
      <w:pPr>
        <w:ind w:left="660" w:hanging="143"/>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certain holders of DTIH redeemable convertible preferred stockholders entered into exchange agreements (the "Exchange Agreements") wherein the DTIH redeemable convertible preferred stockholders exchanged their rights to receive a portion of the $11.0 million Aggregate Company Cash Consideration (as defined within the Merger Agreement) for the rights to receive shares of DTIC Common Stock. Immediately following the effectiveness of the Exchange Agreements, which became effective as of the closing of the Merger, the holders of DTIH redeemable convertible preferred stock that participated in the Exchange Agreements held 2,042,181 shares of DTIC Common Stock as a result of their participation in the Exchange Agreements. In addition, the holders of DTIH redeemable convertible preferred stock that did not participate in the Exchange Agreements were paid $0.2 million from the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84"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Aggregate Company Cash Consideration in exchange for the cancellation of their DTIH redeemable convertible preferred stock in connection with the closing of the Merger.</w:t>
      </w:r>
    </w:p>
    <w:p>
      <w:pPr>
        <w:spacing w:after="0" w:line="55" w:lineRule="exact"/>
        <w:rPr>
          <w:sz w:val="20"/>
          <w:szCs w:val="20"/>
          <w:color w:val="auto"/>
        </w:rPr>
      </w:pPr>
    </w:p>
    <w:p>
      <w:pPr>
        <w:ind w:left="660" w:right="80" w:hanging="143"/>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ROC entered into subscription agreements (the "Subscription Agreements") with certain accredited investors (which were related parties of ROC due to their affiliation with ROC Energy Holdings, LLC, which is ROC's sponsor ("Sponsor" or "ROC Sponsor")) (the "PIPE Investors") for an aggregate of 2,970,296 shares of DTIC Common Stock at a price of $10.10 per share, for a total of $30.0 million (the "PIPE Financing"). Upon the closing of the PIPE Financing (which closed in connection with the closing of the Merger), the Company received $25.9 million in cash and $4.1 million worth of shares from the PIPE Financing were used to settle related party promissory notes issued by ROC to the ROC Sponsor and an affiliate of ROC Sponsor.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received by the Company from the Merger and PIPE Financing, net of transaction costs, totaled $23.2 million.</w:t>
      </w:r>
    </w:p>
    <w:p>
      <w:pPr>
        <w:spacing w:after="0" w:line="2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The Merger was accounted for as a reverse recapitalization in accordance with U.S. GAAP. Under this method of accounting, ROC was treated as the acquired company for financial reporting purposes (see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further details. Accordingly, for accounting purposes, the Merger was treated as the equivalent of the Company issuing shares for the net assets of ROC, accompanied by a recapitalization. The net assets of ROC were stated at historical cost with no goodwill or other intangible assets recorded.</w:t>
      </w:r>
    </w:p>
    <w:p>
      <w:pPr>
        <w:sectPr>
          <w:pgSz w:w="11900" w:h="16838" w:orient="portrait"/>
          <w:cols w:equalWidth="0" w:num="1">
            <w:col w:w="11240"/>
          </w:cols>
          <w:pgMar w:left="320" w:top="1440"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total DTIC Common Stock outstanding immediately after the closing of the Merger:</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Exchange of ROC common stock not subject to possible redemption for DTIC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-127635</wp:posOffset>
            </wp:positionV>
            <wp:extent cx="6413500" cy="290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3500" cy="29083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Common Stock upon Merger</w:t>
      </w:r>
    </w:p>
    <w:p>
      <w:pPr>
        <w:spacing w:after="0" w:line="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Conversion of ROC Public Rights into shares of DTIC Common Stock</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Conversion of ROC Private Rights into shares of DTIC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-127635</wp:posOffset>
            </wp:positionV>
            <wp:extent cx="641350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p>
      <w:pPr>
        <w:spacing w:after="0" w:line="16" w:lineRule="exact"/>
        <w:rPr>
          <w:sz w:val="20"/>
          <w:szCs w:val="20"/>
          <w:color w:val="auto"/>
        </w:rPr>
      </w:pPr>
    </w:p>
    <w:p>
      <w:pPr>
        <w:ind w:left="720" w:right="2880" w:hanging="134"/>
        <w:spacing w:after="0" w:line="265" w:lineRule="auto"/>
        <w:rPr>
          <w:sz w:val="20"/>
          <w:szCs w:val="20"/>
          <w:color w:val="auto"/>
        </w:rPr>
      </w:pPr>
      <w:r>
        <w:rPr>
          <w:rFonts w:ascii="Times New Roman" w:cs="Times New Roman" w:eastAsia="Times New Roman" w:hAnsi="Times New Roman"/>
          <w:sz w:val="18"/>
          <w:szCs w:val="18"/>
          <w:color w:val="auto"/>
        </w:rPr>
        <w:t>Exchange of ROC common stock subject to possible redemption that was not redeemed for DTIC Common Stock</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Subtotal - Merger,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-127635</wp:posOffset>
            </wp:positionV>
            <wp:extent cx="641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3500" cy="179705"/>
                    </a:xfrm>
                    <a:prstGeom prst="rect">
                      <a:avLst/>
                    </a:prstGeom>
                    <a:noFill/>
                  </pic:spPr>
                </pic:pic>
              </a:graphicData>
            </a:graphic>
          </wp:anchor>
        </w:drawing>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Issuance of DTIC Common Stock in connection with PIPE Financing</w:t>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Exchange of DTIH common stock outstanding as of December 31, 2022 for DTIC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-127635</wp:posOffset>
            </wp:positionV>
            <wp:extent cx="6413500" cy="290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3500" cy="29083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Common Stock</w:t>
      </w:r>
    </w:p>
    <w:p>
      <w:pPr>
        <w:spacing w:after="0" w:line="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Exchange of DTIH redeemable convertible preferred stock outstanding as of</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December 31, 2022 for DTIC Common Stock</w:t>
      </w:r>
    </w:p>
    <w:p>
      <w:pPr>
        <w:spacing w:after="0" w:line="17" w:lineRule="exact"/>
        <w:rPr>
          <w:sz w:val="20"/>
          <w:szCs w:val="20"/>
          <w:color w:val="auto"/>
        </w:rPr>
      </w:pPr>
    </w:p>
    <w:p>
      <w:pPr>
        <w:ind w:left="720" w:right="2680" w:hanging="134"/>
        <w:spacing w:after="0" w:line="265" w:lineRule="auto"/>
        <w:rPr>
          <w:sz w:val="20"/>
          <w:szCs w:val="20"/>
          <w:color w:val="auto"/>
        </w:rPr>
      </w:pPr>
      <w:r>
        <w:rPr>
          <w:rFonts w:ascii="Times New Roman" w:cs="Times New Roman" w:eastAsia="Times New Roman" w:hAnsi="Times New Roman"/>
          <w:sz w:val="18"/>
          <w:szCs w:val="18"/>
          <w:color w:val="auto"/>
        </w:rPr>
        <w:t>Issuance of shares as stock-based compensation to former DTIH stockholders as part of transaction services agreement upon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-286385</wp:posOffset>
            </wp:positionV>
            <wp:extent cx="6413500" cy="290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3500" cy="290830"/>
                    </a:xfrm>
                    <a:prstGeom prst="rect">
                      <a:avLst/>
                    </a:prstGeom>
                    <a:noFill/>
                  </pic:spPr>
                </pic:pic>
              </a:graphicData>
            </a:graphic>
          </wp:anchor>
        </w:drawing>
      </w:r>
    </w:p>
    <w:p>
      <w:pPr>
        <w:ind w:left="720" w:right="3180" w:hanging="134"/>
        <w:spacing w:after="0" w:line="281" w:lineRule="auto"/>
        <w:rPr>
          <w:sz w:val="20"/>
          <w:szCs w:val="20"/>
          <w:color w:val="auto"/>
        </w:rPr>
      </w:pPr>
      <w:r>
        <w:rPr>
          <w:rFonts w:ascii="Times New Roman" w:cs="Times New Roman" w:eastAsia="Times New Roman" w:hAnsi="Times New Roman"/>
          <w:sz w:val="17"/>
          <w:szCs w:val="17"/>
          <w:color w:val="auto"/>
        </w:rPr>
        <w:t>Issuance of DTIC Common Stock to former holders of DTIH redeemable convertible preferred stock in connection with Exchange Agreements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exercise of stock options by DTIH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-127635</wp:posOffset>
            </wp:positionV>
            <wp:extent cx="641350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3500" cy="162560"/>
                    </a:xfrm>
                    <a:prstGeom prst="rect">
                      <a:avLst/>
                    </a:prstGeom>
                    <a:noFill/>
                  </pic:spPr>
                </pic:pic>
              </a:graphicData>
            </a:graphic>
          </wp:anchor>
        </w:drawing>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 DTIC Common Stock outstanding as a result of Merger, PIPE Financing,</w:t>
      </w:r>
    </w:p>
    <w:p>
      <w:pPr>
        <w:spacing w:after="0" w:line="27" w:lineRule="exact"/>
        <w:rPr>
          <w:sz w:val="20"/>
          <w:szCs w:val="20"/>
          <w:color w:val="auto"/>
        </w:rPr>
      </w:pPr>
    </w:p>
    <w:p>
      <w:pPr>
        <w:ind w:left="720" w:right="2860" w:firstLine="10"/>
        <w:spacing w:after="0" w:line="260" w:lineRule="auto"/>
        <w:rPr>
          <w:sz w:val="20"/>
          <w:szCs w:val="20"/>
          <w:color w:val="auto"/>
        </w:rPr>
      </w:pPr>
      <w:r>
        <w:rPr>
          <w:rFonts w:ascii="Times New Roman" w:cs="Times New Roman" w:eastAsia="Times New Roman" w:hAnsi="Times New Roman"/>
          <w:sz w:val="18"/>
          <w:szCs w:val="18"/>
          <w:color w:val="auto"/>
        </w:rPr>
        <w:t>DTIH for DTIC share exchanges, transaction services agreement, Exchange Agreements, and exercise of 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3,403,500</w:t>
      </w:r>
    </w:p>
    <w:p>
      <w:pPr>
        <w:spacing w:after="0" w:line="36"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2,070,000</w:t>
      </w:r>
    </w:p>
    <w:p>
      <w:pPr>
        <w:spacing w:after="0" w:line="36"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79,600</w:t>
      </w: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158,621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33020</wp:posOffset>
            </wp:positionV>
            <wp:extent cx="1104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5,711,721</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2,970,296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26035</wp:posOffset>
            </wp:positionV>
            <wp:extent cx="11042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11,951,137</w:t>
      </w: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6,719,641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26035</wp:posOffset>
            </wp:positionV>
            <wp:extent cx="11042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337,429</w:t>
      </w:r>
    </w:p>
    <w:p>
      <w:pPr>
        <w:spacing w:after="0" w:line="263"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2,042,181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26035</wp:posOffset>
            </wp:positionV>
            <wp:extent cx="11042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2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36,163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29,768,568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33020</wp:posOffset>
            </wp:positionV>
            <wp:extent cx="11042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04265" cy="825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50165</wp:posOffset>
            </wp:positionV>
            <wp:extent cx="11042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9040" w:space="720"/>
            <w:col w:w="14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fair value of the Company’s investments in equity securities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24"/>
                <w:szCs w:val="2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Unrealized holding losses on equity securities for the year ended December 31, 2023 were $0.3 million where unrealized holding gains on equity securities for the year ended December 31, 2022 were $0.2 million.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BALANCE SHEET DETAILS - CURRENT ASSETS AND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tcBorders>
              <w:top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80" w:type="dxa"/>
            <w:vAlign w:val="bottom"/>
            <w:shd w:val="clear" w:color="auto" w:fill="CFF0FC"/>
          </w:tcPr>
          <w:p>
            <w:pPr>
              <w:spacing w:after="0"/>
              <w:rPr>
                <w:sz w:val="20"/>
                <w:szCs w:val="20"/>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r>
      <w:tr>
        <w:trPr>
          <w:trHeight w:val="278"/>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46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1"/>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obsolete inventory</w:t>
            </w:r>
          </w:p>
        </w:tc>
        <w:tc>
          <w:tcPr>
            <w:tcW w:w="4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(211 )</w:t>
            </w:r>
          </w:p>
        </w:tc>
      </w:tr>
      <w:tr>
        <w:trPr>
          <w:trHeight w:val="278"/>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46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-367665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-350520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-367665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-350520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ERC benefits receivable</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Deposits on inventory</w:t>
            </w: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rent</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equipment</w:t>
            </w: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other</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asset</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4,381</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4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insurance</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transaction advisory fees</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property taxes</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monitoring fee</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21"/>
                <w:szCs w:val="21"/>
                <w:color w:val="auto"/>
              </w:rPr>
            </w:pPr>
          </w:p>
        </w:tc>
      </w:tr>
      <w:tr>
        <w:trPr>
          <w:trHeight w:val="24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42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lost-in-hole revenue</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r>
      <w:tr>
        <w:trPr>
          <w:trHeight w:val="265"/>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42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10,579</w:t>
            </w:r>
          </w:p>
        </w:tc>
        <w:tc>
          <w:tcPr>
            <w:tcW w:w="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7,299</w:t>
            </w:r>
          </w:p>
        </w:tc>
        <w:tc>
          <w:tcPr>
            <w:tcW w:w="80" w:type="dxa"/>
            <w:vAlign w:val="bottom"/>
            <w:shd w:val="clear" w:color="auto" w:fill="CFF0FC"/>
          </w:tcPr>
          <w:p>
            <w:pPr>
              <w:spacing w:after="0"/>
              <w:rPr>
                <w:sz w:val="23"/>
                <w:szCs w:val="23"/>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0" w:name="page71"/>
    <w:bookmarkEnd w:id="70"/>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40" w:type="dxa"/>
            <w:vAlign w:val="bottom"/>
          </w:tcPr>
          <w:p>
            <w:pPr>
              <w:spacing w:after="0"/>
              <w:rPr>
                <w:sz w:val="13"/>
                <w:szCs w:val="1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00" w:type="dxa"/>
            <w:vAlign w:val="bottom"/>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188,949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160,973</w:t>
            </w:r>
          </w:p>
        </w:tc>
        <w:tc>
          <w:tcPr>
            <w:tcW w:w="80" w:type="dxa"/>
            <w:vAlign w:val="bottom"/>
            <w:shd w:val="clear" w:color="auto" w:fill="CFF0FC"/>
          </w:tcPr>
          <w:p>
            <w:pPr>
              <w:spacing w:after="0"/>
              <w:rPr>
                <w:sz w:val="20"/>
                <w:szCs w:val="20"/>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21"/>
                <w:szCs w:val="21"/>
                <w:color w:val="auto"/>
              </w:rPr>
            </w:pP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198,803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169,682</w:t>
            </w:r>
          </w:p>
        </w:tc>
        <w:tc>
          <w:tcPr>
            <w:tcW w:w="80" w:type="dxa"/>
            <w:vAlign w:val="bottom"/>
            <w:shd w:val="clear" w:color="auto" w:fill="CFF0FC"/>
          </w:tcPr>
          <w:p>
            <w:pPr>
              <w:spacing w:after="0"/>
              <w:rPr>
                <w:sz w:val="20"/>
                <w:szCs w:val="20"/>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(133,003 )</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(125,537 )</w:t>
            </w:r>
          </w:p>
        </w:tc>
      </w:tr>
      <w:tr>
        <w:trPr>
          <w:trHeight w:val="205"/>
        </w:trPr>
        <w:tc>
          <w:tcPr>
            <w:tcW w:w="5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w:t>
            </w: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52"/>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construction in progress)</w:t>
            </w: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65,800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44,145</w:t>
            </w:r>
          </w:p>
        </w:tc>
        <w:tc>
          <w:tcPr>
            <w:tcW w:w="80" w:type="dxa"/>
            <w:vAlign w:val="bottom"/>
            <w:shd w:val="clear" w:color="auto" w:fill="CFF0FC"/>
          </w:tcPr>
          <w:p>
            <w:pPr>
              <w:spacing w:after="0"/>
              <w:rPr>
                <w:sz w:val="21"/>
                <w:szCs w:val="21"/>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r>
      <w:tr>
        <w:trPr>
          <w:trHeight w:val="278"/>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65,800</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44,154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-24765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-7620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Total depreciation expense for the year ended December 31, 2023 and 2022 was approximately $20.3 million and $19.7 million, respectively. The Company has not acquired any property, plant and equipment under capital leases.</w:t>
      </w:r>
    </w:p>
    <w:p>
      <w:pPr>
        <w:spacing w:after="0" w:line="16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Property, plant and equipment, net, were concentrated within the United States. As of December 31, 2023 and 2022, property, plant and equipment, net held within the United States was $63.0 million and $41.8 million, respectively, or 96% and 95% of total property, plant and equipment, net, respectively. As of December 31, 2023 and 2022, property, plant and equipment, net held outside of the United States, in Canada, was $2.8 million and $2.3 million, or 4% and 5% of total property, plant and equipment net for both periods.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6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FF0FC"/>
          </w:tcPr>
          <w:p>
            <w:pPr>
              <w:spacing w:after="0"/>
              <w:rPr>
                <w:sz w:val="20"/>
                <w:szCs w:val="20"/>
                <w:color w:val="auto"/>
              </w:rPr>
            </w:pP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r>
      <w:tr>
        <w:trPr>
          <w:trHeight w:val="24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80" w:type="dxa"/>
            <w:vAlign w:val="bottom"/>
            <w:shd w:val="clear" w:color="auto" w:fill="CFF0FC"/>
          </w:tcPr>
          <w:p>
            <w:pPr>
              <w:spacing w:after="0"/>
              <w:rPr>
                <w:sz w:val="20"/>
                <w:szCs w:val="20"/>
                <w:color w:val="auto"/>
              </w:rPr>
            </w:pP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(1,334 )</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(1,287 )</w:t>
            </w:r>
          </w:p>
        </w:tc>
      </w:tr>
      <w:tr>
        <w:trPr>
          <w:trHeight w:val="278"/>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-24765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year ended December 31, 2023 and 2022 was approximately $47 thousand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2" w:name="page73"/>
    <w:bookmarkEnd w:id="72"/>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and 2022, the components of the Company’s lease expense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1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gridSpan w:val="2"/>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gridSpan w:val="2"/>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80" w:type="dxa"/>
            <w:vAlign w:val="bottom"/>
            <w:tcBorders>
              <w:left w:val="single" w:sz="8" w:color="CFF0FC"/>
            </w:tcBorders>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left w:val="single" w:sz="8" w:color="CFF0FC"/>
            </w:tcBorders>
            <w:shd w:val="clear" w:color="auto" w:fill="CFF0FC"/>
          </w:tcPr>
          <w:p>
            <w:pPr>
              <w:spacing w:after="0"/>
              <w:rPr>
                <w:sz w:val="21"/>
                <w:szCs w:val="21"/>
                <w:color w:val="auto"/>
              </w:rPr>
            </w:pPr>
          </w:p>
        </w:tc>
        <w:tc>
          <w:tcPr>
            <w:tcW w:w="6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8"/>
        </w:trPr>
        <w:tc>
          <w:tcPr>
            <w:tcW w:w="1140" w:type="dxa"/>
            <w:vAlign w:val="bottom"/>
          </w:tcPr>
          <w:p>
            <w:pPr>
              <w:spacing w:after="0"/>
              <w:rPr>
                <w:sz w:val="22"/>
                <w:szCs w:val="22"/>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6,451</w:t>
            </w:r>
          </w:p>
        </w:tc>
        <w:tc>
          <w:tcPr>
            <w:tcW w:w="180" w:type="dxa"/>
            <w:vAlign w:val="bottom"/>
            <w:tcBorders>
              <w:left w:val="single" w:sz="8" w:color="CFF0FC"/>
            </w:tcBorders>
            <w:shd w:val="clear" w:color="auto" w:fill="CFF0FC"/>
          </w:tcPr>
          <w:p>
            <w:pPr>
              <w:spacing w:after="0"/>
              <w:rPr>
                <w:sz w:val="22"/>
                <w:szCs w:val="22"/>
                <w:color w:val="auto"/>
              </w:rPr>
            </w:pPr>
          </w:p>
        </w:tc>
        <w:tc>
          <w:tcPr>
            <w:tcW w:w="6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6,001</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7"/>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1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1140" w:type="dxa"/>
            <w:vAlign w:val="bottom"/>
          </w:tcPr>
          <w:p>
            <w:pPr>
              <w:spacing w:after="0"/>
              <w:rPr>
                <w:sz w:val="20"/>
                <w:szCs w:val="20"/>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right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2"/>
              </w:rPr>
              <w:t>6.55</w:t>
            </w:r>
          </w:p>
        </w:tc>
        <w:tc>
          <w:tcPr>
            <w:tcW w:w="180" w:type="dxa"/>
            <w:vAlign w:val="bottom"/>
            <w:tcBorders>
              <w:left w:val="single" w:sz="8" w:color="CFF0FC"/>
            </w:tcBorders>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20"/>
                <w:szCs w:val="20"/>
                <w:color w:val="auto"/>
              </w:rPr>
            </w:pPr>
          </w:p>
        </w:tc>
        <w:tc>
          <w:tcPr>
            <w:tcW w:w="13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7"/>
              </w:rPr>
              <w:t>5.80 %</w:t>
            </w:r>
          </w:p>
        </w:tc>
        <w:tc>
          <w:tcPr>
            <w:tcW w:w="1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5.34 %</w:t>
            </w:r>
          </w:p>
        </w:tc>
      </w:tr>
      <w:tr>
        <w:trPr>
          <w:trHeight w:val="415"/>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1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gridSpan w:val="2"/>
          </w:tcPr>
          <w:p>
            <w:pPr>
              <w:spacing w:after="0"/>
              <w:rPr>
                <w:sz w:val="16"/>
                <w:szCs w:val="16"/>
                <w:color w:val="auto"/>
              </w:rPr>
            </w:pPr>
          </w:p>
        </w:tc>
      </w:tr>
      <w:tr>
        <w:trPr>
          <w:trHeight w:val="204"/>
        </w:trPr>
        <w:tc>
          <w:tcPr>
            <w:tcW w:w="1140" w:type="dxa"/>
            <w:vAlign w:val="bottom"/>
          </w:tcPr>
          <w:p>
            <w:pPr>
              <w:spacing w:after="0"/>
              <w:rPr>
                <w:sz w:val="17"/>
                <w:szCs w:val="17"/>
                <w:color w:val="auto"/>
              </w:rPr>
            </w:pPr>
          </w:p>
        </w:tc>
        <w:tc>
          <w:tcPr>
            <w:tcW w:w="6180" w:type="dxa"/>
            <w:vAlign w:val="bottom"/>
            <w:tcBorders>
              <w:right w:val="single" w:sz="8" w:color="CFF0FC"/>
            </w:tcBorders>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1140" w:type="dxa"/>
            <w:vAlign w:val="bottom"/>
          </w:tcPr>
          <w:p>
            <w:pPr>
              <w:spacing w:after="0"/>
              <w:rPr>
                <w:sz w:val="21"/>
                <w:szCs w:val="21"/>
                <w:color w:val="auto"/>
              </w:rPr>
            </w:pPr>
          </w:p>
        </w:tc>
        <w:tc>
          <w:tcPr>
            <w:tcW w:w="61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80" w:type="dxa"/>
            <w:vAlign w:val="bottom"/>
            <w:tcBorders>
              <w:left w:val="single" w:sz="8" w:color="CFF0FC"/>
            </w:tcBorders>
            <w:shd w:val="clear" w:color="auto" w:fill="CFF0FC"/>
          </w:tcPr>
          <w:p>
            <w:pPr>
              <w:spacing w:after="0"/>
              <w:rPr>
                <w:sz w:val="21"/>
                <w:szCs w:val="21"/>
                <w:color w:val="auto"/>
              </w:rPr>
            </w:pPr>
          </w:p>
        </w:tc>
        <w:tc>
          <w:tcPr>
            <w:tcW w:w="6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-1685925</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-1668780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-1685925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-1668780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consolidated balance sheet as of December 31, 2023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80" w:type="dxa"/>
            <w:vAlign w:val="bottom"/>
          </w:tcPr>
          <w:p>
            <w:pPr>
              <w:spacing w:after="0"/>
              <w:rPr>
                <w:sz w:val="20"/>
                <w:szCs w:val="20"/>
                <w:color w:val="auto"/>
              </w:rPr>
            </w:pPr>
          </w:p>
        </w:tc>
      </w:tr>
      <w:tr>
        <w:trPr>
          <w:trHeight w:val="24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22,517</w:t>
            </w:r>
          </w:p>
        </w:tc>
        <w:tc>
          <w:tcPr>
            <w:tcW w:w="80" w:type="dxa"/>
            <w:vAlign w:val="bottom"/>
            <w:shd w:val="clear" w:color="auto" w:fill="CFF0FC"/>
          </w:tcPr>
          <w:p>
            <w:pPr>
              <w:spacing w:after="0"/>
              <w:rPr>
                <w:sz w:val="20"/>
                <w:szCs w:val="20"/>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(3,666 )</w:t>
            </w:r>
          </w:p>
        </w:tc>
      </w:tr>
      <w:tr>
        <w:trPr>
          <w:trHeight w:val="278"/>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18,851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2"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year ended December 31, 2023 and 2022, tool rental revenue was approximately $119.2 million and $99.0 million, respectively. Our lease contract periods are short-term in nature and are typically daily, monthly, per well, or footage based. Due to the short-term nature of the contracts, no maturity table is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REVOLVING CREDIT FACILITY</w:t>
      </w:r>
    </w:p>
    <w:p>
      <w:pPr>
        <w:spacing w:after="0" w:line="12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"Credit Facility"). The facility provides for a revolving line of credit with a maximum borrowing amount totaling $60.0 million, as of December 31, 2023 and 2022.</w:t>
      </w:r>
    </w:p>
    <w:p>
      <w:pPr>
        <w:spacing w:after="0" w:line="1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On June 20, 2023, the Company entered into the Amended and Restated Revolving Credit, Security and Guaranty Agreement among Drilling Tools International, Inc., certain of its subsidiaries, Drilling Tools International Corporation and PNC Bank, National Association (the “Credit Facility Agreement”) that modified the terms of its previous agreement and related amendments. This amended agreement modified certain defined terms in the previous agreement, removed the $20.0 million unfunded capital expenditures requirement, removed the $9.0 million sublimit to the Company's Canadian entity and changed the legal debtor from DTIH to DTIC. See Note 3,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xml:space="preserve"> for further discussion of the Merger.</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the interest on the amount drawn was based on SOFR or the bank’s base lending rate plus applicable margin (approximately 8.4% at December 31, 2023). The Credit Facility is collateralized by substantially all the assets of the Company and matures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no amounts drawn against the line of credit.</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is subject to various restrictive covenants associated with these borrowings including, but not limited to, a fixed charge ratio, and a minimum amount of undrawn availability. As of December 31, 2023, the Company was in compliance with all restrictive covenants.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December 31, 2023 and 2022 and, therefore, no amounts were recorded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generated was concentrated within the United States. For the year ended December 31, 2023 and 2022, the revenue generated within the United States was $138.3 million and $118.3 million, respectively, or 91% and 91% of total revenues, respectively. For the year ended December 31, 2023 and 2022, the revenue generated outside of the United States, in Canada and International, was $13.7 million and $11.3 million, respectively, or 9% and 9% of total revenues, respectively. The Company derives its revenue from two revenue types, tool rental services and product sales. The following table represents our revenues disaggregated by category:</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618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Tool Rental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80" w:type="dxa"/>
            <w:vAlign w:val="bottom"/>
            <w:shd w:val="clear" w:color="auto" w:fill="CFF0FC"/>
          </w:tcPr>
          <w:p>
            <w:pPr>
              <w:spacing w:after="0"/>
              <w:rPr>
                <w:sz w:val="20"/>
                <w:szCs w:val="20"/>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80" w:type="dxa"/>
            <w:vAlign w:val="bottom"/>
          </w:tcPr>
          <w:p>
            <w:pPr>
              <w:spacing w:after="0"/>
              <w:rPr>
                <w:sz w:val="20"/>
                <w:szCs w:val="20"/>
                <w:color w:val="auto"/>
              </w:rPr>
            </w:pPr>
          </w:p>
        </w:tc>
      </w:tr>
      <w:tr>
        <w:trPr>
          <w:trHeight w:val="258"/>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152,034</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129,556</w:t>
            </w:r>
          </w:p>
        </w:tc>
        <w:tc>
          <w:tcPr>
            <w:tcW w:w="80" w:type="dxa"/>
            <w:vAlign w:val="bottom"/>
            <w:shd w:val="clear" w:color="auto" w:fill="CFF0FC"/>
          </w:tcPr>
          <w:p>
            <w:pPr>
              <w:spacing w:after="0"/>
              <w:rPr>
                <w:sz w:val="22"/>
                <w:szCs w:val="22"/>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2023, and 2022, income from continuing operations before taxes consisted of amounts related to U.S. operations and income associated with the Company’s foreign operations predominantly in Canada. The geographical breakdown of the Company’s income before provision for income taxes was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80" w:type="dxa"/>
            <w:vAlign w:val="bottom"/>
          </w:tcPr>
          <w:p>
            <w:pPr>
              <w:spacing w:after="0"/>
              <w:rPr>
                <w:sz w:val="20"/>
                <w:szCs w:val="20"/>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Profits before provision for income taxes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19,794</w:t>
            </w: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attributable to income from continuing operations consists of (in thousands):</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77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provision for income taxes: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80" w:type="dxa"/>
            <w:vAlign w:val="bottom"/>
            <w:tcBorders>
              <w:right w:val="single" w:sz="8" w:color="CFF0FC"/>
            </w:tcBorders>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72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Borders>
              <w:right w:val="single" w:sz="8" w:color="CFF0FC"/>
            </w:tcBorders>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80" w:type="dxa"/>
            <w:vAlign w:val="bottom"/>
            <w:tcBorders>
              <w:right w:val="single" w:sz="8" w:color="CFF0FC"/>
            </w:tcBorders>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FF0FC"/>
          </w:tcPr>
          <w:p>
            <w:pPr>
              <w:spacing w:after="0"/>
              <w:rPr>
                <w:sz w:val="21"/>
                <w:szCs w:val="21"/>
                <w:color w:val="auto"/>
              </w:rPr>
            </w:pPr>
          </w:p>
        </w:tc>
        <w:tc>
          <w:tcPr>
            <w:tcW w:w="8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(417 )</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top w:val="single" w:sz="8" w:color="CFF0FC"/>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72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5,046</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Tax rate reconciliation</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federal statutory rate to the Company’s effective tax rate: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8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1.9 %</w:t>
            </w:r>
          </w:p>
        </w:tc>
        <w:tc>
          <w:tcPr>
            <w:tcW w:w="98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8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98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98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0.2 %</w:t>
            </w:r>
          </w:p>
        </w:tc>
        <w:tc>
          <w:tcPr>
            <w:tcW w:w="98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98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98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25.5 %</w:t>
            </w:r>
          </w:p>
        </w:tc>
        <w:tc>
          <w:tcPr>
            <w:tcW w:w="9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-4691380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-4691380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-2251075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-1925955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-1908810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effective tax rate impact of other category for the year ended December 31, 2023 is primarily made up of prior year true-ups resulting in a decrease of 1.2% or $239 thousand. The effective tax rate impact of the other category for the year ended December 31, 2022, is primarily made up of tax basis balance sheet adjustments resulting in a decrease of 10.6% or $2.6 million. The offsetting impacts to the tax rate were individually immaterial.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deferred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and deferred tax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are presented below (in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40"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8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Bonus accrual</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on property, plant, and equipment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(11,391 )</w:t>
            </w:r>
          </w:p>
        </w:tc>
        <w:tc>
          <w:tcPr>
            <w:tcW w:w="10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(8,958 )</w:t>
            </w: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 on unremitted earnings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(264 )</w:t>
            </w:r>
          </w:p>
        </w:tc>
        <w:tc>
          <w:tcPr>
            <w:tcW w:w="10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(742 )</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(11,655 )</w:t>
            </w:r>
          </w:p>
        </w:tc>
        <w:tc>
          <w:tcPr>
            <w:tcW w:w="10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(9,772 )</w:t>
            </w: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liabilities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(6,627 )</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(3,185 )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At December 31, 2023 and 2022, the Company had federal net operating loss carryforward of approximately $4.1 million and $15.1 million, respectively, which may be carried forward indefinitely and state and local net operating loss carryforward of approximately $8.8 million and $9.8 million, respectively, which expire at various dates.</w:t>
      </w:r>
    </w:p>
    <w:p>
      <w:pPr>
        <w:spacing w:after="0" w:line="177"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 utilization of the Company’s net operating losses may be subject to a limitation due to the “change in ownership provisions” under Section 382 of the Internal Revenue Code and similar state and foreign provisions. Such limitations may result in the expiration of the net operating loss carryforwards before their utilization.</w:t>
      </w:r>
    </w:p>
    <w:p>
      <w:pPr>
        <w:spacing w:after="0" w:line="177"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The Company is subject to income taxes in the U.S. federal jurisdiction, various state jurisdictions as well as Canada. Tax regulations within each jurisdiction are subject to the interpretation of the related tax laws and regulations and require significant judgment to apply. The Company’s tax years remain open for examination by all tax authorities since inception and carryover attributes remain open to adjustment by the U.S. and state authorities.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77" w:name="page78"/>
    <w:bookmarkEnd w:id="77"/>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which also occurred on June 20, 2023. The 2023 Plan provides for the issuance of shares of Common Stock up to ten percent (10%) of the shares of outstanding Common Stock as of the closing of the Merger (which equates to 0 shares as of December 31,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December 31, 2023, there were 2,976,854 shares of Common Stock available for issuance under the 2023 Plan.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(see Note 3,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87"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 Determination of the fair value is a matter of judgment and often involves the use of estimates and assumptions.</w:t>
      </w:r>
    </w:p>
    <w:p>
      <w:pPr>
        <w:spacing w:after="0" w:line="1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June of 2023 and prior to the closing of the Merger, one holder of DTIH stock options elected to exercise all of such holder's 580,000 stock options. The holder elected to net exercise, whereby the exercise price is paid in shares and additional shares are withheld for income taxes. The net exercise of the options resulted in 158,444 shares of DTIH common stock being issued prior to the Merger and subsequently canceled and exchanged for a total of 36,163 shares of DTIC Common Stock as of the date of the Merger.</w:t>
      </w:r>
    </w:p>
    <w:p>
      <w:pPr>
        <w:spacing w:after="0" w:line="18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options outstanding, as well as activity for the year ended December 31, 2023 (prior year amounts have been converted using the conversion ratio of 0.2282 applied in the Merger):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2,494,097</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(132,375 )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2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2,361,722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2,361,722</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Borders>
              <w:bottom w:val="single" w:sz="8" w:color="CFF0FC"/>
            </w:tcBorders>
            <w:gridSpan w:val="2"/>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8"/>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20" w:type="dxa"/>
            <w:vAlign w:val="bottom"/>
            <w:gridSpan w:val="2"/>
          </w:tcPr>
          <w:p>
            <w:pPr>
              <w:jc w:val="right"/>
              <w:ind w:right="953"/>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-1420495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-1403350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-1420495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-1403350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-1420495</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-1403350</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-1420495</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-1403350</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-1061085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-1043940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-1061085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-1043940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-1061085</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-1043940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-1061085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-1043940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ind w:right="40"/>
        <w:spacing w:after="0" w:line="265"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December 31, 2023 and 2022. Due to the exercise price of the stock options exceeding the current market price of the Company's common stock as of December 31, 2023, no intrinsic value has been realized from the exercise of stock options during the period.</w:t>
      </w:r>
    </w:p>
    <w:p>
      <w:pPr>
        <w:spacing w:after="0" w:line="1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$1.7 million of stock-based compensation expense within selling, general, and administrative expense on the consolidated statements of income and comprehensive income related to the accelerated vesting of an executive's 534,063 performance-based stock options. The performance conditions were satisfied upon completion of the Merger and all 534,063 performance-based stock options vested on June 20, 2023.</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recognized $2.3 million of stock-based compensation expense within other expense, net on the consolidated statements of income and comprehensive income as a result of the issuance of shares in accordance with the TSA with HHLLC (see Note 3 -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there was no stock-based compensation expense recognized.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6" w:right="479" w:bottom="1440" w:gutter="0" w:footer="0" w:header="0"/>
        </w:sectPr>
      </w:pPr>
    </w:p>
    <w:bookmarkStart w:id="79" w:name="page80"/>
    <w:bookmarkEnd w:id="79"/>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years ended December 31, 2023, and 2022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618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HHLLC stock-based 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(2,339 )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(3,640 )</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(428 )</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(436 )</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r>
      <w:tr>
        <w:trPr>
          <w:trHeight w:val="258"/>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(6,359 )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(384 )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0" w:name="page81"/>
    <w:bookmarkEnd w:id="80"/>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121"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2023 and 2022, management fees paid to Hicks Holdings Operating LLC, a shareholder of the Company, were approximately $1.1 million and $0.4 million, respectively. Management fees paid to the shareholder are included in selling, general and administrative expense in the accompanying consolidated statements of income and comprehensive income.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121" w:lineRule="exact"/>
        <w:rPr>
          <w:sz w:val="20"/>
          <w:szCs w:val="20"/>
          <w:color w:val="auto"/>
        </w:rPr>
      </w:pPr>
    </w:p>
    <w:p>
      <w:pPr>
        <w:jc w:val="both"/>
        <w:ind w:right="680"/>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2023 and 2022, director fees paid to our Board of Directors were approximately $0.2 million and $0.1 million, respectively. Director fees are included in selling, general and administrative expense in the accompanying consolidated statements of income and comprehensive income.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 xml:space="preserve">For the years ended December 31, 2023 and 2022, the Company paid rent expense to Cree Investments, LLC, a shareholder of the Company, of approximately $51 thousand and $51 thousand, respectively, relating to the lease of a building. Future minimum lease payments related to this lease are included in the future minimum lease schedule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Tools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the Company paid $4 thousand to Heath Woodrum, a shareholder of the Company, for tools.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Upon consummation of the Merger on June 20, 2023, the Company issued shares of DTIC Common Stock in connection with the PIPE Financing to payoff convertible promissory notes which were issued to an affiliate of the ROC Sponsor on December 6, 2022 and March 2, 2023, respectively. The notes did not bear interest and were in the amounts of $2.1 million and $2.1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Prior to the Merger on June 20, 2023, ROC paid the remaining outstanding principal amount owed to an affiliate of the ROC Sponsor in the amount of $0.4 million for a loan to fund working capital deficiencies and finance transaction costs in connection with the Merger. The loan did not bear interest.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EMPLOYEE BENEFIT PLANS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For 2022, the Company matched employee contributions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years ended December 31, 2023 and 2022 was approximately $0.5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83" w:name="page84"/>
    <w:bookmarkEnd w:id="83"/>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PER SHARE</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years ended December 31, 2023 and 2022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Redeemable convertible preferred stock</w:t>
            </w:r>
          </w:p>
        </w:tc>
        <w:tc>
          <w:tcPr>
            <w:tcW w:w="122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(314 )</w:t>
            </w:r>
          </w:p>
        </w:tc>
        <w:tc>
          <w:tcPr>
            <w:tcW w:w="78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(1,189 )</w:t>
            </w:r>
          </w:p>
        </w:tc>
        <w:tc>
          <w:tcPr>
            <w:tcW w:w="0" w:type="dxa"/>
            <w:vAlign w:val="bottom"/>
          </w:tcPr>
          <w:p>
            <w:pPr>
              <w:spacing w:after="0"/>
              <w:rPr>
                <w:sz w:val="1"/>
                <w:szCs w:val="1"/>
                <w:color w:val="auto"/>
              </w:rPr>
            </w:pPr>
          </w:p>
        </w:tc>
      </w:tr>
      <w:tr>
        <w:trPr>
          <w:trHeight w:val="247"/>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20" w:type="dxa"/>
            <w:vAlign w:val="bottom"/>
            <w:shd w:val="clear" w:color="auto" w:fill="CFF0FC"/>
          </w:tcPr>
          <w:p>
            <w:pPr>
              <w:spacing w:after="0"/>
              <w:rPr>
                <w:sz w:val="21"/>
                <w:szCs w:val="21"/>
                <w:color w:val="auto"/>
              </w:rPr>
            </w:pPr>
          </w:p>
        </w:tc>
        <w:tc>
          <w:tcPr>
            <w:tcW w:w="1140" w:type="dxa"/>
            <w:vAlign w:val="bottom"/>
            <w:gridSpan w:val="2"/>
            <w:vMerge w:val="continue"/>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70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1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 basic</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28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Redeemable convertible preferred stock</w:t>
            </w:r>
          </w:p>
        </w:tc>
        <w:tc>
          <w:tcPr>
            <w:tcW w:w="1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7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1220" w:type="dxa"/>
            <w:vAlign w:val="bottom"/>
            <w:vMerge w:val="restart"/>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tcPr>
          <w:p>
            <w:pPr>
              <w:spacing w:after="0"/>
              <w:rPr>
                <w:sz w:val="17"/>
                <w:szCs w:val="17"/>
                <w:color w:val="auto"/>
              </w:rPr>
            </w:pPr>
          </w:p>
        </w:tc>
        <w:tc>
          <w:tcPr>
            <w:tcW w:w="7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 diluted</w:t>
            </w:r>
          </w:p>
        </w:tc>
        <w:tc>
          <w:tcPr>
            <w:tcW w:w="12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used in</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computing earnings per share — basic</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21,421,610</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w:t>
            </w: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time-based stock</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488,997</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performance-based</w:t>
            </w: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45,202</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redeemable convertible</w:t>
            </w:r>
          </w:p>
        </w:tc>
        <w:tc>
          <w:tcPr>
            <w:tcW w:w="1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3,175,215</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6,719,641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25,131,024</w:t>
            </w: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19,677,507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1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220" w:type="dxa"/>
            <w:vAlign w:val="bottom"/>
            <w:tcBorders>
              <w:bottom w:val="single" w:sz="8" w:color="auto"/>
            </w:tcBorders>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-3159125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-3141980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-3141980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-2559685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-384810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-367665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As of December 31, 2023, the Company’s potentially dilutive securities consisted of options to purchase common stock. As of December 31, 2022, the Company's potentially dilutive securities consisted of redeemable convertible preferred stock and options to purchase common stock. The Company excluded the following potential common shares, presented based on amounts outstanding at each period end, from the computation of diluted net income per share for the periods presented because including them would have had an anti-dilutive effect: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2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2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8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2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-1232535</wp:posOffset>
            </wp:positionV>
            <wp:extent cx="425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-1232535</wp:posOffset>
            </wp:positionV>
            <wp:extent cx="342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performance-based stock options were excluded from the diluted earnings per share calculations for the years ended December 31, 2022 because all necessary performance conditions were not satisfied by December 31, 2022. Our performance-based stock options excluded from diluted earnings per share for the year ended December 31, 2022 were as follows:</w:t>
      </w:r>
    </w:p>
    <w:p>
      <w:pPr>
        <w:spacing w:after="0" w:line="18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46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r>
      <w:tr>
        <w:trPr>
          <w:trHeight w:val="232"/>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w:t>
            </w:r>
          </w:p>
        </w:tc>
        <w:tc>
          <w:tcPr>
            <w:tcW w:w="7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40" w:type="dxa"/>
            <w:vAlign w:val="bottom"/>
            <w:tcBorders>
              <w:bottom w:val="single" w:sz="8" w:color="CFF0FC"/>
            </w:tcBorders>
            <w:shd w:val="clear" w:color="auto" w:fill="CFF0FC"/>
          </w:tcPr>
          <w:p>
            <w:pPr>
              <w:spacing w:after="0"/>
              <w:rPr>
                <w:sz w:val="20"/>
                <w:szCs w:val="20"/>
                <w:color w:val="auto"/>
              </w:rPr>
            </w:pPr>
          </w:p>
        </w:tc>
      </w:tr>
      <w:tr>
        <w:trPr>
          <w:trHeight w:val="23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534,063</w:t>
            </w:r>
          </w:p>
        </w:tc>
        <w:tc>
          <w:tcPr>
            <w:tcW w:w="4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-187960</wp:posOffset>
            </wp:positionV>
            <wp:extent cx="425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34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Casing Technologies Group Limited</w:t>
      </w:r>
    </w:p>
    <w:p>
      <w:pPr>
        <w:spacing w:after="0" w:line="200" w:lineRule="exact"/>
        <w:rPr>
          <w:sz w:val="20"/>
          <w:szCs w:val="20"/>
          <w:color w:val="auto"/>
        </w:rPr>
      </w:pPr>
    </w:p>
    <w:p>
      <w:pPr>
        <w:spacing w:after="0" w:line="2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18, 2024, the Company announced its entry into a share purchase agreement (the “CTG Purchase Agreement”) to acquire one hundred percent (100%) of the shares of Casing Technologies Group Limited, a Scottish limited company (“CTG”). CTG wholly owns Deep Casing Tools Limited, an energy technology development company. The initial accounting for this business combination is in process which includes conducting a valuation analysis to value the assets and liabilities assumed as a result of the transaction. As such, the impact on the consolidated financial statements cannot be estimated at this time.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Stock Options</w:t>
      </w:r>
    </w:p>
    <w:p>
      <w:pPr>
        <w:spacing w:after="0" w:line="200" w:lineRule="exact"/>
        <w:rPr>
          <w:sz w:val="20"/>
          <w:szCs w:val="20"/>
          <w:color w:val="auto"/>
        </w:rPr>
      </w:pPr>
    </w:p>
    <w:p>
      <w:pPr>
        <w:spacing w:after="0" w:line="2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14, 2024, the Company issued stock options to members of the Company’s management team, including: (i) 1,000,000 stock options to Robert Prejean, President and Chief Executive Officer (the “Prejean 2024 Stock Options”), (ii) 380,000 stock options to David Johnson, Chief Financial Officer (the “Johnson 2024 Stock Options”), and (iii) 300,000 stock options to Michael Domino, President of the Directional tool Rentals Division (the “Domino 2024 Stock Options,” and together with the Prejean 2024 Stock Options and the Johnson 2024 Stock Options, the “2024 Stock Options”). Each of the 2024 Stock Options vest in substantially equal installments on each of the first three (3) anniversaries of the grant date. The 2024 Stock Options are exercisable at a price of $3.02 per share.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00" w:lineRule="exact"/>
        <w:rPr>
          <w:sz w:val="20"/>
          <w:szCs w:val="20"/>
          <w:color w:val="auto"/>
        </w:rPr>
      </w:pPr>
    </w:p>
    <w:p>
      <w:pPr>
        <w:spacing w:after="0" w:line="24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by entering into a second amended and restated revolving credit and term loan facility with PNC Bank, National Association (the “Credit Facility”). The Credit Facility provides for a revolving line of credit in a principal amount of up to $80,000,000 and a single draw term loan in a principal amount of $25,000,000 and matures in March 2029 (the “Refinancing”).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Superior Drilling Products, Inc.</w:t>
      </w:r>
    </w:p>
    <w:p>
      <w:pPr>
        <w:spacing w:after="0" w:line="200" w:lineRule="exact"/>
        <w:rPr>
          <w:sz w:val="20"/>
          <w:szCs w:val="20"/>
          <w:color w:val="auto"/>
        </w:rPr>
      </w:pPr>
    </w:p>
    <w:p>
      <w:pPr>
        <w:spacing w:after="0" w:line="24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6, 2024, the Company announced its entry into an Agreement and Plan of Merger (the “SDPI Merger Agreement”) with Superior Drilling Products, Inc. (“SDPI”), DTI Merger Sub I, Inc. (“Merger Sub I”), and DTI Merger Sub II, LLC (“Merger Sub II”), pursuant to which, among other things, on the terms and subject to the conditions set forth in the SDPI Merger Agreement, (i) Merger Sub I will be merged with and into SDPI (the “First Event”), with SDPI continuing as the surviving corporation (the “Initial Surviving Corporation”), (ii) the Initial Surviving Corporation will be merged with Merger Sub II (the “Second Event,” and together with the First Event, the “SDPI Merger”), with Merger Sub II continuing as the surviving limited liability company (the “Surviving Company”), and (iii) following the consummation of the SDPI Merger, all of the property, rights, powers, privileges, and franchises of SDPI, the Initial Surviving Company, and the Surviving Company shall be vested in the Surviving Company as a wholly owned subsidiary of the Company.</w:t>
      </w:r>
    </w:p>
    <w:p>
      <w:pPr>
        <w:spacing w:after="0" w:line="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consummation of the SDPI Merger is subject to certain customary mutual conditions, including the approval of SDPI’s shareholders holding at least a majority of the outstanding shares of SDPI common stock entitled to vote on the adoption of the SDPI Merger Agreement. The initial accounting for this business combination is in process which includes conducting a valuation analysis to value the assets and liabilities assumed as a result of the transaction. As such, the impact on the consolidated financial statements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 Management is responsible for establishing and maintaining adequate internal control over financial reporting.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has evaluated, with the participation of our Chief Executive Officer and Chief Financial Officer, the effectiveness of our disclosure controls and procedures in effect as of December 31, 2023, the end of the period covered by this Report, using the Internal Control Integrated Framework (“ICIF”) by COSO. Management selected the ICIF framework for its evaluation as it is a control framework recognized by the SEC and the Public Company Accounting Oversight Board that is free from bias, permits reasonably consistent qualitative and quantitative measurement of our internal controls, is sufficiently complete so that relevant controls are not omitted and is relevant to an evaluation of internal controls over financial reporting. As a result of management’s evaluation, our Chief Executive Officer and Chief Financial Officer concluded that our disclosure controls and procedures were not effective at a reasonable assurance level as of December 31, 2023, or as of the date of the filing of this Report.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were not effective as of December 31, 2023, or as of the date of filing of this Report, because all findings in connection with our preparation and the audit of our consolidated financial statements as of and for the year ended December 31, 2022 have not been fully remediated despite ongoing projects and improvements made in the current quarter. As a result, we were not able to rely upon the disclosure controls and procedures that were in place as of December 31, 2023, or as of the date of this filing, and we continue to have a material weakness in our internal control over financial reporting. This material weakness is described in more detail below.</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Prior to the Merger,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2022, we identified the following deficiencies in the design or operation of our internal controls to be a material weakness:</w:t>
      </w:r>
    </w:p>
    <w:p>
      <w:pPr>
        <w:spacing w:after="0" w:line="69" w:lineRule="exact"/>
        <w:rPr>
          <w:sz w:val="20"/>
          <w:szCs w:val="20"/>
          <w:color w:val="auto"/>
        </w:rPr>
      </w:pPr>
    </w:p>
    <w:p>
      <w:pPr>
        <w:ind w:left="660" w:hanging="14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promote effective internal control over financial reporting throughout the Company’s management structure;</w:t>
      </w:r>
    </w:p>
    <w:p>
      <w:pPr>
        <w:spacing w:after="0" w:line="116" w:lineRule="exact"/>
        <w:rPr>
          <w:rFonts w:ascii="Times New Roman" w:cs="Times New Roman" w:eastAsia="Times New Roman" w:hAnsi="Times New Roman"/>
          <w:sz w:val="18"/>
          <w:szCs w:val="18"/>
          <w:color w:val="auto"/>
        </w:rPr>
      </w:pPr>
    </w:p>
    <w:p>
      <w:pPr>
        <w:ind w:left="660" w:hanging="143"/>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effective risk assessment controls to identify financial reporting risks and reacting to changes in the operating environment that could have a material effect on financial reporting;</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monitoring activities to assess the operation of internal control over financial reporting; and</w:t>
      </w:r>
    </w:p>
    <w:p>
      <w:pPr>
        <w:spacing w:after="0" w:line="116" w:lineRule="exact"/>
        <w:rPr>
          <w:rFonts w:ascii="Times New Roman" w:cs="Times New Roman" w:eastAsia="Times New Roman" w:hAnsi="Times New Roman"/>
          <w:sz w:val="18"/>
          <w:szCs w:val="18"/>
          <w:color w:val="auto"/>
        </w:rPr>
      </w:pPr>
    </w:p>
    <w:p>
      <w:pPr>
        <w:ind w:left="660" w:right="80" w:hanging="143"/>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documentation and monitoring of information technology (“IT”) general controls and cyber-security processes within the Company’s IT environment, including access controls and segregation of duties between key IT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of Controls: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7" w:name="page88"/>
    <w:bookmarkEnd w:id="87"/>
    <w:p>
      <w:pPr>
        <w:spacing w:after="0" w:line="84"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We are in the process of implementing a risk assessment process and measures designed to improve our internal control over financial reporting and remediate the control deficiencies that led to the material weakness. We have undertaken the following initiatives:</w:t>
      </w:r>
    </w:p>
    <w:p>
      <w:pPr>
        <w:spacing w:after="0" w:line="53" w:lineRule="exact"/>
        <w:rPr>
          <w:sz w:val="20"/>
          <w:szCs w:val="20"/>
          <w:color w:val="auto"/>
        </w:rPr>
      </w:pPr>
    </w:p>
    <w:p>
      <w:pPr>
        <w:ind w:left="540" w:right="400" w:hanging="158"/>
        <w:spacing w:after="0" w:line="283"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 hiring more qualified staff and increasing resources with sufficient knowledge and experience to strengthen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w:t>
      </w:r>
    </w:p>
    <w:p>
      <w:pPr>
        <w:spacing w:after="0" w:line="51" w:lineRule="exact"/>
        <w:rPr>
          <w:rFonts w:ascii="Times New Roman" w:cs="Times New Roman" w:eastAsia="Times New Roman" w:hAnsi="Times New Roman"/>
          <w:sz w:val="18"/>
          <w:szCs w:val="18"/>
          <w:color w:val="auto"/>
        </w:rPr>
      </w:pPr>
    </w:p>
    <w:p>
      <w:pPr>
        <w:ind w:left="540" w:hanging="15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IT systems and security </w:t>
      </w:r>
      <w:r>
        <w:rPr>
          <w:rFonts w:ascii="Times New Roman" w:cs="Times New Roman" w:eastAsia="Times New Roman" w:hAnsi="Times New Roman"/>
          <w:sz w:val="18"/>
          <w:szCs w:val="18"/>
          <w:color w:val="auto"/>
        </w:rPr>
        <w:t>- implementing software and procedures to enhance our Company’s IT environment.</w:t>
      </w:r>
    </w:p>
    <w:p>
      <w:pPr>
        <w:spacing w:after="0" w:line="116" w:lineRule="exact"/>
        <w:rPr>
          <w:rFonts w:ascii="Times New Roman" w:cs="Times New Roman" w:eastAsia="Times New Roman" w:hAnsi="Times New Roman"/>
          <w:sz w:val="18"/>
          <w:szCs w:val="18"/>
          <w:color w:val="auto"/>
        </w:rPr>
      </w:pPr>
    </w:p>
    <w:p>
      <w:pPr>
        <w:ind w:left="540" w:hanging="158"/>
        <w:spacing w:after="0" w:line="25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assessment and evaluation </w:t>
      </w:r>
      <w:r>
        <w:rPr>
          <w:rFonts w:ascii="Times New Roman" w:cs="Times New Roman" w:eastAsia="Times New Roman" w:hAnsi="Times New Roman"/>
          <w:sz w:val="18"/>
          <w:szCs w:val="18"/>
          <w:color w:val="auto"/>
        </w:rPr>
        <w:t>- devoting proper time by senior management to perform comprehensive review of procedures to assess risks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 effective accountability. Additionally, during the fiscal year, we engaged the services of an external specialist with expertise in internal controls and financial reporting. The external specialist was engaged to assist in the implementation and enhancement of our internal controls and to provide additional expertise to ensure the effectiveness of our control environment. The engagement with the external specialist included a comprehensive review of our existing controls, identification of areas for improvement, and the development of recommendations for strengthening our controls framework.</w:t>
      </w:r>
    </w:p>
    <w:p>
      <w:pPr>
        <w:spacing w:after="0" w:line="77" w:lineRule="exact"/>
        <w:rPr>
          <w:rFonts w:ascii="Times New Roman" w:cs="Times New Roman" w:eastAsia="Times New Roman" w:hAnsi="Times New Roman"/>
          <w:sz w:val="18"/>
          <w:szCs w:val="18"/>
          <w:color w:val="auto"/>
        </w:rPr>
      </w:pPr>
    </w:p>
    <w:p>
      <w:pPr>
        <w:ind w:left="540" w:hanging="15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Segregation of duties </w:t>
      </w:r>
      <w:r>
        <w:rPr>
          <w:rFonts w:ascii="Times New Roman" w:cs="Times New Roman" w:eastAsia="Times New Roman" w:hAnsi="Times New Roman"/>
          <w:sz w:val="18"/>
          <w:szCs w:val="18"/>
          <w:color w:val="auto"/>
        </w:rPr>
        <w:t>- continued efforts to strengthen segregation of duties to prevent and detect errors or fraud in financial reporting processes.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Improvement Efforts</w:t>
      </w:r>
    </w:p>
    <w:p>
      <w:pPr>
        <w:spacing w:after="0" w:line="11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Recognizing the dynamic nature of our business environment, we are dedicated to ongoing improvement in our internal control framework. Future steps include:</w:t>
      </w:r>
    </w:p>
    <w:p>
      <w:pPr>
        <w:spacing w:after="0" w:line="53" w:lineRule="exact"/>
        <w:rPr>
          <w:sz w:val="20"/>
          <w:szCs w:val="20"/>
          <w:color w:val="auto"/>
        </w:rPr>
      </w:pPr>
    </w:p>
    <w:p>
      <w:pPr>
        <w:ind w:left="540" w:hanging="158"/>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Periodic Assessments </w:t>
      </w:r>
      <w:r>
        <w:rPr>
          <w:rFonts w:ascii="Times New Roman" w:cs="Times New Roman" w:eastAsia="Times New Roman" w:hAnsi="Times New Roman"/>
          <w:sz w:val="18"/>
          <w:szCs w:val="18"/>
          <w:color w:val="auto"/>
        </w:rPr>
        <w:t>- conducting periodic assessments to validate the effectiveness of our internal control framework.</w:t>
      </w:r>
    </w:p>
    <w:p>
      <w:pPr>
        <w:spacing w:after="0" w:line="116" w:lineRule="exact"/>
        <w:rPr>
          <w:rFonts w:ascii="Times New Roman" w:cs="Times New Roman" w:eastAsia="Times New Roman" w:hAnsi="Times New Roman"/>
          <w:sz w:val="18"/>
          <w:szCs w:val="18"/>
          <w:color w:val="auto"/>
        </w:rPr>
      </w:pPr>
    </w:p>
    <w:p>
      <w:pPr>
        <w:ind w:left="540" w:right="180" w:hanging="158"/>
        <w:spacing w:after="0" w:line="283"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Process Optimization - </w:t>
      </w:r>
      <w:r>
        <w:rPr>
          <w:rFonts w:ascii="Times New Roman" w:cs="Times New Roman" w:eastAsia="Times New Roman" w:hAnsi="Times New Roman"/>
          <w:sz w:val="18"/>
          <w:szCs w:val="18"/>
          <w:color w:val="auto"/>
        </w:rPr>
        <w:t>identifying and implementing opportunities for process optimization to enhance the overall efficiency and effectiveness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controls.</w:t>
      </w:r>
    </w:p>
    <w:p>
      <w:pPr>
        <w:spacing w:after="0" w:line="16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ind w:right="524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(and only such information) is incorporated by reference to our Proxy Statement.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(and only such information) is incorporated by reference to our Proxy Statement.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(and only such information) is incorporated by reference to our Proxy Statement.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(and only such information) is incorporated by reference to our Proxy Statement.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(and only such information)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89" w:name="page90"/>
    <w:bookmarkEnd w:id="8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Financial Statement</w:t>
      </w:r>
    </w:p>
    <w:p>
      <w:pPr>
        <w:spacing w:after="0" w:line="121" w:lineRule="exact"/>
        <w:rPr>
          <w:sz w:val="20"/>
          <w:szCs w:val="20"/>
          <w:color w:val="auto"/>
        </w:rPr>
      </w:pPr>
    </w:p>
    <w:p>
      <w:pPr>
        <w:ind w:left="380" w:right="40"/>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of Drilling Tools International Corporation and the Report of Independent Registered Public Accounting Firm are included in Part II, Item 8. Of this Annual Report. Reference is made to the accompanying Index to Consolidated Financial Statements.</w:t>
      </w:r>
    </w:p>
    <w:p>
      <w:pPr>
        <w:spacing w:after="0" w:line="26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Financial Statement Schedules</w:t>
      </w:r>
    </w:p>
    <w:p>
      <w:pPr>
        <w:spacing w:after="0" w:line="121" w:lineRule="exact"/>
        <w:rPr>
          <w:sz w:val="20"/>
          <w:szCs w:val="20"/>
          <w:color w:val="auto"/>
        </w:rPr>
      </w:pPr>
    </w:p>
    <w:p>
      <w:pPr>
        <w:ind w:left="380"/>
        <w:spacing w:after="0" w:line="281"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the required information presented in the financial statements or the notes thereto.</w:t>
      </w:r>
    </w:p>
    <w:p>
      <w:pPr>
        <w:spacing w:after="0" w:line="26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Index to Exhibits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exhibits required to be filed or furnished pursuant to Item 601 of Regulation S-K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2" w:right="4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60" w:type="dxa"/>
            <w:vAlign w:val="bottom"/>
            <w:gridSpan w:val="31"/>
          </w:tcPr>
          <w:p>
            <w:pPr>
              <w:jc w:val="center"/>
              <w:ind w:right="48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80" w:type="dxa"/>
            <w:vAlign w:val="bottom"/>
            <w:gridSpan w:val="3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Agreement and Plan of Merger, dated as of February 13, 2023, by and among ROC Energy Acquisition Corp., ROC Merger Sub, Inc.</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and Drilling Tools International Holdings, Inc. (incorporated by reference to Exhibit 2.1 to ROC Energy Acquisition Corp.’s Current</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5"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Report on Form 8-K (File No. 001-41103), filed with the Securities and Exchange Commission on February 13,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First Amendment to the Agreement and Plan of Merger, by and among ROC Energy Acquisition Corp., ROC Merger Sub, Inc. and</w:t>
              </w:r>
            </w:hyperlink>
          </w:p>
        </w:tc>
        <w:tc>
          <w:tcPr>
            <w:tcW w:w="2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Drilling Tools International Holdings, Inc. (incorporated by reference to Exhibit 2.1 to ROC Energy Acquisition Corp.’s Current</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4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Report on Form 8-K (File No. 001-41103),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Second Amended and Restated Certificate of Incorporation of Drilling Tools International Corporation (incorporated by reference to</w:t>
              </w:r>
            </w:hyperlink>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Exhibit 3.1 to Drilling Tools International Corporation’s Current Report on Form 8-K (File No. 001-41103), filed with the Securities</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and Exchange Commission on June 27, 2023).</w:t>
              </w:r>
            </w:hyperlink>
          </w:p>
        </w:tc>
        <w:tc>
          <w:tcPr>
            <w:tcW w:w="63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Amended and Restated Bylaws of Drilling Tools International Corporation (incorporated by reference to Exhibit 3.2 to Drilling Tools</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International Corporation’s Current Report on Form 8-K (File No. 001-41103), filed with the Securities and Exchange Commission 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7"/>
              </w:rPr>
            </w:pPr>
            <w:hyperlink r:id="rId342">
              <w:r>
                <w:rPr>
                  <w:rFonts w:ascii="Times New Roman" w:cs="Times New Roman" w:eastAsia="Times New Roman" w:hAnsi="Times New Roman"/>
                  <w:sz w:val="18"/>
                  <w:szCs w:val="18"/>
                  <w:color w:val="0000FF"/>
                  <w:w w:val="97"/>
                </w:rPr>
                <w:t>June 27, 2023).</w:t>
              </w:r>
            </w:hyperlink>
          </w:p>
        </w:tc>
        <w:tc>
          <w:tcPr>
            <w:tcW w:w="20" w:type="dxa"/>
            <w:vAlign w:val="bottom"/>
            <w:tcBorders>
              <w:bottom w:val="single" w:sz="8" w:color="0000EE"/>
            </w:tcBorders>
          </w:tcPr>
          <w:p>
            <w:pPr>
              <w:spacing w:after="0"/>
              <w:rPr>
                <w:sz w:val="17"/>
                <w:szCs w:val="17"/>
                <w:color w:val="auto"/>
              </w:rPr>
            </w:pPr>
          </w:p>
        </w:tc>
        <w:tc>
          <w:tcPr>
            <w:tcW w:w="862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Form of Specimen Common Stock Certificate of Drilling Tools International Corporation (incorporated by reference to Exhibit 4.1 to</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Drilling Tools International Corporation’s Current Report on Form 8-K (File No. 001-41103), filed with the Securities and Exchange</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8"/>
              </w:rPr>
            </w:pPr>
            <w:hyperlink r:id="rId343">
              <w:r>
                <w:rPr>
                  <w:rFonts w:ascii="Times New Roman" w:cs="Times New Roman" w:eastAsia="Times New Roman" w:hAnsi="Times New Roman"/>
                  <w:sz w:val="18"/>
                  <w:szCs w:val="18"/>
                  <w:color w:val="0000FF"/>
                  <w:w w:val="98"/>
                </w:rPr>
                <w:t>Commission on June 27, 2023).</w:t>
              </w:r>
            </w:hyperlink>
          </w:p>
        </w:tc>
        <w:tc>
          <w:tcPr>
            <w:tcW w:w="20" w:type="dxa"/>
            <w:vAlign w:val="bottom"/>
            <w:tcBorders>
              <w:bottom w:val="single" w:sz="8" w:color="0000EE"/>
            </w:tcBorders>
          </w:tcPr>
          <w:p>
            <w:pPr>
              <w:spacing w:after="0"/>
              <w:rPr>
                <w:sz w:val="17"/>
                <w:szCs w:val="17"/>
                <w:color w:val="auto"/>
              </w:rPr>
            </w:pPr>
          </w:p>
        </w:tc>
        <w:tc>
          <w:tcPr>
            <w:tcW w:w="74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Form of Subscription Agreement (incorporated by reference to Exhibit 10.13 to ROC Energy Acquisition Corp.’s Registration</w:t>
              </w:r>
            </w:hyperlink>
          </w:p>
        </w:tc>
        <w:tc>
          <w:tcPr>
            <w:tcW w:w="6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Statement on Form S-4 (File No. 333-269763), filed with the Securities and Exchange Commission on April 21, 2023).</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Form of Amendment to the Subscription Agreement (incorporated by reference to Exhibit 10.2 to Drilling Tools International</w:t>
              </w:r>
            </w:hyperlink>
          </w:p>
        </w:tc>
        <w:tc>
          <w:tcPr>
            <w:tcW w:w="6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Corporation’s Current Report on Form 8-K (File No. 001-41103), filed with the Securities and Exchange Commission on June 27,</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740" w:type="dxa"/>
            <w:vAlign w:val="bottom"/>
            <w:gridSpan w:val="3"/>
          </w:tcPr>
          <w:p>
            <w:pPr>
              <w:ind w:left="260"/>
              <w:spacing w:after="0" w:line="195" w:lineRule="exact"/>
              <w:rPr>
                <w:rFonts w:ascii="Times New Roman" w:cs="Times New Roman" w:eastAsia="Times New Roman" w:hAnsi="Times New Roman"/>
                <w:sz w:val="18"/>
                <w:szCs w:val="18"/>
                <w:color w:val="0000FF"/>
                <w:w w:val="94"/>
              </w:rPr>
            </w:pPr>
            <w:hyperlink r:id="rId345">
              <w:r>
                <w:rPr>
                  <w:rFonts w:ascii="Times New Roman" w:cs="Times New Roman" w:eastAsia="Times New Roman" w:hAnsi="Times New Roman"/>
                  <w:sz w:val="18"/>
                  <w:szCs w:val="18"/>
                  <w:color w:val="0000FF"/>
                  <w:w w:val="94"/>
                </w:rPr>
                <w:t>2023).</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Form of Exchange Agreement (incorporated by reference to Exhibit 10.3 to Drilling Tools International Corporation’s Current Report</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on Form 8-K (File No. 001-41103), filed with the Securities and Exchange Commission on June 27, 2023).</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Amended and Restated Revolving Credit, Term Loan and Security Agreement, dated as of June 20, 2023, by and among Drilling Tools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International, Inc., certain of its subsidiaries and PNC Bank, National Association (incorporated by reference to Exhibit 10.5 to</w:t>
              </w:r>
            </w:hyperlink>
          </w:p>
        </w:tc>
        <w:tc>
          <w:tcPr>
            <w:tcW w:w="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Drilling Tools International Corporation’s Current Report on Form 8-K (File No. 001-41103), filed with the Securities and Exchange</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8"/>
              </w:rPr>
            </w:pPr>
            <w:hyperlink r:id="rId347">
              <w:r>
                <w:rPr>
                  <w:rFonts w:ascii="Times New Roman" w:cs="Times New Roman" w:eastAsia="Times New Roman" w:hAnsi="Times New Roman"/>
                  <w:sz w:val="18"/>
                  <w:szCs w:val="18"/>
                  <w:color w:val="0000FF"/>
                  <w:w w:val="98"/>
                </w:rPr>
                <w:t>Commission on June 27, 2023).</w:t>
              </w:r>
            </w:hyperlink>
          </w:p>
        </w:tc>
        <w:tc>
          <w:tcPr>
            <w:tcW w:w="20" w:type="dxa"/>
            <w:vAlign w:val="bottom"/>
            <w:tcBorders>
              <w:bottom w:val="single" w:sz="8" w:color="0000EE"/>
            </w:tcBorders>
          </w:tcPr>
          <w:p>
            <w:pPr>
              <w:spacing w:after="0"/>
              <w:rPr>
                <w:sz w:val="17"/>
                <w:szCs w:val="17"/>
                <w:color w:val="auto"/>
              </w:rPr>
            </w:pPr>
          </w:p>
        </w:tc>
        <w:tc>
          <w:tcPr>
            <w:tcW w:w="74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Form of Lock-up Agreement (incorporated by reference to Exhibit 10.12 to ROC Energy Acquisition Corp.’s Registration Statement</w:t>
              </w:r>
            </w:hyperlink>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8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on Form S-4 (File No. 333-269763), filed with the Securities and Exchange Commission on February 14, 2023).</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Form of Indemnification Agreement (incorporated by reference to Exhibit 10.7 to Drilling Tools International Corporation’s Current</w:t>
              </w:r>
            </w:hyperlink>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5"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Report 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8"/>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7"/>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Amended and Restated Registration Rights Agreement, dated as of February 13, 2023, between ROC Energy Acquisition Corp., ROC</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Energy Holdings, LLC, EarlyBird Capital, Inc., HHEP Directional, L.P., RobJon Holdings, L.P. and Michael W. Domino, Jr.</w:t>
              </w:r>
            </w:hyperlink>
          </w:p>
        </w:tc>
        <w:tc>
          <w:tcPr>
            <w:tcW w:w="7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(incorporated by reference to Exhibit 10.18 to ROC Energy Acquisition Corp.’s Registration Statement on Form S 4 (File No. 333-</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5"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269763)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8"/>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Form of 2023 Omnibus Incentive Plan (incorporated by reference to Exhibit 10.1 to ROC Energy Acquisition Corp.’s Registration</w:t>
              </w:r>
            </w:hyperlink>
          </w:p>
        </w:tc>
        <w:tc>
          <w:tcPr>
            <w:tcW w:w="3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5"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Statement on Form S-4 (File No. 333-269763),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8"/>
            <w:shd w:val="clear" w:color="auto" w:fill="0000FF"/>
          </w:tcPr>
          <w:p>
            <w:pPr>
              <w:spacing w:after="0" w:line="20" w:lineRule="exact"/>
              <w:rPr>
                <w:sz w:val="1"/>
                <w:szCs w:val="1"/>
                <w:color w:val="auto"/>
              </w:rPr>
            </w:pPr>
          </w:p>
        </w:tc>
        <w:tc>
          <w:tcPr>
            <w:tcW w:w="4600" w:type="dxa"/>
            <w:vAlign w:val="bottom"/>
            <w:tcBorders>
              <w:right w:val="single" w:sz="8" w:color="0000EE"/>
            </w:tcBorders>
            <w:gridSpan w:val="12"/>
            <w:shd w:val="clear" w:color="auto" w:fill="0000FF"/>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Assignment and Assumption Agreement, dated as of June 20, 2023, between Drilling Tools International Holdings, Inc. and Drilling</w:t>
              </w:r>
            </w:hyperlink>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Tools International Corporation (incorporated by reference</w:t>
              </w:r>
            </w:hyperlink>
          </w:p>
        </w:tc>
        <w:tc>
          <w:tcPr>
            <w:tcW w:w="54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681"/>
        </w:trPr>
        <w:tc>
          <w:tcPr>
            <w:tcW w:w="1240" w:type="dxa"/>
            <w:vAlign w:val="bottom"/>
          </w:tcPr>
          <w:p>
            <w:pPr>
              <w:spacing w:after="0"/>
              <w:rPr>
                <w:sz w:val="24"/>
                <w:szCs w:val="24"/>
                <w:color w:val="auto"/>
              </w:rPr>
            </w:pPr>
          </w:p>
        </w:tc>
        <w:tc>
          <w:tcPr>
            <w:tcW w:w="45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95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to Exhibit 10.13 to Drilling Tools International Corporation’s Registration Statement on Form S-1 (File No. 333-273348), filed with</w:t>
              </w:r>
            </w:hyperlink>
          </w:p>
        </w:tc>
        <w:tc>
          <w:tcPr>
            <w:tcW w:w="20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20" w:type="dxa"/>
            <w:vAlign w:val="bottom"/>
            <w:gridSpan w:val="11"/>
          </w:tcPr>
          <w:p>
            <w:pPr>
              <w:spacing w:after="0" w:line="195"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the Securities and Exchange Commission on July 20, 2023).</w:t>
              </w:r>
            </w:hyperlink>
          </w:p>
        </w:tc>
      </w:tr>
      <w:tr>
        <w:trPr>
          <w:trHeight w:val="20"/>
        </w:trPr>
        <w:tc>
          <w:tcPr>
            <w:tcW w:w="148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6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Subsidiaries of the Registrant (incorporated by reference to Exhibit 21.1 to Drilling Tools International Corporation’s Current Report</w:t>
              </w:r>
            </w:hyperlink>
          </w:p>
        </w:tc>
        <w:tc>
          <w:tcPr>
            <w:tcW w:w="120" w:type="dxa"/>
            <w:vAlign w:val="bottom"/>
            <w:gridSpan w:val="2"/>
          </w:tcPr>
          <w:p>
            <w:pPr>
              <w:spacing w:after="0"/>
              <w:rPr>
                <w:sz w:val="18"/>
                <w:szCs w:val="18"/>
                <w:color w:val="auto"/>
              </w:rPr>
            </w:pPr>
          </w:p>
        </w:tc>
      </w:tr>
      <w:tr>
        <w:trPr>
          <w:trHeight w:val="196"/>
        </w:trPr>
        <w:tc>
          <w:tcPr>
            <w:tcW w:w="1480" w:type="dxa"/>
            <w:vAlign w:val="bottom"/>
          </w:tcPr>
          <w:p>
            <w:pPr>
              <w:spacing w:after="0"/>
              <w:rPr>
                <w:sz w:val="17"/>
                <w:szCs w:val="17"/>
                <w:color w:val="auto"/>
              </w:rPr>
            </w:pPr>
          </w:p>
        </w:tc>
        <w:tc>
          <w:tcPr>
            <w:tcW w:w="77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on Form 8-K (File No. 001-41103), filed with the Securities and Exchange Commission on June 27, 2023).</w:t>
              </w:r>
            </w:hyperlink>
          </w:p>
        </w:tc>
        <w:tc>
          <w:tcPr>
            <w:tcW w:w="1980" w:type="dxa"/>
            <w:vAlign w:val="bottom"/>
            <w:gridSpan w:val="4"/>
          </w:tcPr>
          <w:p>
            <w:pPr>
              <w:spacing w:after="0"/>
              <w:rPr>
                <w:sz w:val="17"/>
                <w:szCs w:val="17"/>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hereto).</w:t>
            </w:r>
          </w:p>
        </w:tc>
        <w:tc>
          <w:tcPr>
            <w:tcW w:w="5380" w:type="dxa"/>
            <w:vAlign w:val="bottom"/>
            <w:gridSpan w:val="7"/>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and Exchange Act, as amended.</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and Exchange Act, as amended.</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6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6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Schedule 906 of the Sarbanes-Oxley Act of 2002</w:t>
            </w:r>
            <w:r>
              <w:rPr>
                <w:rFonts w:ascii="Times New Roman" w:cs="Times New Roman" w:eastAsia="Times New Roman" w:hAnsi="Times New Roman"/>
                <w:sz w:val="18"/>
                <w:szCs w:val="18"/>
                <w:color w:val="000000"/>
              </w:rPr>
              <w:t>.</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3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DTI Clawback Policy - 8398475</w:t>
            </w:r>
          </w:p>
        </w:tc>
        <w:tc>
          <w:tcPr>
            <w:tcW w:w="20" w:type="dxa"/>
            <w:vAlign w:val="bottom"/>
            <w:tcBorders>
              <w:top w:val="single" w:sz="8" w:color="0000FF"/>
              <w:bottom w:val="single" w:sz="8" w:color="0000EE"/>
            </w:tcBorders>
          </w:tcPr>
          <w:p>
            <w:pPr>
              <w:spacing w:after="0"/>
              <w:rPr>
                <w:sz w:val="18"/>
                <w:szCs w:val="18"/>
                <w:color w:val="auto"/>
              </w:rPr>
            </w:pPr>
          </w:p>
        </w:tc>
        <w:tc>
          <w:tcPr>
            <w:tcW w:w="4880" w:type="dxa"/>
            <w:vAlign w:val="bottom"/>
            <w:tcBorders>
              <w:top w:val="single" w:sz="8" w:color="0000FF"/>
            </w:tcBorders>
            <w:gridSpan w:val="4"/>
          </w:tcPr>
          <w:p>
            <w:pPr>
              <w:spacing w:after="0"/>
              <w:rPr>
                <w:sz w:val="18"/>
                <w:szCs w:val="18"/>
                <w:color w:val="auto"/>
              </w:rPr>
            </w:pPr>
          </w:p>
        </w:tc>
        <w:tc>
          <w:tcPr>
            <w:tcW w:w="2480" w:type="dxa"/>
            <w:vAlign w:val="bottom"/>
            <w:gridSpan w:val="5"/>
          </w:tcPr>
          <w:p>
            <w:pPr>
              <w:spacing w:after="0"/>
              <w:rPr>
                <w:sz w:val="18"/>
                <w:szCs w:val="18"/>
                <w:color w:val="auto"/>
              </w:rPr>
            </w:pPr>
          </w:p>
        </w:tc>
      </w:tr>
      <w:tr>
        <w:trPr>
          <w:trHeight w:val="23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r>
      <w:tr>
        <w:trPr>
          <w:trHeight w:val="229"/>
        </w:trPr>
        <w:tc>
          <w:tcPr>
            <w:tcW w:w="1480" w:type="dxa"/>
            <w:vAlign w:val="bottom"/>
          </w:tcPr>
          <w:p>
            <w:pPr>
              <w:spacing w:after="0"/>
              <w:rPr>
                <w:sz w:val="19"/>
                <w:szCs w:val="19"/>
                <w:color w:val="auto"/>
              </w:rPr>
            </w:pP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4300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1"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1100" w:hanging="512"/>
        <w:spacing w:after="0" w:line="281"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line="55"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Company Name</w:t>
      </w:r>
    </w:p>
    <w:p>
      <w:pPr>
        <w:spacing w:after="0" w:line="251" w:lineRule="exact"/>
        <w:rPr>
          <w:sz w:val="20"/>
          <w:szCs w:val="20"/>
          <w:color w:val="auto"/>
        </w:rPr>
      </w:pPr>
    </w:p>
    <w:p>
      <w:pPr>
        <w:ind w:left="20"/>
        <w:spacing w:after="0"/>
        <w:tabs>
          <w:tab w:leader="none" w:pos="5400" w:val="left"/>
          <w:tab w:leader="none" w:pos="786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2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CEO, and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jointly and severally, R. Wayne Prejean, as his attorney-in-fact, with full power of substitution and resubstitution, for him and in his name, place, and stead, in any and all capacities, to sign any and all amendments (including post-effective amendments), and any and all registration statements filed pursuant to Rule 462 under the Securities Act of 1933, as amended, in connection with or related to the offering contemplated by this registration statement and its amendments, if any, and to file the same, with exhibits thereto and other documents in connection therewith, with the Securities and Exchange Commission, hereby ratifying and confirming our signatures as they may be signed by our said attorney to any and all amendments to said registration statement. Pursuant to the requirements of the Securities Exchange Act of 1934, as amended, this Report has been signed below by the following persons on behalf of the Registrant in the capacities and on the dates indicated.</w:t>
      </w:r>
    </w:p>
    <w:p>
      <w:pPr>
        <w:spacing w:after="0" w:line="210"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 Wayne Prejean</w:t>
            </w:r>
          </w:p>
        </w:tc>
        <w:tc>
          <w:tcPr>
            <w:tcW w:w="448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9"/>
              </w:rPr>
              <w:t>President, CEO, and Director</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 Wayne Prejean</w:t>
            </w:r>
          </w:p>
        </w:tc>
        <w:tc>
          <w:tcPr>
            <w:tcW w:w="4480" w:type="dxa"/>
            <w:vAlign w:val="bottom"/>
          </w:tcPr>
          <w:p>
            <w:pPr>
              <w:jc w:val="center"/>
              <w:ind w:left="573"/>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R. Johnson</w:t>
            </w:r>
          </w:p>
        </w:tc>
        <w:tc>
          <w:tcPr>
            <w:tcW w:w="448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R. Johnson</w:t>
            </w:r>
          </w:p>
        </w:tc>
        <w:tc>
          <w:tcPr>
            <w:tcW w:w="4480" w:type="dxa"/>
            <w:vAlign w:val="bottom"/>
          </w:tcPr>
          <w:p>
            <w:pPr>
              <w:jc w:val="center"/>
              <w:ind w:left="533"/>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O. Hicks</w:t>
            </w:r>
          </w:p>
        </w:tc>
        <w:tc>
          <w:tcPr>
            <w:tcW w:w="448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rPr>
              <w:t>Chairman of the Board</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O. Hicks</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C. Neuman</w:t>
            </w:r>
          </w:p>
        </w:tc>
        <w:tc>
          <w:tcPr>
            <w:tcW w:w="448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C. Neuman</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D. Furst</w:t>
            </w:r>
          </w:p>
        </w:tc>
        <w:tc>
          <w:tcPr>
            <w:tcW w:w="448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D. Furst</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 Richard Vermillion</w:t>
            </w:r>
          </w:p>
        </w:tc>
        <w:tc>
          <w:tcPr>
            <w:tcW w:w="448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Richard Vermillion</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L. Crofford</w:t>
            </w:r>
          </w:p>
        </w:tc>
        <w:tc>
          <w:tcPr>
            <w:tcW w:w="448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L. Crofford</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Patterson</w:t>
            </w:r>
          </w:p>
        </w:tc>
        <w:tc>
          <w:tcPr>
            <w:tcW w:w="448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28,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M. Patterson</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837"/>
        </w:trPr>
        <w:tc>
          <w:tcPr>
            <w:tcW w:w="3720" w:type="dxa"/>
            <w:vAlign w:val="bottom"/>
          </w:tcPr>
          <w:p>
            <w:pPr>
              <w:spacing w:after="0"/>
              <w:rPr>
                <w:sz w:val="24"/>
                <w:szCs w:val="24"/>
                <w:color w:val="auto"/>
              </w:rPr>
            </w:pPr>
          </w:p>
        </w:tc>
        <w:tc>
          <w:tcPr>
            <w:tcW w:w="4480" w:type="dxa"/>
            <w:vAlign w:val="bottom"/>
          </w:tcPr>
          <w:p>
            <w:pPr>
              <w:jc w:val="right"/>
              <w:ind w:right="2393"/>
              <w:spacing w:after="0"/>
              <w:rPr>
                <w:sz w:val="20"/>
                <w:szCs w:val="20"/>
                <w:color w:val="auto"/>
              </w:rPr>
            </w:pPr>
            <w:r>
              <w:rPr>
                <w:rFonts w:ascii="Times New Roman" w:cs="Times New Roman" w:eastAsia="Times New Roman" w:hAnsi="Times New Roman"/>
                <w:sz w:val="18"/>
                <w:szCs w:val="18"/>
                <w:color w:val="auto"/>
              </w:rPr>
              <w:t>91</w:t>
            </w:r>
          </w:p>
        </w:tc>
        <w:tc>
          <w:tcPr>
            <w:tcW w:w="3040" w:type="dxa"/>
            <w:vAlign w:val="bottom"/>
          </w:tcPr>
          <w:p>
            <w:pPr>
              <w:spacing w:after="0"/>
              <w:rPr>
                <w:sz w:val="24"/>
                <w:szCs w:val="24"/>
                <w:color w:val="auto"/>
              </w:rPr>
            </w:pPr>
          </w:p>
        </w:tc>
      </w:tr>
      <w:tr>
        <w:trPr>
          <w:trHeight w:val="762"/>
        </w:trPr>
        <w:tc>
          <w:tcPr>
            <w:tcW w:w="37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following description sets forth certain material terms and provisions of the securities of Drilling Tools International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that are registered under Section 12 of the Securities Exchange Act of 1934, as amended. This description also summarizes relevant provisions of Delaware law. The following summary does not purport to be complete and is subject to, and is qualified in its entirety by reference to, the applicable provisions of Delaware law and our second amended and restated certificate of incorporation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and our amended and restated bylaws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copies of which are incorporated by reference as an exhibit to the Annual Report on Form 10-K of which this Exhibit 4.2 is a part. We encourage you to read our certificate of incorporation, our bylaws, and the applicable provisions of Delaware law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and Outstanding Capital Stock</w:t>
      </w:r>
    </w:p>
    <w:p>
      <w:pPr>
        <w:spacing w:after="0" w:line="23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authorizes the issuance of 500,000,000 shares of the Common Stock, $0.0001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10,000,000 shares of preferred stock, $0.0001 par value. The outstanding shares of Common Stock are duly authorized, validly issued, fully paid and non-assessable. As of March 28, 2024, there were 29,768,568 shares of Common Stock issued and outstanding and no shares of preferred stock issued or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Power</w:t>
      </w:r>
    </w:p>
    <w:p>
      <w:pPr>
        <w:spacing w:after="0" w:line="23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otherwise required by law, our Certificate of Incorporation or as otherwise provided in any certificate of designation for any series of preferred stock, stockholders possess all voting power for the election of directors and all other matters requiring stockholder action. Except as otherwise provided in our Certificate of Incorporation or expressly required by law, stockholders are entitled to one (1) vote per share on matters to be voted on by stockholders.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Except as otherwise required by law, stockholders, as such, are not entitled to vote on any amendment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our Certificate of Incorporation or pursuant to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Dividends</w:t>
      </w:r>
    </w:p>
    <w:p>
      <w:pPr>
        <w:spacing w:after="0" w:line="23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applicable law and the rights and preferences of any holders of any outstanding series of preferred stock, stockholders, as such, are entitled to the payment of dividends on the Common Stock when, as and if declared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accordance with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Liquidation, Dissolution and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Subject to the rights and preferences of any holders of any shares of any outstanding series of preferred stock, in the event of any liquidation, dissolution or winding up of the Company, whether voluntary or involuntary, the funds and assets of the Company that may be legally distributed to stockholders will be distributed among the holders of the then outstanding Common Stock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number of shares of Common Stock held by each holder.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Preemptive or Other Rights</w:t>
      </w:r>
    </w:p>
    <w:p>
      <w:pPr>
        <w:spacing w:after="0" w:line="23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and there are no conversion, sinking fund or redemption rights, or rights to subscribe for any of our securities. The voting, dividend, liquidation, and other rights and powers of the Common Stock are subject to and qualified by the rights, powers and preferences of any series of preferred stock as may be designated by the Board and outstanding from time to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w:t>
      </w:r>
    </w:p>
    <w:p>
      <w:pPr>
        <w:spacing w:after="0" w:line="23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is divided into three classes, each of which generally serves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3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Our Certificate of Incorporation provides that shares of preferred stock may be issued from time to time in one or more series. The Board is authorized to fix the designations, powers, preferences and rights, and the qualifications, limitations or restrictions thereof, of any series of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can, without Stockholder approval, issue preferred stock with voting and other rights that could adversely affect the voting power and other rights of the holders of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have no preferred stock outstanding at the date hereof.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3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transfer agent for the Common Stock is Continental Stock Transfer &amp; Trust Company (“</w:t>
      </w:r>
      <w:r>
        <w:rPr>
          <w:rFonts w:ascii="Times New Roman" w:cs="Times New Roman" w:eastAsia="Times New Roman" w:hAnsi="Times New Roman"/>
          <w:sz w:val="22"/>
          <w:szCs w:val="22"/>
          <w:u w:val="single" w:color="auto"/>
          <w:color w:val="auto"/>
        </w:rPr>
        <w:t>Continental</w:t>
      </w:r>
      <w:r>
        <w:rPr>
          <w:rFonts w:ascii="Times New Roman" w:cs="Times New Roman" w:eastAsia="Times New Roman" w:hAnsi="Times New Roman"/>
          <w:sz w:val="22"/>
          <w:szCs w:val="22"/>
          <w:color w:val="auto"/>
        </w:rPr>
        <w:t>”). We have agreed to indemnify Continental in its role as transfer agent, its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Anti-Takeover Provisions of Delaware Law, our Certificate of Incorporation and Bylaws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203 of the DGCL</w:t>
      </w:r>
    </w:p>
    <w:p>
      <w:pPr>
        <w:spacing w:after="0" w:line="23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have not opted out of Section 203 of the DGCL in our Certificate of Incorporation. This statute prevents us, under certain circumstances, from engaging in a “business combination” with:</w:t>
      </w:r>
    </w:p>
    <w:p>
      <w:pPr>
        <w:spacing w:after="0" w:line="184"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who owns 10% or more of our outstanding voting stock (otherwise known as an “interested stockholder”);</w:t>
      </w:r>
    </w:p>
    <w:p>
      <w:pPr>
        <w:spacing w:after="0" w:line="36" w:lineRule="exact"/>
        <w:rPr>
          <w:rFonts w:ascii="Times New Roman" w:cs="Times New Roman" w:eastAsia="Times New Roman" w:hAnsi="Times New Roman"/>
          <w:sz w:val="20"/>
          <w:szCs w:val="20"/>
          <w:color w:val="auto"/>
        </w:rPr>
      </w:pPr>
    </w:p>
    <w:p>
      <w:pPr>
        <w:ind w:left="760" w:hanging="378"/>
        <w:spacing w:after="0" w:line="230" w:lineRule="auto"/>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an interested stockholder; or</w:t>
      </w:r>
    </w:p>
    <w:p>
      <w:pPr>
        <w:ind w:left="760" w:right="20" w:hanging="378"/>
        <w:spacing w:after="0" w:line="237" w:lineRule="auto"/>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associate of an interested stockholder, for three years following the date that the stockholder became an interest stockholder.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“business combination” includes a merger or sale of more than 10% of our assets. However, the above provisions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 do not apply if:</w:t>
      </w:r>
    </w:p>
    <w:p>
      <w:pPr>
        <w:spacing w:after="0" w:line="208" w:lineRule="exact"/>
        <w:rPr>
          <w:sz w:val="20"/>
          <w:szCs w:val="20"/>
          <w:color w:val="auto"/>
        </w:rPr>
      </w:pPr>
    </w:p>
    <w:p>
      <w:pPr>
        <w:ind w:left="760" w:hanging="378"/>
        <w:spacing w:after="0" w:line="241"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approves the transaction that made the stockholder an “interested stockholder,” prior to the date of the transaction;</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0"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jc w:val="both"/>
        <w:ind w:left="760" w:hanging="378"/>
        <w:spacing w:after="0" w:line="235"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subsequent to the date of the transaction, the business combination is approved by the Board and authorized at a meeting of our stockholders, and not by written consent, by an affirmative vote of at least two-thirds of the outstanding voting stock not owned by the interested stockholder.</w:t>
      </w:r>
    </w:p>
    <w:p>
      <w:pPr>
        <w:spacing w:after="0" w:line="20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Under certain circumstances, declining to opt out of Section 203 of the DGCL will make it more difficult for a person who would be an “interested stockholder” to effect various business combinations with us for a three-year period. This may encourage companies interested in acquiring us to negotiate in advance with the Board because the stockholder approval requirement would be avoided if the Board approves the acquisition which results in the stockholder becoming an interested stockholder. This may also have the effect of preventing changes in the Board and may make it more difficult to accomplish transactions which stockholders may otherwise deem to be in their best interests.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provides that the Board is divided into three classes of directors, with the classes to be as nearly equal in number as possible, and with each director serving a three-year term. As a result, approximately one-third of the Board is elected each year. The classification of directors has the effect of making it more difficult for stockholders to change the composition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3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our authorized but unissued and unreserved shares of Common Stock and preferred stock could make it more difficult or discourage an attempt to obtain control of us by means of a proxy contest, tender offer, merger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Written Consent by Stockholders</w:t>
      </w:r>
    </w:p>
    <w:p>
      <w:pPr>
        <w:spacing w:after="0" w:line="23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Under our Certificate of Incorporation, subject to the rights of holders of preferred stock, any action required or permitted to be taken by the stockholders must be effected at an annual or special meeting of stockholders and may not be taken by written consent in lieu of a meeting.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Meeting of Stockholders</w:t>
      </w:r>
    </w:p>
    <w:p>
      <w:pPr>
        <w:spacing w:after="0" w:line="23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Under our Certificate of Incorporation, subject to the terms of any series of preferred stock, special meetings of stockholders may be called only by the Board, the chairperson of the Board, the Chief Executive Officer, or the President, and may not be called by any other person or persons. Only such business shall be considered at a special meeting of stockholders as shall have been stated in the notice for such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Requirements for Stockholder Proposals and Director Nominations</w:t>
      </w:r>
    </w:p>
    <w:p>
      <w:pPr>
        <w:spacing w:after="0" w:line="23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Under our Certificate of Incorporation, advance notice of Stockholder nominations for the election of directors and of business proposed to be brought by stockholders before any meeting of the stockholders must be given in the manner provided in our Bylaws.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of Certificate of Incorporation or Bylaws</w:t>
      </w:r>
    </w:p>
    <w:p>
      <w:pPr>
        <w:spacing w:after="0" w:line="23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Our Bylaws may be amended or repealed by the Board or by the affirmative vote of the holders of at least 66 2/3% of the total voting power of all of the shares of our capital stock entitled to vote in the election of directors, voting as one class. The affirmative vote of the holders of at least 66 2/3% of the total voting power of all the then outstanding shares of Common Stock entitled to vote thereon, voting together as a single class, is required to amend certain provisions of our Certificate of Incorporation.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Board 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Subject to the special rights of the holders of one or more outstanding series of preferred stock to elect directors, except as otherwise provided by law, any vacancies on the Board and any newly created directorships resulting from any increase in the number of directors are filled exclusively by the affirmative vote of a majority of the directors then in office, even though less than a quorum, or by a sole remaining director (other than any directors elected by the separate vote of one or more outstanding series of preferred stock), and are not filled by the stockholders. Any director appointed in accordance with the preceding sentence holds office until the expiration of the term to which such director shall have been appointed or until his or her earlier death, resignation, retirement, disqualification, or removal.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Forum</w:t>
      </w:r>
    </w:p>
    <w:p>
      <w:pPr>
        <w:spacing w:after="0" w:line="23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is, to the fullest extent permitted by law, the sole and exclusive forum for (a) any derivative action or proceeding brought on behalf of the Company, (b) any action asserting a claim of breach of a fiduciary duty owed by any director, stockholder, officer or other employee of the Company to the Company or stockholders, (c) any action arising pursuant to any provision of the DGCL or our Certificate of Incorporation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1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Company securities, including, without limitation and for the avoidance of doubt, any auditor, underwriter, expert, control person, or other defendant.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There is uncertainty as to whether a court would enforce the exclusive forum provision of our Certificate of Incorporation. Holders of Common Stock cannot waive compliance with federal securities laws and the rules and regulations promulgated thereunder. The exclusive forum provision of our Certificate of Incorporation does not apply to actions arising under the Exchange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on Liability and Indemnification of Directors and Officers</w:t>
      </w:r>
    </w:p>
    <w:p>
      <w:pPr>
        <w:spacing w:after="0" w:line="23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provides that our directors and officers will be indemnified and advanced expenses by us to the fullest extent authorized or permitted by the DGCL as it now exists or may in the future be amended. No director or officer of the Company has any personal liability to the Company or its stockholders for monetary damages for any breach of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8" w:name="page99"/>
    <w:bookmarkEnd w:id="98"/>
    <w:p>
      <w:pPr>
        <w:ind w:left="10440"/>
        <w:spacing w:after="0"/>
        <w:rPr>
          <w:sz w:val="20"/>
          <w:szCs w:val="20"/>
          <w:color w:val="auto"/>
        </w:rPr>
      </w:pPr>
      <w:r>
        <w:rPr>
          <w:rFonts w:ascii="Times New Roman" w:cs="Times New Roman" w:eastAsia="Times New Roman" w:hAnsi="Times New Roman"/>
          <w:sz w:val="17"/>
          <w:szCs w:val="17"/>
          <w:color w:val="auto"/>
        </w:rPr>
        <w:t>Exhibit 4.2</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 director or officer, as applicable, except to the extent such exemption from liability or limitation thereof is not permitted under the DGCL as the same exists or hereafter may be amended.</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Our Bylaws also permit us to purchase and maintain insurance on behalf of any officer, director, employee or agent of us for any liability arising out of his or her status as such, regardless of whether the DGCL would permit indemnification.</w:t>
      </w:r>
    </w:p>
    <w:p>
      <w:pPr>
        <w:spacing w:after="0" w:line="18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144</w:t>
      </w:r>
    </w:p>
    <w:p>
      <w:pPr>
        <w:spacing w:after="0" w:line="23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Pursuant to Rule 144, a person who has beneficially owned restricted shares of Common Stock for at least six months would be entitled to sell such shares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7"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Persons who have beneficially owned restricted shares of Common Stock for at least six months but who are our affiliates at the time of, or at any time during the three months preceding, a sale, would be subject to additional restrictions, by which such person would be entitled to sell within any three-month period a number of shares that does not exceed the greater of:</w:t>
      </w:r>
    </w:p>
    <w:p>
      <w:pPr>
        <w:spacing w:after="0" w:line="166"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of the total number of shares of such securities then-outstanding; or</w:t>
      </w:r>
    </w:p>
    <w:p>
      <w:pPr>
        <w:spacing w:after="0" w:line="13"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weekly reported trading volume of such securities during the four calendar weeks preceding the filing of a notice on Form 144 with respect to the sale.</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Sales by our affiliates under Rule 144 are also limited by manner of sale provisions and notice requirements and to the availability of current public information about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Restrictions on Use of Rule 144 by Shell Companies or Former Shell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ind w:left="760" w:hanging="378"/>
        <w:spacing w:after="0" w:line="232"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that was formerly a shell company has ceased to be a shell company;</w:t>
      </w:r>
    </w:p>
    <w:p>
      <w:pPr>
        <w:ind w:left="760" w:hanging="378"/>
        <w:spacing w:after="0" w:line="230"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is subject to the reporting requirements of Section 13 or 15(d) of the Exchange Act;</w:t>
      </w:r>
    </w:p>
    <w:p>
      <w:pPr>
        <w:jc w:val="both"/>
        <w:ind w:left="760" w:right="20" w:hanging="378"/>
        <w:spacing w:after="0" w:line="230"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ind w:left="760" w:hanging="378"/>
        <w:spacing w:after="0" w:line="237"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year has elapsed from the time that the issuer filed current Form 10 type information with the SEC reflecting its status as an entity that is not a shell company.</w:t>
      </w:r>
    </w:p>
    <w:p>
      <w:pPr>
        <w:spacing w:after="0" w:line="20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As a result, it is likely that pursuant to Rule 144, our insiders will be able to sell their shares of Common Stock freely without registration one year after the Closing Date assuming they are not an affiliate of ours at that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 of Securities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Common Stock is currently listed on the Nasdaq under the symbol “DTI”.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1179830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333-274242 of Drilling Tools International Corporation of our report dated March 28, 2024, relating to the consolidated financial statements, which appear in this Form 10-K.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Wayne Prejean,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Drilling Tools International Corporation;</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 Johnson,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Drilling Tools International Corporation;</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R. Johnson</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Drilling Tools International Corporation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6920" w:val="left"/>
          <w:tab w:leader="none" w:pos="848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26035</wp:posOffset>
            </wp:positionV>
            <wp:extent cx="25260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22"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Drilling Tools International Corporation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6920" w:val="left"/>
          <w:tab w:leader="none" w:pos="848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26035</wp:posOffset>
            </wp:positionV>
            <wp:extent cx="25260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David R. Johnson</w:t>
      </w:r>
    </w:p>
    <w:p>
      <w:pPr>
        <w:spacing w:after="0" w:line="22"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Drilling Tools International Corp.</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POLICY FOR THE RECOVERY OF</w:t>
      </w:r>
    </w:p>
    <w:p>
      <w:pPr>
        <w:spacing w:after="0" w:line="13"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hanging="75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OVERVIEW</w:t>
      </w:r>
    </w:p>
    <w:p>
      <w:pPr>
        <w:spacing w:after="0" w:line="211" w:lineRule="exact"/>
        <w:rPr>
          <w:sz w:val="20"/>
          <w:szCs w:val="20"/>
          <w:color w:val="auto"/>
        </w:rPr>
      </w:pPr>
    </w:p>
    <w:p>
      <w:pPr>
        <w:jc w:val="both"/>
        <w:ind w:right="500" w:firstLine="749"/>
        <w:spacing w:after="0" w:line="243" w:lineRule="auto"/>
        <w:rPr>
          <w:sz w:val="20"/>
          <w:szCs w:val="20"/>
          <w:color w:val="auto"/>
        </w:rPr>
      </w:pPr>
      <w:r>
        <w:rPr>
          <w:rFonts w:ascii="Arial" w:cs="Arial" w:eastAsia="Arial" w:hAnsi="Arial"/>
          <w:sz w:val="18"/>
          <w:szCs w:val="18"/>
          <w:color w:val="auto"/>
        </w:rPr>
        <w:t xml:space="preserve">In accordance with the applicable rules of The Nasdaq Stock Market LLC, including Nasdaq Rule 5608 (collectively, the </w:t>
      </w:r>
      <w:r>
        <w:rPr>
          <w:rFonts w:ascii="Arial" w:cs="Arial" w:eastAsia="Arial" w:hAnsi="Arial"/>
          <w:sz w:val="18"/>
          <w:szCs w:val="18"/>
          <w:b w:val="1"/>
          <w:bCs w:val="1"/>
          <w:i w:val="1"/>
          <w:iCs w:val="1"/>
          <w:color w:val="auto"/>
        </w:rPr>
        <w:t>“Nasdaq Rules”</w:t>
      </w:r>
      <w:r>
        <w:rPr>
          <w:rFonts w:ascii="Arial" w:cs="Arial" w:eastAsia="Arial" w:hAnsi="Arial"/>
          <w:sz w:val="18"/>
          <w:szCs w:val="18"/>
          <w:color w:val="auto"/>
        </w:rPr>
        <w:t>), Section 10D and Rule 10D-1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Rule 10D-1</w:t>
      </w:r>
      <w:r>
        <w:rPr>
          <w:rFonts w:ascii="Arial" w:cs="Arial" w:eastAsia="Arial" w:hAnsi="Arial"/>
          <w:sz w:val="18"/>
          <w:szCs w:val="18"/>
          <w:color w:val="auto"/>
        </w:rPr>
        <w: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Drilling Tools International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adopted this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to provide for the recovery of erroneously awarded Incentive-based Compensation from Executive Officers. All capitalized terms used and not otherwise defined herein shall have the meanings set forth in Section H, below.</w:t>
      </w:r>
    </w:p>
    <w:p>
      <w:pPr>
        <w:spacing w:after="0" w:line="166" w:lineRule="exact"/>
        <w:rPr>
          <w:sz w:val="20"/>
          <w:szCs w:val="20"/>
          <w:color w:val="auto"/>
        </w:rPr>
      </w:pPr>
    </w:p>
    <w:p>
      <w:pPr>
        <w:ind w:left="760" w:hanging="75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RECOVERY OF ERRONEOUSLY AWARDED COMPENSATION</w:t>
      </w:r>
    </w:p>
    <w:p>
      <w:pPr>
        <w:spacing w:after="0" w:line="211" w:lineRule="exact"/>
        <w:rPr>
          <w:rFonts w:ascii="Arial" w:cs="Arial" w:eastAsia="Arial" w:hAnsi="Arial"/>
          <w:sz w:val="18"/>
          <w:szCs w:val="18"/>
          <w:color w:val="auto"/>
        </w:rPr>
      </w:pPr>
    </w:p>
    <w:p>
      <w:pPr>
        <w:ind w:right="500" w:firstLine="716"/>
        <w:spacing w:after="0" w:line="271" w:lineRule="auto"/>
        <w:tabs>
          <w:tab w:leader="none" w:pos="98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of an Accounting Restatement, the Company will reasonably promptly recover the Erroneously Awarded Compensation Received in accordance with Nasdaq Rules and Rule 10D-1 as follows:</w:t>
      </w:r>
    </w:p>
    <w:p>
      <w:pPr>
        <w:spacing w:after="0" w:line="153" w:lineRule="exact"/>
        <w:rPr>
          <w:sz w:val="20"/>
          <w:szCs w:val="20"/>
          <w:color w:val="auto"/>
        </w:rPr>
      </w:pPr>
    </w:p>
    <w:p>
      <w:pPr>
        <w:jc w:val="both"/>
        <w:ind w:left="1460" w:right="500" w:hanging="709"/>
        <w:spacing w:after="0" w:line="239"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After an Accounting Restatement, the Compensation Committee (if composed entirely of independent directors, or in the absence of such a committee, a majority of independent directors serving on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 including any repayment schedule associated therewith. For the avoidance of doubt, this Policy shall apply to all Executive Officers who received Erroneously Awarded Compensation during the applicable Clawback Period, regardless of whether any particular Executive Officer was or was not responsible for or involved in the preparation of the Company’s financial statements.</w:t>
      </w:r>
    </w:p>
    <w:p>
      <w:pPr>
        <w:spacing w:after="0" w:line="181" w:lineRule="exact"/>
        <w:rPr>
          <w:sz w:val="20"/>
          <w:szCs w:val="20"/>
          <w:color w:val="auto"/>
        </w:rPr>
      </w:pPr>
    </w:p>
    <w:p>
      <w:pPr>
        <w:jc w:val="both"/>
        <w:ind w:left="1500" w:right="500"/>
        <w:spacing w:after="0" w:line="252" w:lineRule="auto"/>
        <w:rPr>
          <w:sz w:val="20"/>
          <w:szCs w:val="20"/>
          <w:color w:val="auto"/>
        </w:rPr>
      </w:pPr>
      <w:r>
        <w:rPr>
          <w:rFonts w:ascii="Arial" w:cs="Arial" w:eastAsia="Arial" w:hAnsi="Arial"/>
          <w:sz w:val="18"/>
          <w:szCs w:val="18"/>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224" w:lineRule="exact"/>
        <w:rPr>
          <w:sz w:val="20"/>
          <w:szCs w:val="20"/>
          <w:color w:val="auto"/>
        </w:rPr>
      </w:pPr>
    </w:p>
    <w:p>
      <w:pPr>
        <w:jc w:val="both"/>
        <w:ind w:left="2040" w:right="500" w:hanging="526"/>
        <w:spacing w:after="0" w:line="252" w:lineRule="auto"/>
        <w:tabs>
          <w:tab w:leader="none" w:pos="2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70" w:lineRule="exact"/>
        <w:rPr>
          <w:rFonts w:ascii="Arial" w:cs="Arial" w:eastAsia="Arial" w:hAnsi="Arial"/>
          <w:sz w:val="18"/>
          <w:szCs w:val="18"/>
          <w:color w:val="auto"/>
        </w:rPr>
      </w:pPr>
    </w:p>
    <w:p>
      <w:pPr>
        <w:ind w:left="2040" w:right="500" w:hanging="526"/>
        <w:spacing w:after="0" w:line="271" w:lineRule="auto"/>
        <w:tabs>
          <w:tab w:leader="none" w:pos="2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shall maintain documentation of the determination of such reasonable estimate and provide the relevant documentation as required to Nasdaq.</w:t>
      </w:r>
    </w:p>
    <w:p>
      <w:pPr>
        <w:spacing w:after="0" w:line="139" w:lineRule="exact"/>
        <w:rPr>
          <w:rFonts w:ascii="Arial" w:cs="Arial" w:eastAsia="Arial" w:hAnsi="Arial"/>
          <w:sz w:val="18"/>
          <w:szCs w:val="18"/>
          <w:color w:val="auto"/>
        </w:rPr>
      </w:pPr>
    </w:p>
    <w:p>
      <w:pPr>
        <w:jc w:val="both"/>
        <w:ind w:left="1460" w:right="500" w:hanging="709"/>
        <w:spacing w:after="0" w:line="246"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p>
      <w:pPr>
        <w:spacing w:after="0" w:line="162" w:lineRule="exact"/>
        <w:rPr>
          <w:rFonts w:ascii="Arial" w:cs="Arial" w:eastAsia="Arial" w:hAnsi="Arial"/>
          <w:sz w:val="18"/>
          <w:szCs w:val="18"/>
          <w:color w:val="auto"/>
        </w:rPr>
      </w:pPr>
    </w:p>
    <w:p>
      <w:pPr>
        <w:ind w:left="1460" w:right="500" w:hanging="709"/>
        <w:spacing w:after="0" w:line="271"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that the Executive Officer has already reimbursed the Company for any Erroneously Awarded Compensation Received under any duplicative recovery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558800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60" w:right="500"/>
        <w:spacing w:after="0" w:line="271" w:lineRule="auto"/>
        <w:rPr>
          <w:sz w:val="20"/>
          <w:szCs w:val="20"/>
          <w:color w:val="auto"/>
        </w:rPr>
      </w:pPr>
      <w:r>
        <w:rPr>
          <w:rFonts w:ascii="Arial" w:cs="Arial" w:eastAsia="Arial" w:hAnsi="Arial"/>
          <w:sz w:val="18"/>
          <w:szCs w:val="18"/>
          <w:color w:val="auto"/>
        </w:rPr>
        <w:t>established by the Company or applicable law, it shall be appropriate for any such reimbursed amount to be credited to the amount of Erroneously Awarded Compensation that is subject to recovery under this Policy.</w:t>
      </w:r>
    </w:p>
    <w:p>
      <w:pPr>
        <w:spacing w:after="0" w:line="139" w:lineRule="exact"/>
        <w:rPr>
          <w:sz w:val="20"/>
          <w:szCs w:val="20"/>
          <w:color w:val="auto"/>
        </w:rPr>
      </w:pPr>
    </w:p>
    <w:p>
      <w:pPr>
        <w:jc w:val="both"/>
        <w:ind w:left="1460" w:right="500" w:hanging="709"/>
        <w:spacing w:after="0" w:line="241"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82" w:lineRule="exact"/>
        <w:rPr>
          <w:rFonts w:ascii="Arial" w:cs="Arial" w:eastAsia="Arial" w:hAnsi="Arial"/>
          <w:sz w:val="18"/>
          <w:szCs w:val="18"/>
          <w:color w:val="auto"/>
        </w:rPr>
      </w:pPr>
    </w:p>
    <w:p>
      <w:pPr>
        <w:jc w:val="both"/>
        <w:ind w:right="500" w:firstLine="716"/>
        <w:spacing w:after="0" w:line="246" w:lineRule="auto"/>
        <w:tabs>
          <w:tab w:leader="none" w:pos="9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take the actions contemplated by Section B(1) above if the Committee (which, as specified above, is composed entirely of independent directors or in the absence of such a committee, a majority of the independent directors serving on the Board) determines that recovery would be impracticable and either of the following two conditions is met:</w:t>
      </w:r>
    </w:p>
    <w:p>
      <w:pPr>
        <w:spacing w:after="0" w:line="271" w:lineRule="exact"/>
        <w:rPr>
          <w:sz w:val="20"/>
          <w:szCs w:val="20"/>
          <w:color w:val="auto"/>
        </w:rPr>
      </w:pPr>
    </w:p>
    <w:p>
      <w:pPr>
        <w:jc w:val="both"/>
        <w:ind w:left="1460" w:right="600" w:hanging="740"/>
        <w:spacing w:after="0" w:line="232" w:lineRule="auto"/>
        <w:tabs>
          <w:tab w:leader="none" w:pos="1460" w:val="left"/>
        </w:tabs>
        <w:numPr>
          <w:ilvl w:val="1"/>
          <w:numId w:val="50"/>
        </w:numPr>
        <w:rPr>
          <w:rFonts w:ascii="Arial" w:cs="Arial" w:eastAsia="Arial" w:hAnsi="Arial"/>
          <w:sz w:val="22"/>
          <w:szCs w:val="22"/>
          <w:color w:val="auto"/>
        </w:rPr>
      </w:pPr>
      <w:r>
        <w:rPr>
          <w:rFonts w:ascii="Arial" w:cs="Arial" w:eastAsia="Arial" w:hAnsi="Arial"/>
          <w:sz w:val="18"/>
          <w:szCs w:val="18"/>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 documentation to Nasdaq; or</w:t>
      </w:r>
    </w:p>
    <w:p>
      <w:pPr>
        <w:spacing w:after="0" w:line="193" w:lineRule="exact"/>
        <w:rPr>
          <w:rFonts w:ascii="Arial" w:cs="Arial" w:eastAsia="Arial" w:hAnsi="Arial"/>
          <w:sz w:val="22"/>
          <w:szCs w:val="22"/>
          <w:color w:val="auto"/>
        </w:rPr>
      </w:pPr>
    </w:p>
    <w:p>
      <w:pPr>
        <w:jc w:val="both"/>
        <w:ind w:left="1460" w:right="500" w:hanging="709"/>
        <w:spacing w:after="0" w:line="231" w:lineRule="auto"/>
        <w:tabs>
          <w:tab w:leader="none" w:pos="1460" w:val="left"/>
        </w:tabs>
        <w:numPr>
          <w:ilvl w:val="2"/>
          <w:numId w:val="50"/>
        </w:numPr>
        <w:rPr>
          <w:rFonts w:ascii="Arial" w:cs="Arial" w:eastAsia="Arial" w:hAnsi="Arial"/>
          <w:sz w:val="22"/>
          <w:szCs w:val="22"/>
          <w:color w:val="auto"/>
        </w:rPr>
      </w:pPr>
      <w:r>
        <w:rPr>
          <w:rFonts w:ascii="Arial" w:cs="Arial" w:eastAsia="Arial" w:hAnsi="Arial"/>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80" w:lineRule="exact"/>
        <w:rPr>
          <w:rFonts w:ascii="Arial" w:cs="Arial" w:eastAsia="Arial" w:hAnsi="Arial"/>
          <w:sz w:val="22"/>
          <w:szCs w:val="22"/>
          <w:color w:val="auto"/>
        </w:rPr>
      </w:pPr>
    </w:p>
    <w:p>
      <w:pPr>
        <w:ind w:left="680" w:hanging="603"/>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DISCLOSURE REQUIREMENTS</w:t>
      </w:r>
    </w:p>
    <w:p>
      <w:pPr>
        <w:spacing w:after="0" w:line="19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Company shall file all disclosures with respect to this Policy required by applicable U.S. Securities and Exchange</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filings and rules.</w:t>
      </w:r>
    </w:p>
    <w:p>
      <w:pPr>
        <w:spacing w:after="0" w:line="193" w:lineRule="exact"/>
        <w:rPr>
          <w:sz w:val="20"/>
          <w:szCs w:val="20"/>
          <w:color w:val="auto"/>
        </w:rPr>
      </w:pPr>
    </w:p>
    <w:p>
      <w:pPr>
        <w:ind w:left="680" w:hanging="603"/>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PROHIBITION OF INDEMNIFICATION</w:t>
      </w:r>
    </w:p>
    <w:p>
      <w:pPr>
        <w:spacing w:after="0" w:line="211" w:lineRule="exact"/>
        <w:rPr>
          <w:sz w:val="20"/>
          <w:szCs w:val="20"/>
          <w:color w:val="auto"/>
        </w:rPr>
      </w:pPr>
    </w:p>
    <w:p>
      <w:pPr>
        <w:jc w:val="both"/>
        <w:ind w:left="80" w:right="500" w:firstLine="597"/>
        <w:spacing w:after="0" w:line="241" w:lineRule="auto"/>
        <w:rPr>
          <w:sz w:val="20"/>
          <w:szCs w:val="20"/>
          <w:color w:val="auto"/>
        </w:rPr>
      </w:pPr>
      <w:r>
        <w:rPr>
          <w:rFonts w:ascii="Arial" w:cs="Arial" w:eastAsia="Arial" w:hAnsi="Arial"/>
          <w:sz w:val="18"/>
          <w:szCs w:val="18"/>
          <w:color w:val="auto"/>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69" w:lineRule="exact"/>
        <w:rPr>
          <w:sz w:val="20"/>
          <w:szCs w:val="20"/>
          <w:color w:val="auto"/>
        </w:rPr>
      </w:pPr>
    </w:p>
    <w:p>
      <w:pPr>
        <w:ind w:left="760" w:hanging="75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ADMINISTRATION AND INTERPRETATION</w:t>
      </w:r>
    </w:p>
    <w:p>
      <w:pPr>
        <w:spacing w:after="0" w:line="211" w:lineRule="exact"/>
        <w:rPr>
          <w:sz w:val="20"/>
          <w:szCs w:val="20"/>
          <w:color w:val="auto"/>
        </w:rPr>
      </w:pPr>
    </w:p>
    <w:p>
      <w:pPr>
        <w:jc w:val="both"/>
        <w:ind w:right="500" w:firstLine="749"/>
        <w:spacing w:after="0" w:line="271" w:lineRule="auto"/>
        <w:rPr>
          <w:sz w:val="20"/>
          <w:szCs w:val="20"/>
          <w:color w:val="auto"/>
        </w:rPr>
      </w:pPr>
      <w:r>
        <w:rPr>
          <w:rFonts w:ascii="Arial" w:cs="Arial" w:eastAsia="Arial" w:hAnsi="Arial"/>
          <w:sz w:val="18"/>
          <w:szCs w:val="18"/>
          <w:color w:val="auto"/>
        </w:rPr>
        <w:t>This Policy shall be administered by the Committee, and any determinations made by the Committee shall be final and binding on all affected individuals.</w:t>
      </w:r>
    </w:p>
    <w:p>
      <w:pPr>
        <w:spacing w:after="0" w:line="139" w:lineRule="exact"/>
        <w:rPr>
          <w:sz w:val="20"/>
          <w:szCs w:val="20"/>
          <w:color w:val="auto"/>
        </w:rPr>
      </w:pPr>
    </w:p>
    <w:p>
      <w:pPr>
        <w:jc w:val="both"/>
        <w:ind w:right="500" w:firstLine="749"/>
        <w:spacing w:after="0" w:line="241" w:lineRule="auto"/>
        <w:rPr>
          <w:sz w:val="20"/>
          <w:szCs w:val="20"/>
          <w:color w:val="auto"/>
        </w:rPr>
      </w:pPr>
      <w:r>
        <w:rPr>
          <w:rFonts w:ascii="Arial" w:cs="Arial" w:eastAsia="Arial" w:hAnsi="Arial"/>
          <w:sz w:val="18"/>
          <w:szCs w:val="18"/>
          <w:color w:val="auto"/>
        </w:rPr>
        <w:t>No recovery hereunder of any Erroneously Awarded Compensation shall constitute an event giving rise to a right for any Executive Officer to resign for “good reason” or “constructive termination” (or similar term) under any plan, agreement, arrangement or contract with the Company or any affiliate thereof. In addition, the Board may require that any employment agreement, equity or equity-based award agreement or other similar agreement entered into on or after the effective date of this Policy shall, as a condition to the grant of any compensation or benefit thereunder, require the applicable Executive Officer to acknowledge and agree to abide by the terms of this Policy.</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Committee is authorized to interpret and construe this Policy and to make all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595630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80" w:right="500"/>
        <w:spacing w:after="0" w:line="252" w:lineRule="auto"/>
        <w:rPr>
          <w:sz w:val="20"/>
          <w:szCs w:val="20"/>
          <w:color w:val="auto"/>
        </w:rPr>
      </w:pPr>
      <w:r>
        <w:rPr>
          <w:rFonts w:ascii="Arial" w:cs="Arial" w:eastAsia="Arial" w:hAnsi="Arial"/>
          <w:sz w:val="18"/>
          <w:szCs w:val="18"/>
          <w:color w:val="auto"/>
        </w:rPr>
        <w:t>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spacing w:after="0" w:line="171" w:lineRule="exact"/>
        <w:rPr>
          <w:sz w:val="20"/>
          <w:szCs w:val="20"/>
          <w:color w:val="auto"/>
        </w:rPr>
      </w:pPr>
    </w:p>
    <w:p>
      <w:pPr>
        <w:ind w:left="680" w:hanging="603"/>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AMENDMENT; TERMINATION; SEVERABILITY</w:t>
      </w:r>
    </w:p>
    <w:p>
      <w:pPr>
        <w:spacing w:after="0" w:line="198" w:lineRule="exact"/>
        <w:rPr>
          <w:sz w:val="20"/>
          <w:szCs w:val="20"/>
          <w:color w:val="auto"/>
        </w:rPr>
      </w:pPr>
    </w:p>
    <w:p>
      <w:pPr>
        <w:jc w:val="both"/>
        <w:ind w:left="80" w:right="500" w:firstLine="597"/>
        <w:spacing w:after="0" w:line="243" w:lineRule="auto"/>
        <w:rPr>
          <w:sz w:val="20"/>
          <w:szCs w:val="20"/>
          <w:color w:val="auto"/>
        </w:rPr>
      </w:pPr>
      <w:r>
        <w:rPr>
          <w:rFonts w:ascii="Arial" w:cs="Arial" w:eastAsia="Arial" w:hAnsi="Arial"/>
          <w:sz w:val="18"/>
          <w:szCs w:val="18"/>
          <w:color w:val="auto"/>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Nasdaq Rules.</w:t>
      </w:r>
    </w:p>
    <w:p>
      <w:pPr>
        <w:spacing w:after="0" w:line="166" w:lineRule="exact"/>
        <w:rPr>
          <w:sz w:val="20"/>
          <w:szCs w:val="20"/>
          <w:color w:val="auto"/>
        </w:rPr>
      </w:pPr>
    </w:p>
    <w:p>
      <w:pPr>
        <w:jc w:val="both"/>
        <w:ind w:left="80" w:right="500" w:firstLine="597"/>
        <w:spacing w:after="0" w:line="252" w:lineRule="auto"/>
        <w:rPr>
          <w:sz w:val="20"/>
          <w:szCs w:val="20"/>
          <w:color w:val="auto"/>
        </w:rPr>
      </w:pPr>
      <w:r>
        <w:rPr>
          <w:rFonts w:ascii="Arial" w:cs="Arial" w:eastAsia="Arial" w:hAnsi="Arial"/>
          <w:sz w:val="18"/>
          <w:szCs w:val="18"/>
          <w:color w:val="auto"/>
        </w:rPr>
        <w:t>If any provision of this Policy is determined to be unenforceable or invalid under any applicable law, SEC rules or Nasdaq Rules, such provision shall be applied to the maximum extent permitted thereby and shall automatically be deemed amended in a manner consistent with its objectives to the extent necessary to confirm to any such limitations.</w:t>
      </w:r>
    </w:p>
    <w:p>
      <w:pPr>
        <w:spacing w:after="0" w:line="171" w:lineRule="exact"/>
        <w:rPr>
          <w:sz w:val="20"/>
          <w:szCs w:val="20"/>
          <w:color w:val="auto"/>
        </w:rPr>
      </w:pPr>
    </w:p>
    <w:p>
      <w:pPr>
        <w:ind w:left="680" w:hanging="603"/>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RECOVERY RIGHTS</w:t>
      </w:r>
    </w:p>
    <w:p>
      <w:pPr>
        <w:spacing w:after="0" w:line="211" w:lineRule="exact"/>
        <w:rPr>
          <w:sz w:val="20"/>
          <w:szCs w:val="20"/>
          <w:color w:val="auto"/>
        </w:rPr>
      </w:pPr>
    </w:p>
    <w:p>
      <w:pPr>
        <w:jc w:val="both"/>
        <w:ind w:left="80" w:right="500" w:firstLine="674"/>
        <w:spacing w:after="0" w:line="239" w:lineRule="auto"/>
        <w:rPr>
          <w:sz w:val="20"/>
          <w:szCs w:val="20"/>
          <w:color w:val="auto"/>
        </w:rPr>
      </w:pPr>
      <w:r>
        <w:rPr>
          <w:rFonts w:ascii="Arial" w:cs="Arial" w:eastAsia="Arial" w:hAnsi="Arial"/>
          <w:sz w:val="18"/>
          <w:szCs w:val="18"/>
          <w:color w:val="auto"/>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68" w:lineRule="exact"/>
        <w:rPr>
          <w:sz w:val="20"/>
          <w:szCs w:val="20"/>
          <w:color w:val="auto"/>
        </w:rPr>
      </w:pPr>
    </w:p>
    <w:p>
      <w:pPr>
        <w:ind w:left="760" w:hanging="758"/>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9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For purposes of this Policy, the following capitalized terms shall have the meanings set forth below.</w:t>
      </w:r>
    </w:p>
    <w:p>
      <w:pPr>
        <w:spacing w:after="0" w:line="211" w:lineRule="exact"/>
        <w:rPr>
          <w:rFonts w:ascii="Arial" w:cs="Arial" w:eastAsia="Arial" w:hAnsi="Arial"/>
          <w:sz w:val="18"/>
          <w:szCs w:val="18"/>
          <w:color w:val="auto"/>
        </w:rPr>
      </w:pPr>
    </w:p>
    <w:p>
      <w:pPr>
        <w:jc w:val="both"/>
        <w:ind w:right="500" w:firstLine="716"/>
        <w:spacing w:after="0" w:line="243" w:lineRule="auto"/>
        <w:tabs>
          <w:tab w:leader="none" w:pos="986"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Restatement</w:t>
      </w:r>
      <w:r>
        <w:rPr>
          <w:rFonts w:ascii="Arial" w:cs="Arial" w:eastAsia="Arial" w:hAnsi="Arial"/>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179" w:lineRule="exact"/>
        <w:rPr>
          <w:rFonts w:ascii="Arial" w:cs="Arial" w:eastAsia="Arial" w:hAnsi="Arial"/>
          <w:sz w:val="18"/>
          <w:szCs w:val="18"/>
          <w:color w:val="auto"/>
        </w:rPr>
      </w:pPr>
    </w:p>
    <w:p>
      <w:pPr>
        <w:jc w:val="both"/>
        <w:ind w:right="500" w:firstLine="716"/>
        <w:spacing w:after="0" w:line="241" w:lineRule="auto"/>
        <w:tabs>
          <w:tab w:leader="none" w:pos="986"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Eligible Incentive Compensation</w:t>
      </w:r>
      <w:r>
        <w:rPr>
          <w:rFonts w:ascii="Arial" w:cs="Arial" w:eastAsia="Arial" w:hAnsi="Arial"/>
          <w:sz w:val="18"/>
          <w:szCs w:val="18"/>
          <w:color w:val="auto"/>
        </w:rPr>
        <w:t>” means all Incentive-based Compensation Received by an Executive Officer (i) after beginning service as an Executive Officer, (ii) who served as an Executive Officer at any time during the applicable performance period relating to any Incentive-based Compensation (whether or not such Executive Officer is serving at the time the Erroneously Awarded Compensation is required to be repaid to the Company), (iii) while the Company has a class of securities listed on a national securities exchange or a national securities association, and (iv) during the applicable Clawback Period (as defined below).</w:t>
      </w:r>
    </w:p>
    <w:p>
      <w:pPr>
        <w:spacing w:after="0" w:line="182" w:lineRule="exact"/>
        <w:rPr>
          <w:rFonts w:ascii="Arial" w:cs="Arial" w:eastAsia="Arial" w:hAnsi="Arial"/>
          <w:sz w:val="18"/>
          <w:szCs w:val="18"/>
          <w:color w:val="auto"/>
        </w:rPr>
      </w:pPr>
    </w:p>
    <w:p>
      <w:pPr>
        <w:jc w:val="both"/>
        <w:ind w:right="500" w:firstLine="716"/>
        <w:spacing w:after="0" w:line="252" w:lineRule="auto"/>
        <w:tabs>
          <w:tab w:leader="none" w:pos="986"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Period</w:t>
      </w:r>
      <w:r>
        <w:rPr>
          <w:rFonts w:ascii="Arial" w:cs="Arial" w:eastAsia="Arial" w:hAnsi="Arial"/>
          <w:sz w:val="18"/>
          <w:szCs w:val="18"/>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157" w:lineRule="exact"/>
        <w:rPr>
          <w:rFonts w:ascii="Arial" w:cs="Arial" w:eastAsia="Arial" w:hAnsi="Arial"/>
          <w:sz w:val="18"/>
          <w:szCs w:val="18"/>
          <w:color w:val="auto"/>
        </w:rPr>
      </w:pPr>
    </w:p>
    <w:p>
      <w:pPr>
        <w:jc w:val="both"/>
        <w:ind w:right="500" w:firstLine="716"/>
        <w:spacing w:after="0" w:line="246" w:lineRule="auto"/>
        <w:tabs>
          <w:tab w:leader="none" w:pos="986"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573405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500" w:firstLine="716"/>
        <w:spacing w:after="0" w:line="241"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means the Company’s current or former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Executive Officers shall include at a minimum executive officers identified pursuant to 17 CFR 229.401(b).</w:t>
      </w:r>
    </w:p>
    <w:p>
      <w:pPr>
        <w:spacing w:after="0" w:line="182" w:lineRule="exact"/>
        <w:rPr>
          <w:rFonts w:ascii="Arial" w:cs="Arial" w:eastAsia="Arial" w:hAnsi="Arial"/>
          <w:sz w:val="18"/>
          <w:szCs w:val="18"/>
          <w:color w:val="auto"/>
        </w:rPr>
      </w:pPr>
    </w:p>
    <w:p>
      <w:pPr>
        <w:jc w:val="both"/>
        <w:ind w:right="500" w:firstLine="716"/>
        <w:spacing w:after="0" w:line="241"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Measures</w:t>
      </w:r>
      <w:r>
        <w:rPr>
          <w:rFonts w:ascii="Arial" w:cs="Arial" w:eastAsia="Arial" w:hAnsi="Arial"/>
          <w:sz w:val="18"/>
          <w:szCs w:val="18"/>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82" w:lineRule="exact"/>
        <w:rPr>
          <w:rFonts w:ascii="Arial" w:cs="Arial" w:eastAsia="Arial" w:hAnsi="Arial"/>
          <w:sz w:val="18"/>
          <w:szCs w:val="18"/>
          <w:color w:val="auto"/>
        </w:rPr>
      </w:pPr>
    </w:p>
    <w:p>
      <w:pPr>
        <w:jc w:val="both"/>
        <w:ind w:right="500" w:firstLine="716"/>
        <w:spacing w:after="0" w:line="241"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Incentive-based Compensation</w:t>
      </w:r>
      <w:r>
        <w:rPr>
          <w:rFonts w:ascii="Arial" w:cs="Arial" w:eastAsia="Arial" w:hAnsi="Arial"/>
          <w:sz w:val="18"/>
          <w:szCs w:val="18"/>
          <w:color w:val="auto"/>
        </w:rPr>
        <w:t>” means any compensation, including, but not limited to, cash, stock options, restricted stock, restricted stock units, phantom stock and other equity or equity-based awards, that is granted, earned or vested based wholly or in part upon the attainment of a Financial Reporting Measure. Equity and equity-based awards that vest exclusively upon completion of a specified employment period, without any performance condition, and bonus awards that are discretionary or based on subjective goals or goals unrelated to Financial Reporting Measures, do not constitute Incentive-based Compensation.</w:t>
      </w:r>
    </w:p>
    <w:p>
      <w:pPr>
        <w:spacing w:after="0" w:line="182" w:lineRule="exact"/>
        <w:rPr>
          <w:rFonts w:ascii="Arial" w:cs="Arial" w:eastAsia="Arial" w:hAnsi="Arial"/>
          <w:sz w:val="18"/>
          <w:szCs w:val="18"/>
          <w:color w:val="auto"/>
        </w:rPr>
      </w:pPr>
    </w:p>
    <w:p>
      <w:pPr>
        <w:ind w:left="980" w:hanging="26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LLC.</w:t>
      </w:r>
    </w:p>
    <w:p>
      <w:pPr>
        <w:spacing w:after="0" w:line="211" w:lineRule="exact"/>
        <w:rPr>
          <w:rFonts w:ascii="Arial" w:cs="Arial" w:eastAsia="Arial" w:hAnsi="Arial"/>
          <w:sz w:val="18"/>
          <w:szCs w:val="18"/>
          <w:color w:val="auto"/>
        </w:rPr>
      </w:pPr>
    </w:p>
    <w:p>
      <w:pPr>
        <w:jc w:val="both"/>
        <w:ind w:right="500" w:firstLine="716"/>
        <w:spacing w:after="0" w:line="246"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Received</w:t>
      </w:r>
      <w:r>
        <w:rPr>
          <w:rFonts w:ascii="Arial" w:cs="Arial" w:eastAsia="Arial" w:hAnsi="Arial"/>
          <w:sz w:val="18"/>
          <w:szCs w:val="18"/>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176" w:lineRule="exact"/>
        <w:rPr>
          <w:sz w:val="20"/>
          <w:szCs w:val="20"/>
          <w:color w:val="auto"/>
        </w:rPr>
      </w:pPr>
    </w:p>
    <w:p>
      <w:pPr>
        <w:jc w:val="both"/>
        <w:ind w:right="500" w:firstLine="714"/>
        <w:spacing w:after="0" w:line="246" w:lineRule="auto"/>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i w:val="1"/>
          <w:iCs w:val="1"/>
          <w:color w:val="auto"/>
        </w:rPr>
        <w:t>Restatement Date</w:t>
      </w:r>
      <w:r>
        <w:rPr>
          <w:rFonts w:ascii="Arial" w:cs="Arial" w:eastAsia="Arial" w:hAnsi="Arial"/>
          <w:sz w:val="18"/>
          <w:szCs w:val="18"/>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852805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Exhibit A</w:t>
      </w:r>
    </w:p>
    <w:p>
      <w:pPr>
        <w:spacing w:after="0" w:line="28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Drilling Tools International Corp.</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ATTESTATION AND ACKNOWLEDGEMENT OF POLICY FOR</w:t>
      </w:r>
    </w:p>
    <w:p>
      <w:pPr>
        <w:ind w:left="2700"/>
        <w:spacing w:after="0"/>
        <w:rPr>
          <w:sz w:val="20"/>
          <w:szCs w:val="20"/>
          <w:color w:val="auto"/>
        </w:rPr>
      </w:pPr>
      <w:r>
        <w:rPr>
          <w:rFonts w:ascii="Arial" w:cs="Arial" w:eastAsia="Arial" w:hAnsi="Arial"/>
          <w:sz w:val="18"/>
          <w:szCs w:val="18"/>
          <w:b w:val="1"/>
          <w:bCs w:val="1"/>
          <w:color w:val="auto"/>
        </w:rPr>
        <w:t>THE RECOVERY OF ERRONEOUSLY AWARDED COMPENSATION</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By signing this Attestation and Acknowledgement Form below, the undersigned (the “</w:t>
      </w:r>
      <w:r>
        <w:rPr>
          <w:rFonts w:ascii="Arial" w:cs="Arial" w:eastAsia="Arial" w:hAnsi="Arial"/>
          <w:sz w:val="18"/>
          <w:szCs w:val="18"/>
          <w:u w:val="single" w:color="auto"/>
          <w:color w:val="auto"/>
        </w:rPr>
        <w:t>Executive Officer</w:t>
      </w:r>
      <w:r>
        <w:rPr>
          <w:rFonts w:ascii="Arial" w:cs="Arial" w:eastAsia="Arial" w:hAnsi="Arial"/>
          <w:sz w:val="18"/>
          <w:szCs w:val="18"/>
          <w:color w:val="auto"/>
        </w:rPr>
        <w:t>”) acknowledges and confirms that the Executive Officer has received and reviewed a copy of the Policy for the Recovery of Erroneously Award Compensation (the “</w:t>
      </w:r>
      <w:r>
        <w:rPr>
          <w:rFonts w:ascii="Arial" w:cs="Arial" w:eastAsia="Arial" w:hAnsi="Arial"/>
          <w:sz w:val="18"/>
          <w:szCs w:val="18"/>
          <w:u w:val="single" w:color="auto"/>
          <w:color w:val="auto"/>
        </w:rPr>
        <w:t>Policy</w:t>
      </w:r>
      <w:r>
        <w:rPr>
          <w:rFonts w:ascii="Arial" w:cs="Arial" w:eastAsia="Arial" w:hAnsi="Arial"/>
          <w:sz w:val="18"/>
          <w:szCs w:val="18"/>
          <w:color w:val="auto"/>
        </w:rPr>
        <w:t>”) of Drilling Tools International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consideration of the Executive Officer’s eligibility to receive future Incentive-based Compensation (as defined in the Policy) and to participate in Incentive-based Compensation plans, as well as other good and valuable consideration, the receipt and sufficiency of which are acknowledged by the Executive Officer signing this Attestation and Acknowledgement Form below, the Executive Officer acknowledges and agrees that:</w:t>
      </w:r>
    </w:p>
    <w:p>
      <w:pPr>
        <w:spacing w:after="0" w:line="295" w:lineRule="exact"/>
        <w:rPr>
          <w:sz w:val="20"/>
          <w:szCs w:val="20"/>
          <w:color w:val="auto"/>
        </w:rPr>
      </w:pPr>
    </w:p>
    <w:p>
      <w:pPr>
        <w:ind w:left="820" w:hanging="378"/>
        <w:spacing w:after="0"/>
        <w:tabs>
          <w:tab w:leader="none" w:pos="8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20"/>
          <w:szCs w:val="20"/>
          <w:color w:val="auto"/>
        </w:rPr>
        <w:t>the Executive Officer is and will continue to be fully bound by, and subject to, the Policy;</w:t>
      </w:r>
    </w:p>
    <w:p>
      <w:pPr>
        <w:spacing w:after="0" w:line="147" w:lineRule="exact"/>
        <w:rPr>
          <w:rFonts w:ascii="Times New Roman" w:cs="Times New Roman" w:eastAsia="Times New Roman" w:hAnsi="Times New Roman"/>
          <w:sz w:val="18"/>
          <w:szCs w:val="18"/>
          <w:color w:val="auto"/>
        </w:rPr>
      </w:pPr>
    </w:p>
    <w:p>
      <w:pPr>
        <w:ind w:left="820" w:right="240" w:hanging="378"/>
        <w:spacing w:after="0" w:line="265" w:lineRule="auto"/>
        <w:tabs>
          <w:tab w:leader="none" w:pos="8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9"/>
          <w:szCs w:val="19"/>
          <w:color w:val="auto"/>
        </w:rPr>
        <w:t xml:space="preserve">in the event of any inconsistency between the Policy and the terms of any employment or separation agreement to which the Executive Officer is a party, or the terms of any compensation plan, program or arrangement under which any Incentive-based Compensation is granted, awarded, earned or paid, </w:t>
      </w:r>
      <w:r>
        <w:rPr>
          <w:rFonts w:ascii="Arial" w:cs="Arial" w:eastAsia="Arial" w:hAnsi="Arial"/>
          <w:sz w:val="19"/>
          <w:szCs w:val="19"/>
          <w:b w:val="1"/>
          <w:bCs w:val="1"/>
          <w:color w:val="auto"/>
        </w:rPr>
        <w:t>the terms of the Policy shall govern</w:t>
      </w:r>
      <w:r>
        <w:rPr>
          <w:rFonts w:ascii="Arial" w:cs="Arial" w:eastAsia="Arial" w:hAnsi="Arial"/>
          <w:sz w:val="19"/>
          <w:szCs w:val="19"/>
          <w:color w:val="auto"/>
        </w:rPr>
        <w:t>;</w:t>
      </w:r>
    </w:p>
    <w:p>
      <w:pPr>
        <w:spacing w:after="0" w:line="56" w:lineRule="exact"/>
        <w:rPr>
          <w:rFonts w:ascii="Times New Roman" w:cs="Times New Roman" w:eastAsia="Times New Roman" w:hAnsi="Times New Roman"/>
          <w:sz w:val="17"/>
          <w:szCs w:val="17"/>
          <w:color w:val="auto"/>
        </w:rPr>
      </w:pPr>
    </w:p>
    <w:p>
      <w:pPr>
        <w:ind w:left="820" w:hanging="378"/>
        <w:spacing w:after="0"/>
        <w:tabs>
          <w:tab w:leader="none" w:pos="8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Policy will apply </w:t>
      </w:r>
      <w:r>
        <w:rPr>
          <w:rFonts w:ascii="Arial" w:cs="Arial" w:eastAsia="Arial" w:hAnsi="Arial"/>
          <w:sz w:val="20"/>
          <w:szCs w:val="20"/>
          <w:b w:val="1"/>
          <w:bCs w:val="1"/>
          <w:color w:val="auto"/>
        </w:rPr>
        <w:t>both during and after the Executive Officer’s employment with the Company</w:t>
      </w:r>
      <w:r>
        <w:rPr>
          <w:rFonts w:ascii="Arial" w:cs="Arial" w:eastAsia="Arial" w:hAnsi="Arial"/>
          <w:sz w:val="20"/>
          <w:szCs w:val="20"/>
          <w:color w:val="auto"/>
        </w:rPr>
        <w:t>;</w:t>
      </w:r>
    </w:p>
    <w:p>
      <w:pPr>
        <w:spacing w:after="0" w:line="147" w:lineRule="exact"/>
        <w:rPr>
          <w:rFonts w:ascii="Times New Roman" w:cs="Times New Roman" w:eastAsia="Times New Roman" w:hAnsi="Times New Roman"/>
          <w:sz w:val="18"/>
          <w:szCs w:val="18"/>
          <w:color w:val="auto"/>
        </w:rPr>
      </w:pPr>
    </w:p>
    <w:p>
      <w:pPr>
        <w:ind w:left="820" w:hanging="378"/>
        <w:spacing w:after="0"/>
        <w:tabs>
          <w:tab w:leader="none" w:pos="8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Policy will apply </w:t>
      </w:r>
      <w:r>
        <w:rPr>
          <w:rFonts w:ascii="Arial" w:cs="Arial" w:eastAsia="Arial" w:hAnsi="Arial"/>
          <w:sz w:val="20"/>
          <w:szCs w:val="20"/>
          <w:b w:val="1"/>
          <w:bCs w:val="1"/>
          <w:color w:val="auto"/>
        </w:rPr>
        <w:t>to past and future Incentive-based Compensation as provided in the Policy</w:t>
      </w:r>
      <w:r>
        <w:rPr>
          <w:rFonts w:ascii="Arial" w:cs="Arial" w:eastAsia="Arial" w:hAnsi="Arial"/>
          <w:sz w:val="20"/>
          <w:szCs w:val="20"/>
          <w:color w:val="auto"/>
        </w:rPr>
        <w:t>; and</w:t>
      </w:r>
    </w:p>
    <w:p>
      <w:pPr>
        <w:spacing w:after="0" w:line="379" w:lineRule="exact"/>
        <w:rPr>
          <w:sz w:val="20"/>
          <w:szCs w:val="20"/>
          <w:color w:val="auto"/>
        </w:rPr>
      </w:pPr>
    </w:p>
    <w:p>
      <w:pPr>
        <w:jc w:val="both"/>
        <w:ind w:left="820" w:right="120"/>
        <w:spacing w:after="0" w:line="241" w:lineRule="auto"/>
        <w:rPr>
          <w:sz w:val="20"/>
          <w:szCs w:val="20"/>
          <w:color w:val="auto"/>
        </w:rPr>
      </w:pPr>
      <w:r>
        <w:rPr>
          <w:rFonts w:ascii="Arial" w:cs="Arial" w:eastAsia="Arial" w:hAnsi="Arial"/>
          <w:sz w:val="20"/>
          <w:szCs w:val="20"/>
          <w:color w:val="auto"/>
        </w:rPr>
        <w:t>the Executive Officer is required to comply with the terms and conditions of the Policy, including, without limitation, the requirement to return any Erroneously Awarded Compensation (as defined in the Policy) to the Company to the extent required by, and in a manner consistent with, the Policy</w:t>
      </w:r>
    </w:p>
    <w:p>
      <w:pPr>
        <w:spacing w:after="0" w:line="1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-7620</wp:posOffset>
            </wp:positionV>
            <wp:extent cx="2406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19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2851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285115" cy="8255"/>
                    </a:xfrm>
                    <a:prstGeom prst="rect">
                      <a:avLst/>
                    </a:prstGeom>
                    <a:noFill/>
                  </pic:spPr>
                </pic:pic>
              </a:graphicData>
            </a:graphic>
          </wp:anchor>
        </w:drawing>
      </w:r>
    </w:p>
    <w:p>
      <w:pPr>
        <w:spacing w:after="0" w:line="19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219075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-7620</wp:posOffset>
            </wp:positionV>
            <wp:extent cx="2343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lvl w:ilvl="1">
      <w:lvlJc w:val="left"/>
      <w:lvlText w:val="(%2)"/>
      <w:numFmt w:val="lowerLetter"/>
      <w:start w:val="1"/>
    </w:lvl>
  </w:abstractNum>
  <w:abstractNum w:abstractNumId="39">
    <w:nsid w:val="684A481A"/>
    <w:multiLevelType w:val="hybridMultilevel"/>
    <w:lvl w:ilvl="0">
      <w:lvlJc w:val="left"/>
      <w:lvlText w:val="(%1)"/>
      <w:numFmt w:val="decimal"/>
      <w:start w:val="1"/>
    </w:lvl>
    <w:lvl w:ilvl="1">
      <w:lvlJc w:val="left"/>
      <w:lvlText w:val="(%2)"/>
      <w:numFmt w:val="lowerLetter"/>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upperLetter"/>
      <w:start w:val="1"/>
    </w:lvl>
  </w:abstractNum>
  <w:abstractNum w:abstractNumId="43">
    <w:nsid w:val="1BA026FA"/>
    <w:multiLevelType w:val="hybridMultilevel"/>
    <w:lvl w:ilvl="0">
      <w:lvlJc w:val="left"/>
      <w:lvlText w:val="%1."/>
      <w:numFmt w:val="upperLetter"/>
      <w:start w:val="2"/>
    </w:lvl>
    <w:lvl w:ilvl="1">
      <w:lvlJc w:val="left"/>
      <w:lvlText w:val="(%2)"/>
      <w:numFmt w:val="decimal"/>
      <w:start w:val="1"/>
    </w:lvl>
  </w:abstractNum>
  <w:abstractNum w:abstractNumId="44">
    <w:nsid w:val="79A1DEAA"/>
    <w:multiLevelType w:val="hybridMultilevel"/>
    <w:lvl w:ilvl="0">
      <w:lvlJc w:val="left"/>
      <w:lvlText w:val="(%1)"/>
      <w:numFmt w:val="lowerRoman"/>
      <w:start w:val="1"/>
    </w:lvl>
  </w:abstractNum>
  <w:abstractNum w:abstractNumId="45">
    <w:nsid w:val="75C6C33A"/>
    <w:multiLevelType w:val="hybridMultilevel"/>
    <w:lvl w:ilvl="0">
      <w:lvlJc w:val="left"/>
      <w:lvlText w:val="%1"/>
      <w:numFmt w:val="lowerRoman"/>
      <w:start w:val="1"/>
    </w:lvl>
    <w:lvl w:ilvl="1">
      <w:lvlJc w:val="left"/>
      <w:lvlText w:val="(%2)"/>
      <w:numFmt w:val="lowerLetter"/>
      <w:start w:val="1"/>
    </w:lvl>
  </w:abstractNum>
  <w:abstractNum w:abstractNumId="46">
    <w:nsid w:val="12E685FB"/>
    <w:multiLevelType w:val="hybridMultilevel"/>
    <w:lvl w:ilvl="0">
      <w:lvlJc w:val="left"/>
      <w:lvlText w:val="(%1)"/>
      <w:numFmt w:val="lowerRoman"/>
      <w:start w:val="2"/>
    </w:lvl>
    <w:lvl w:ilvl="1">
      <w:lvlJc w:val="left"/>
      <w:lvlText w:val="%2"/>
      <w:numFmt w:val="lowerLetter"/>
      <w:start w:val="1"/>
    </w:lvl>
  </w:abstractNum>
  <w:abstractNum w:abstractNumId="47">
    <w:nsid w:val="70C6A529"/>
    <w:multiLevelType w:val="hybridMultilevel"/>
    <w:lvl w:ilvl="0">
      <w:lvlJc w:val="left"/>
      <w:lvlText w:val="%1"/>
      <w:numFmt w:val="decimal"/>
      <w:start w:val="1"/>
    </w:lvl>
    <w:lvl w:ilvl="1">
      <w:lvlJc w:val="left"/>
      <w:lvlText w:val="(%2)"/>
      <w:numFmt w:val="lowerRoman"/>
      <w:start w:val="4"/>
    </w:lvl>
  </w:abstractNum>
  <w:abstractNum w:abstractNumId="48">
    <w:nsid w:val="520EEDD1"/>
    <w:multiLevelType w:val="hybridMultilevel"/>
    <w:lvl w:ilvl="0">
      <w:lvlJc w:val="left"/>
      <w:lvlText w:val="(%1)"/>
      <w:numFmt w:val="decimal"/>
      <w:start w:val="2"/>
    </w:lvl>
    <w:lvl w:ilvl="1">
      <w:lvlJc w:val="left"/>
      <w:lvlText w:val="%2"/>
      <w:numFmt w:val="lowerRoman"/>
      <w:start w:val="1"/>
    </w:lvl>
  </w:abstractNum>
  <w:abstractNum w:abstractNumId="49">
    <w:nsid w:val="374A3FE6"/>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50">
    <w:nsid w:val="4F4EF005"/>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51">
    <w:nsid w:val="23F9C13C"/>
    <w:multiLevelType w:val="hybridMultilevel"/>
    <w:lvl w:ilvl="0">
      <w:lvlJc w:val="left"/>
      <w:lvlText w:val="%1."/>
      <w:numFmt w:val="upperLetter"/>
      <w:start w:val="4"/>
    </w:lvl>
  </w:abstractNum>
  <w:abstractNum w:abstractNumId="52">
    <w:nsid w:val="649BB77C"/>
    <w:multiLevelType w:val="hybridMultilevel"/>
    <w:lvl w:ilvl="0">
      <w:lvlJc w:val="left"/>
      <w:lvlText w:val="%1."/>
      <w:numFmt w:val="upperLetter"/>
      <w:start w:val="5"/>
    </w:lvl>
  </w:abstractNum>
  <w:abstractNum w:abstractNumId="53">
    <w:nsid w:val="275AC794"/>
    <w:multiLevelType w:val="hybridMultilevel"/>
    <w:lvl w:ilvl="0">
      <w:lvlJc w:val="left"/>
      <w:lvlText w:val="%1."/>
      <w:numFmt w:val="upperLetter"/>
      <w:start w:val="6"/>
    </w:lvl>
  </w:abstractNum>
  <w:abstractNum w:abstractNumId="54">
    <w:nsid w:val="39386575"/>
    <w:multiLevelType w:val="hybridMultilevel"/>
    <w:lvl w:ilvl="0">
      <w:lvlJc w:val="left"/>
      <w:lvlText w:val="%1."/>
      <w:numFmt w:val="upperLetter"/>
      <w:start w:val="7"/>
    </w:lvl>
  </w:abstractNum>
  <w:abstractNum w:abstractNumId="55">
    <w:nsid w:val="1CF10FD8"/>
    <w:multiLevelType w:val="hybridMultilevel"/>
    <w:lvl w:ilvl="0">
      <w:lvlJc w:val="left"/>
      <w:lvlText w:val="%1."/>
      <w:numFmt w:val="upperLetter"/>
      <w:start w:val="8"/>
    </w:lvl>
    <w:lvl w:ilvl="1">
      <w:lvlJc w:val="left"/>
      <w:lvlText w:val="(%2)"/>
      <w:numFmt w:val="decimal"/>
      <w:start w:val="1"/>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39" Type="http://schemas.openxmlformats.org/officeDocument/2006/relationships/hyperlink" Target="https://www.sec.gov/Archives/edgar/data/1884516/000110465923020480/tm236420d1_ex2-1.htm" TargetMode="External"/><Relationship Id="rId340" Type="http://schemas.openxmlformats.org/officeDocument/2006/relationships/hyperlink" Target="https://www.sec.gov/Archives/edgar/data/1884516/000110465923069995/tm2317528d1_ex2-1.htm" TargetMode="External"/><Relationship Id="rId341" Type="http://schemas.openxmlformats.org/officeDocument/2006/relationships/hyperlink" Target="https://www.sec.gov/Archives/edgar/data/1884516/000119312523175331/d498600dex31.htm" TargetMode="External"/><Relationship Id="rId342" Type="http://schemas.openxmlformats.org/officeDocument/2006/relationships/hyperlink" Target="https://www.sec.gov/Archives/edgar/data/1884516/000119312523175331/d498600dex32.htm" TargetMode="External"/><Relationship Id="rId343" Type="http://schemas.openxmlformats.org/officeDocument/2006/relationships/hyperlink" Target="https://www.sec.gov/Archives/edgar/data/1884516/000119312523175331/d498600dex41.htm" TargetMode="External"/><Relationship Id="rId344" Type="http://schemas.openxmlformats.org/officeDocument/2006/relationships/hyperlink" Target="https://www.sec.gov/Archives/edgar/data/1884516/000110465923048548/tm236205d14_ex10-13.htm" TargetMode="External"/><Relationship Id="rId345" Type="http://schemas.openxmlformats.org/officeDocument/2006/relationships/hyperlink" Target="https://www.sec.gov/Archives/edgar/data/1884516/000119312523175331/d498600dex102.htm" TargetMode="External"/><Relationship Id="rId346" Type="http://schemas.openxmlformats.org/officeDocument/2006/relationships/hyperlink" Target="https://www.sec.gov/Archives/edgar/data/1884516/000119312523175331/d498600dex103.htm" TargetMode="External"/><Relationship Id="rId347" Type="http://schemas.openxmlformats.org/officeDocument/2006/relationships/hyperlink" Target="https://www.sec.gov/Archives/edgar/data/1884516/000119312523175331/d498600dex105.htm" TargetMode="External"/><Relationship Id="rId348" Type="http://schemas.openxmlformats.org/officeDocument/2006/relationships/hyperlink" Target="https://www.sec.gov/Archives/edgar/data/1884516/000110465923021677/rocau-20220930xex10d12.htm" TargetMode="External"/><Relationship Id="rId349" Type="http://schemas.openxmlformats.org/officeDocument/2006/relationships/hyperlink" Target="https://www.sec.gov/Archives/edgar/data/1884516/000119312523175331/d498600dex107.htm" TargetMode="External"/><Relationship Id="rId350" Type="http://schemas.openxmlformats.org/officeDocument/2006/relationships/hyperlink" Target="https://www.sec.gov/Archives/edgar/data/1884516/000110465923021677/rocau-20220930xex10d18.htm" TargetMode="External"/><Relationship Id="rId351" Type="http://schemas.openxmlformats.org/officeDocument/2006/relationships/hyperlink" Target="https://www.sec.gov/ix?doc=/Archives/edgar/data/0001884516/000110465923021677/rocau-20220930xs4.htm" TargetMode="External"/><Relationship Id="rId352" Type="http://schemas.openxmlformats.org/officeDocument/2006/relationships/hyperlink" Target="https://www.sec.gov/Archives/edgar/data/1884516/000119312523190490/d537847dex1013.htm" TargetMode="External"/><Relationship Id="rId355" Type="http://schemas.openxmlformats.org/officeDocument/2006/relationships/hyperlink" Target="https://www.sec.gov/Archives/edgar/data/1884516/000119312523175331/d49860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2024-03-28T11:23:59Z</dcterms:created>
  <dcterms:modified xsi:type="dcterms:W3CDTF">2024-03-28T11:23:59Z</dcterms:modified>
</cp:coreProperties>
</file>