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2" w:lineRule="exact"/>
        <w:rPr>
          <w:sz w:val="24"/>
          <w:szCs w:val="24"/>
          <w:color w:val="auto"/>
        </w:rPr>
      </w:pPr>
    </w:p>
    <w:p>
      <w:pPr>
        <w:ind w:left="4300" w:right="3440" w:hanging="4279"/>
        <w:spacing w:after="0" w:line="402" w:lineRule="auto"/>
        <w:tabs>
          <w:tab w:leader="none" w:pos="488"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 to ____</w:t>
      </w:r>
    </w:p>
    <w:p>
      <w:pPr>
        <w:ind w:left="44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290830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DRILLING TOOLS INTERNATIONAL CORPORATION</w:t>
      </w:r>
    </w:p>
    <w:p>
      <w:pPr>
        <w:sectPr>
          <w:pgSz w:w="11900" w:h="16838" w:orient="portrait"/>
          <w:cols w:equalWidth="0" w:num="1">
            <w:col w:w="11240"/>
          </w:cols>
          <w:pgMar w:left="320" w:top="1334" w:right="339" w:bottom="1440" w:gutter="0" w:footer="0" w:header="0"/>
        </w:sectPr>
      </w:pPr>
    </w:p>
    <w:p>
      <w:pPr>
        <w:spacing w:after="0" w:line="3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81915</wp:posOffset>
            </wp:positionV>
            <wp:extent cx="2048510" cy="1054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1054100"/>
                    </a:xfrm>
                    <a:prstGeom prst="rect">
                      <a:avLst/>
                    </a:prstGeom>
                    <a:noFill/>
                  </pic:spPr>
                </pic:pic>
              </a:graphicData>
            </a:graphic>
          </wp:anchor>
        </w:drawing>
      </w:r>
    </w:p>
    <w:p>
      <w:pPr>
        <w:spacing w:after="0" w:line="233" w:lineRule="exact"/>
        <w:rPr>
          <w:sz w:val="24"/>
          <w:szCs w:val="24"/>
          <w:color w:val="auto"/>
        </w:rPr>
      </w:pPr>
    </w:p>
    <w:p>
      <w:pPr>
        <w:jc w:val="center"/>
        <w:ind w:right="43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23"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99" w:lineRule="exact"/>
        <w:rPr>
          <w:sz w:val="24"/>
          <w:szCs w:val="24"/>
          <w:color w:val="auto"/>
        </w:rPr>
      </w:pPr>
    </w:p>
    <w:p>
      <w:pPr>
        <w:jc w:val="center"/>
        <w:ind w:right="4340"/>
        <w:spacing w:after="0"/>
        <w:rPr>
          <w:sz w:val="20"/>
          <w:szCs w:val="20"/>
          <w:color w:val="auto"/>
        </w:rPr>
      </w:pPr>
      <w:r>
        <w:rPr>
          <w:rFonts w:ascii="Times New Roman" w:cs="Times New Roman" w:eastAsia="Times New Roman" w:hAnsi="Times New Roman"/>
          <w:sz w:val="14"/>
          <w:szCs w:val="14"/>
          <w:b w:val="1"/>
          <w:bCs w:val="1"/>
          <w:color w:val="auto"/>
        </w:rPr>
        <w:t>10370 Richmond Ave.</w:t>
      </w:r>
    </w:p>
    <w:p>
      <w:pPr>
        <w:spacing w:after="0" w:line="19" w:lineRule="exact"/>
        <w:rPr>
          <w:sz w:val="24"/>
          <w:szCs w:val="24"/>
          <w:color w:val="auto"/>
        </w:rPr>
      </w:pPr>
    </w:p>
    <w:p>
      <w:pPr>
        <w:jc w:val="center"/>
        <w:ind w:right="4340"/>
        <w:spacing w:after="0"/>
        <w:rPr>
          <w:sz w:val="20"/>
          <w:szCs w:val="20"/>
          <w:color w:val="auto"/>
        </w:rPr>
      </w:pPr>
      <w:r>
        <w:rPr>
          <w:rFonts w:ascii="Times New Roman" w:cs="Times New Roman" w:eastAsia="Times New Roman" w:hAnsi="Times New Roman"/>
          <w:sz w:val="14"/>
          <w:szCs w:val="14"/>
          <w:b w:val="1"/>
          <w:bCs w:val="1"/>
          <w:color w:val="auto"/>
        </w:rPr>
        <w:t>#1000</w:t>
      </w:r>
    </w:p>
    <w:p>
      <w:pPr>
        <w:spacing w:after="0" w:line="1" w:lineRule="exact"/>
        <w:rPr>
          <w:sz w:val="24"/>
          <w:szCs w:val="24"/>
          <w:color w:val="auto"/>
        </w:rPr>
      </w:pPr>
    </w:p>
    <w:p>
      <w:pPr>
        <w:jc w:val="center"/>
        <w:ind w:right="4340"/>
        <w:spacing w:after="0"/>
        <w:rPr>
          <w:sz w:val="20"/>
          <w:szCs w:val="20"/>
          <w:color w:val="auto"/>
        </w:rPr>
      </w:pPr>
      <w:r>
        <w:rPr>
          <w:rFonts w:ascii="Times New Roman" w:cs="Times New Roman" w:eastAsia="Times New Roman" w:hAnsi="Times New Roman"/>
          <w:sz w:val="14"/>
          <w:szCs w:val="14"/>
          <w:b w:val="1"/>
          <w:bCs w:val="1"/>
          <w:color w:val="auto"/>
        </w:rPr>
        <w:t>Houston, Texas</w:t>
      </w:r>
    </w:p>
    <w:p>
      <w:pPr>
        <w:spacing w:after="0" w:line="5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55" w:lineRule="exact"/>
        <w:rPr>
          <w:sz w:val="24"/>
          <w:szCs w:val="24"/>
          <w:color w:val="auto"/>
        </w:rPr>
      </w:pPr>
    </w:p>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87-2488708</w:t>
      </w:r>
    </w:p>
    <w:p>
      <w:pPr>
        <w:spacing w:after="0" w:line="13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32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77042</w:t>
      </w:r>
    </w:p>
    <w:p>
      <w:pPr>
        <w:spacing w:after="0" w:line="55"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415" w:lineRule="exact"/>
        <w:rPr>
          <w:sz w:val="24"/>
          <w:szCs w:val="24"/>
          <w:color w:val="auto"/>
        </w:rPr>
      </w:pPr>
    </w:p>
    <w:p>
      <w:pPr>
        <w:sectPr>
          <w:pgSz w:w="11900" w:h="16838" w:orient="portrait"/>
          <w:cols w:equalWidth="0" w:num="2">
            <w:col w:w="8080" w:space="720"/>
            <w:col w:w="2440"/>
          </w:cols>
          <w:pgMar w:left="320" w:top="1334" w:right="339" w:bottom="144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2"/>
                <w:szCs w:val="22"/>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DTI</w:t>
            </w:r>
          </w:p>
        </w:tc>
        <w:tc>
          <w:tcPr>
            <w:tcW w:w="12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34" w:right="339" w:bottom="1440" w:gutter="0" w:footer="0" w:header="0"/>
          <w:type w:val="continuous"/>
        </w:sectPr>
      </w:pPr>
    </w:p>
    <w:p>
      <w:pPr>
        <w:spacing w:after="0" w:line="78" w:lineRule="exact"/>
        <w:rPr>
          <w:sz w:val="24"/>
          <w:szCs w:val="24"/>
          <w:color w:val="auto"/>
        </w:rPr>
      </w:pPr>
    </w:p>
    <w:tbl>
      <w:tblPr>
        <w:tblLayout w:type="fixed"/>
        <w:tblInd w:w="780" w:type="dxa"/>
        <w:tblCellMar>
          <w:top w:w="0" w:type="dxa"/>
          <w:left w:w="0" w:type="dxa"/>
          <w:bottom w:w="0" w:type="dxa"/>
          <w:right w:w="0" w:type="dxa"/>
        </w:tblCellMar>
      </w:tblPr>
      <w:tr>
        <w:trPr>
          <w:trHeight w:val="242"/>
        </w:trPr>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338"/>
        </w:trPr>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324"/>
        </w:trPr>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Emerging growth company</w:t>
            </w:r>
          </w:p>
        </w:tc>
        <w:tc>
          <w:tcPr>
            <w:tcW w:w="35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spacing w:after="0"/>
              <w:rPr>
                <w:sz w:val="24"/>
                <w:szCs w:val="24"/>
                <w:color w:val="auto"/>
              </w:rPr>
            </w:pPr>
          </w:p>
        </w:tc>
      </w:tr>
    </w:tbl>
    <w:p>
      <w:pPr>
        <w:spacing w:after="0" w:line="100"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22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4, 2026, the registrant had 35,282,224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900" w:space="120"/>
            <w:col w:w="22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8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60" w:type="dxa"/>
            <w:vAlign w:val="bottom"/>
            <w:gridSpan w:val="12"/>
          </w:tcPr>
          <w:p>
            <w:pPr>
              <w:jc w:val="center"/>
              <w:ind w:right="2960"/>
              <w:spacing w:after="0" w:line="196" w:lineRule="exact"/>
              <w:rPr>
                <w:sz w:val="20"/>
                <w:szCs w:val="20"/>
                <w:color w:val="auto"/>
              </w:rPr>
            </w:pPr>
            <w:r>
              <w:rPr>
                <w:rFonts w:ascii="Times New Roman" w:cs="Times New Roman" w:eastAsia="Times New Roman" w:hAnsi="Times New Roman"/>
                <w:sz w:val="18"/>
                <w:szCs w:val="18"/>
                <w:color w:val="auto"/>
              </w:rPr>
              <w:t xml:space="preserve">PART I. - </w:t>
            </w: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6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60" w:type="dxa"/>
            <w:vAlign w:val="bottom"/>
            <w:tcBorders>
              <w:left w:val="single" w:sz="8" w:color="0000FF"/>
            </w:tcBorders>
            <w:gridSpan w:val="4"/>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60" w:type="dxa"/>
            <w:vAlign w:val="bottom"/>
            <w:gridSpan w:val="12"/>
          </w:tcPr>
          <w:p>
            <w:pPr>
              <w:jc w:val="center"/>
              <w:ind w:right="2960"/>
              <w:spacing w:after="0" w:line="196" w:lineRule="exact"/>
              <w:rPr>
                <w:sz w:val="20"/>
                <w:szCs w:val="20"/>
                <w:color w:val="auto"/>
              </w:rPr>
            </w:pPr>
            <w:r>
              <w:rPr>
                <w:rFonts w:ascii="Times New Roman" w:cs="Times New Roman" w:eastAsia="Times New Roman" w:hAnsi="Times New Roman"/>
                <w:sz w:val="18"/>
                <w:szCs w:val="18"/>
                <w:color w:val="auto"/>
                <w:w w:val="99"/>
              </w:rPr>
              <w:t xml:space="preserve">PART II. - </w:t>
            </w:r>
            <w:r>
              <w:rPr>
                <w:rFonts w:ascii="Times New Roman" w:cs="Times New Roman" w:eastAsia="Times New Roman" w:hAnsi="Times New Roman"/>
                <w:sz w:val="18"/>
                <w:szCs w:val="18"/>
                <w:color w:val="0000FF"/>
                <w:w w:val="99"/>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860" w:type="dxa"/>
            <w:vAlign w:val="bottom"/>
            <w:tcBorders>
              <w:top w:val="single" w:sz="8" w:color="0000FF"/>
            </w:tcBorders>
            <w:gridSpan w:val="6"/>
          </w:tcPr>
          <w:p>
            <w:pPr>
              <w:spacing w:after="0"/>
              <w:rPr>
                <w:sz w:val="17"/>
                <w:szCs w:val="17"/>
                <w:color w:val="auto"/>
              </w:rPr>
            </w:pPr>
          </w:p>
        </w:tc>
        <w:tc>
          <w:tcPr>
            <w:tcW w:w="33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243"/>
        </w:trPr>
        <w:tc>
          <w:tcPr>
            <w:tcW w:w="7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within the meaning of Section 27A of the Securities Act of 1933, as amended (the “Securities Act”), and Section 21E of the Securities Exchange Act of 1934, as amended (the “Exchange Act”), and are intended to be covered by the safe harbor provisions of the Private Securities Litigation Reform Act of 1995. These forward-looking statements include, but are not limited to, statements regarding our and our management team’s expectations, hopes, beliefs, intentions or strategies regarding the future, including with respect to the Saltire Acquisition and the related financing.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Report may include, for example, statements about:</w:t>
      </w:r>
    </w:p>
    <w:p>
      <w:pPr>
        <w:spacing w:after="0" w:line="200" w:lineRule="exact"/>
        <w:rPr>
          <w:sz w:val="20"/>
          <w:szCs w:val="20"/>
          <w:color w:val="auto"/>
        </w:rPr>
      </w:pPr>
    </w:p>
    <w:p>
      <w:pPr>
        <w:spacing w:after="0" w:line="312" w:lineRule="exact"/>
        <w:rPr>
          <w:sz w:val="20"/>
          <w:szCs w:val="20"/>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of activity in the oil and gas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7" w:lineRule="exact"/>
        <w:rPr>
          <w:rFonts w:ascii="Times New Roman" w:cs="Times New Roman" w:eastAsia="Times New Roman" w:hAnsi="Times New Roman"/>
          <w:sz w:val="18"/>
          <w:szCs w:val="18"/>
          <w:color w:val="auto"/>
        </w:rPr>
      </w:pPr>
    </w:p>
    <w:p>
      <w:pPr>
        <w:ind w:left="660" w:right="18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oil and natural gas prices, including as a result of actions by OPEC+ and other producers, and the resulting effect on drilling activity and rig counts in the markets we serve;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117"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public health crisis, including pandemics and epidemics;</w:t>
      </w:r>
    </w:p>
    <w:p>
      <w:pPr>
        <w:spacing w:after="0" w:line="117" w:lineRule="exact"/>
        <w:rPr>
          <w:rFonts w:ascii="Times New Roman" w:cs="Times New Roman" w:eastAsia="Times New Roman" w:hAnsi="Times New Roman"/>
          <w:sz w:val="18"/>
          <w:szCs w:val="18"/>
          <w:color w:val="auto"/>
        </w:rPr>
      </w:pPr>
    </w:p>
    <w:p>
      <w:pPr>
        <w:ind w:left="660" w:right="2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conflicts, including in Ukraine and the Middle East, on the global economy, energy markets and our international operations;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7" w:lineRule="exact"/>
        <w:rPr>
          <w:rFonts w:ascii="Times New Roman" w:cs="Times New Roman" w:eastAsia="Times New Roman" w:hAnsi="Times New Roman"/>
          <w:sz w:val="18"/>
          <w:szCs w:val="18"/>
          <w:color w:val="auto"/>
        </w:rPr>
      </w:pPr>
    </w:p>
    <w:p>
      <w:pPr>
        <w:jc w:val="both"/>
        <w:ind w:left="660" w:hanging="143"/>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Second Amended and Restated Revolving Credit, Term Loan and Security and Guaranty Agreement among Drilling Tools International, Inc., certain of its subsidiaries, Drilling Tools International Corporation and PNC Bank, National Association, dated as of March 15, 2024 (the “Credit Facility Agreement”);</w:t>
      </w:r>
    </w:p>
    <w:p>
      <w:pPr>
        <w:spacing w:after="0" w:line="6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117"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3" w:lineRule="exact"/>
        <w:rPr>
          <w:rFonts w:ascii="Times New Roman" w:cs="Times New Roman" w:eastAsia="Times New Roman" w:hAnsi="Times New Roman"/>
          <w:sz w:val="18"/>
          <w:szCs w:val="18"/>
          <w:color w:val="auto"/>
        </w:rPr>
      </w:pPr>
    </w:p>
    <w:p>
      <w:pPr>
        <w:ind w:left="660" w:right="2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53"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17"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our Common Stock or other equity securities;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Nasdaq;</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our Common Stock;</w:t>
      </w:r>
    </w:p>
    <w:p>
      <w:pPr>
        <w:spacing w:after="0" w:line="117" w:lineRule="exact"/>
        <w:rPr>
          <w:rFonts w:ascii="Times New Roman" w:cs="Times New Roman" w:eastAsia="Times New Roman" w:hAnsi="Times New Roman"/>
          <w:sz w:val="18"/>
          <w:szCs w:val="18"/>
          <w:color w:val="auto"/>
        </w:rPr>
      </w:pPr>
    </w:p>
    <w:p>
      <w:pPr>
        <w:jc w:val="both"/>
        <w:ind w:left="143" w:hanging="143"/>
        <w:spacing w:after="0" w:line="261"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pending acquisition of Saltire Energy Limited (“Saltire”) and Foxley Energy Limited (“Foxley” and together with Saltire, the “Group”) (the “Saltire Acquisition”) on the anticipated terms and timeline, or at all, including the satisfaction of closing conditions such as the effectiveness of our registration statement on Form S-4, approval by our stockholders of the share issuance and the Section 204 ratification, Nasdaq approval of the listing of the shares of Common Stock to be issued at closing, and our ability to obtain the required financing;</w:t>
      </w:r>
    </w:p>
    <w:p>
      <w:pPr>
        <w:spacing w:after="0" w:line="71" w:lineRule="exact"/>
        <w:rPr>
          <w:rFonts w:ascii="Times New Roman" w:cs="Times New Roman" w:eastAsia="Times New Roman" w:hAnsi="Times New Roman"/>
          <w:sz w:val="18"/>
          <w:szCs w:val="18"/>
          <w:color w:val="auto"/>
        </w:rPr>
      </w:pPr>
    </w:p>
    <w:p>
      <w:pPr>
        <w:jc w:val="both"/>
        <w:ind w:left="143" w:hanging="143"/>
        <w:spacing w:after="0" w:line="266"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Group and realize the anticipated benefits of the Saltire Acquisition, our increased indebtedness following the Saltire Acquisition, the dilutive effect of the issuance of 17,355,139 shares of our Common Stock to the Sellers (as defined in Note 20 – Subsequent Events) and fluctuations in the exchange rate between the U.S. dollar and the British pound sterling;</w:t>
      </w:r>
    </w:p>
    <w:p>
      <w:pPr>
        <w:spacing w:after="0" w:line="67" w:lineRule="exact"/>
        <w:rPr>
          <w:rFonts w:ascii="Times New Roman" w:cs="Times New Roman" w:eastAsia="Times New Roman" w:hAnsi="Times New Roman"/>
          <w:sz w:val="18"/>
          <w:szCs w:val="18"/>
          <w:color w:val="auto"/>
        </w:rPr>
      </w:pPr>
    </w:p>
    <w:p>
      <w:pPr>
        <w:ind w:left="143"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proposed ratification under Section 204, or validation under Section 205, of the General Corporation Law of the State of Delaware (the “DGCL”) of certain prior director elections and related corporate acts; and</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37,683</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222,050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222,181</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shares authorized 125,000,000; issued 36,057,592 and 35,661,297,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 outstanding 35,282,224 and 35,156,128, respectively</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Treasury stock at cost, 775,368 and 505,169 shares, respectively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130,801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(7,343)</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Drilling Tools International shareholders'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100" w:type="dxa"/>
            <w:vAlign w:val="bottom"/>
          </w:tcPr>
          <w:p>
            <w:pPr>
              <w:spacing w:after="0"/>
              <w:rPr>
                <w:sz w:val="18"/>
                <w:szCs w:val="18"/>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222,181</w:t>
            </w:r>
          </w:p>
        </w:tc>
        <w:tc>
          <w:tcPr>
            <w:tcW w:w="100" w:type="dxa"/>
            <w:vAlign w:val="bottom"/>
            <w:shd w:val="clear" w:color="auto" w:fill="CFF0FC"/>
          </w:tcPr>
          <w:p>
            <w:pPr>
              <w:spacing w:after="0"/>
              <w:rPr>
                <w:sz w:val="19"/>
                <w:szCs w:val="19"/>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-4628515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-3522345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-591185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9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Tool rental</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31,859</w:t>
            </w:r>
          </w:p>
        </w:tc>
        <w:tc>
          <w:tcPr>
            <w:tcW w:w="16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asset disposal</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(7,082)</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(5,962)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attributable to Drilling Tools International</w:t>
            </w:r>
          </w:p>
        </w:tc>
        <w:tc>
          <w:tcPr>
            <w:tcW w:w="26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(2,637)</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(5,965)</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r>
        <w:trPr>
          <w:trHeight w:val="218"/>
        </w:trPr>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26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8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560" w:type="dxa"/>
            <w:vAlign w:val="bottom"/>
            <w:gridSpan w:val="2"/>
            <w:shd w:val="clear" w:color="auto" w:fill="CFF0FC"/>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80" w:type="dxa"/>
            <w:vAlign w:val="bottom"/>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6"/>
        </w:trPr>
        <w:tc>
          <w:tcPr>
            <w:tcW w:w="50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35,282,224</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35,386,122</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35,200,688</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35,516,692</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35,282,224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35,386,122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35,200,688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35,516,692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(5,962)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(2,613)</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(6,566)</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Drilling Tools</w:t>
            </w:r>
          </w:p>
        </w:tc>
        <w:tc>
          <w:tcPr>
            <w:tcW w:w="26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38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(6,569)</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18"/>
        </w:trPr>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International shareholders</w:t>
            </w:r>
          </w:p>
        </w:tc>
        <w:tc>
          <w:tcPr>
            <w:tcW w:w="26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-4088130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-4088130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-4088130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-4088130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-2708275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-2708275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-2708275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-2708275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-1739265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-1722120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-1739265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-1722120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-1739265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-1722120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-1413510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-1396365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-1413510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-1396365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-1413510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-1396365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-1113790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-1113790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-1113790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left="340" w:right="1740"/>
        <w:spacing w:after="0" w:line="27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CONDENSED CONSOLIDATED STATEMENTS OF CHANGES IN SHAREHOLDERS’ EQUITY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3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4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80" w:type="dxa"/>
            <w:vAlign w:val="bottom"/>
          </w:tcPr>
          <w:p>
            <w:pPr>
              <w:spacing w:after="0"/>
              <w:rPr>
                <w:sz w:val="12"/>
                <w:szCs w:val="12"/>
                <w:color w:val="auto"/>
              </w:rPr>
            </w:pP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Drilling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Tools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nal</w:t>
            </w:r>
          </w:p>
        </w:tc>
        <w:tc>
          <w:tcPr>
            <w:tcW w:w="1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hensive</w:t>
            </w:r>
          </w:p>
        </w:tc>
        <w:tc>
          <w:tcPr>
            <w:tcW w:w="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except share and per share</w:t>
            </w:r>
          </w:p>
        </w:tc>
        <w:tc>
          <w:tcPr>
            <w:tcW w:w="7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3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620" w:type="dxa"/>
            <w:vAlign w:val="bottom"/>
            <w:gridSpan w:val="3"/>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Amo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72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ated</w:t>
            </w:r>
          </w:p>
        </w:tc>
        <w:tc>
          <w:tcPr>
            <w:tcW w:w="72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3"/>
                <w:szCs w:val="13"/>
                <w:color w:val="auto"/>
              </w:rPr>
            </w:pPr>
          </w:p>
        </w:tc>
        <w:tc>
          <w:tcPr>
            <w:tcW w:w="580" w:type="dxa"/>
            <w:vAlign w:val="bottom"/>
            <w:gridSpan w:val="3"/>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data)</w:t>
            </w: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4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8"/>
              </w:rPr>
              <w:t>unt</w:t>
            </w: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34,704,69</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125,4</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(3,582)</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(1,877)</w:t>
            </w:r>
          </w:p>
        </w:tc>
        <w:tc>
          <w:tcPr>
            <w:tcW w:w="2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119,959</w:t>
            </w:r>
          </w:p>
        </w:tc>
        <w:tc>
          <w:tcPr>
            <w:tcW w:w="12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4"/>
                <w:szCs w:val="14"/>
                <w:color w:val="auto"/>
              </w:rPr>
            </w:pPr>
          </w:p>
        </w:tc>
        <w:tc>
          <w:tcPr>
            <w:tcW w:w="160" w:type="dxa"/>
            <w:vAlign w:val="bottom"/>
            <w:tcBorders>
              <w:right w:val="single" w:sz="8" w:color="CFF0FC"/>
            </w:tcBorders>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80" w:type="dxa"/>
            <w:vAlign w:val="bottom"/>
            <w:gridSpan w:val="2"/>
            <w:vMerge w:val="continue"/>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888,041</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business combination</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of tax</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2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March 31, 2025</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35,592,73</w:t>
            </w:r>
          </w:p>
        </w:tc>
        <w:tc>
          <w:tcPr>
            <w:tcW w:w="24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128,8</w:t>
            </w:r>
          </w:p>
        </w:tc>
        <w:tc>
          <w:tcPr>
            <w:tcW w:w="120" w:type="dxa"/>
            <w:vAlign w:val="bottom"/>
          </w:tcPr>
          <w:p>
            <w:pPr>
              <w:spacing w:after="0"/>
              <w:rPr>
                <w:sz w:val="10"/>
                <w:szCs w:val="10"/>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(935)</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122,696</w:t>
            </w:r>
          </w:p>
        </w:tc>
        <w:tc>
          <w:tcPr>
            <w:tcW w:w="120" w:type="dxa"/>
            <w:vAlign w:val="bottom"/>
          </w:tcPr>
          <w:p>
            <w:pPr>
              <w:spacing w:after="0"/>
              <w:rPr>
                <w:sz w:val="10"/>
                <w:szCs w:val="10"/>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3"/>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Purchase of treasury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202,611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of tax</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due to vesting of restricted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68,560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(2,406)</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2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June 30, 2025</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35,661,29</w:t>
            </w:r>
          </w:p>
        </w:tc>
        <w:tc>
          <w:tcPr>
            <w:tcW w:w="24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202,611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(60</w:t>
            </w:r>
          </w:p>
        </w:tc>
        <w:tc>
          <w:tcPr>
            <w:tcW w:w="2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129,5</w:t>
            </w:r>
          </w:p>
        </w:tc>
        <w:tc>
          <w:tcPr>
            <w:tcW w:w="120" w:type="dxa"/>
            <w:vAlign w:val="bottom"/>
          </w:tcPr>
          <w:p>
            <w:pPr>
              <w:spacing w:after="0"/>
              <w:rPr>
                <w:sz w:val="10"/>
                <w:szCs w:val="10"/>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(7,656)</w:t>
            </w:r>
          </w:p>
        </w:tc>
        <w:tc>
          <w:tcPr>
            <w:tcW w:w="10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20" w:type="dxa"/>
            <w:vAlign w:val="bottom"/>
          </w:tcPr>
          <w:p>
            <w:pPr>
              <w:spacing w:after="0"/>
              <w:rPr>
                <w:sz w:val="10"/>
                <w:szCs w:val="10"/>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122,523</w:t>
            </w:r>
          </w:p>
        </w:tc>
        <w:tc>
          <w:tcPr>
            <w:tcW w:w="120" w:type="dxa"/>
            <w:vAlign w:val="bottom"/>
          </w:tcPr>
          <w:p>
            <w:pPr>
              <w:spacing w:after="0"/>
              <w:rPr>
                <w:sz w:val="10"/>
                <w:szCs w:val="10"/>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restricted stock units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Purchase of treasury stock</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259,908</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of tax</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Initial recognition of non-controlling</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September 30, 2025</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35,661,29</w:t>
            </w:r>
          </w:p>
        </w:tc>
        <w:tc>
          <w:tcPr>
            <w:tcW w:w="240" w:type="dxa"/>
            <w:vAlign w:val="bottom"/>
            <w:vMerge w:val="restart"/>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462,519</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130,1</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(8,559)</w:t>
            </w:r>
          </w:p>
        </w:tc>
        <w:tc>
          <w:tcPr>
            <w:tcW w:w="100" w:type="dxa"/>
            <w:vAlign w:val="bottom"/>
          </w:tcPr>
          <w:p>
            <w:pPr>
              <w:spacing w:after="0"/>
              <w:rPr>
                <w:sz w:val="10"/>
                <w:szCs w:val="10"/>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shd w:val="clear" w:color="auto" w:fill="CFF0FC"/>
          </w:tcPr>
          <w:p>
            <w:pPr>
              <w:spacing w:after="0"/>
              <w:rPr>
                <w:sz w:val="10"/>
                <w:szCs w:val="10"/>
                <w:color w:val="auto"/>
              </w:rPr>
            </w:pPr>
          </w:p>
        </w:tc>
        <w:tc>
          <w:tcPr>
            <w:tcW w:w="2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121,109</w:t>
            </w:r>
          </w:p>
        </w:tc>
        <w:tc>
          <w:tcPr>
            <w:tcW w:w="12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121,1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6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vMerge w:val="continue"/>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vMerge w:val="continue"/>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FF0FC"/>
          </w:tcPr>
          <w:p>
            <w:pPr>
              <w:spacing w:after="0"/>
              <w:rPr>
                <w:sz w:val="16"/>
                <w:szCs w:val="16"/>
                <w:color w:val="auto"/>
              </w:rPr>
            </w:pPr>
          </w:p>
        </w:tc>
        <w:tc>
          <w:tcPr>
            <w:tcW w:w="160" w:type="dxa"/>
            <w:vAlign w:val="bottom"/>
            <w:tcBorders>
              <w:right w:val="single" w:sz="8" w:color="CFF0FC"/>
            </w:tcBorders>
            <w:vMerge w:val="continue"/>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-2365375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-2365375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-2365375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-2365375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-2365375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-2365375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-2365375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-2365375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-2365375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-1293495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-1293495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-1293495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-1293495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-1293495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-1293495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-1293495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-1293495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-1293495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-24765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12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Drilling</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w:t>
            </w:r>
          </w:p>
        </w:tc>
        <w:tc>
          <w:tcPr>
            <w:tcW w:w="18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Tools</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al</w:t>
            </w:r>
          </w:p>
        </w:tc>
        <w:tc>
          <w:tcPr>
            <w:tcW w:w="2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ensive</w:t>
            </w:r>
          </w:p>
        </w:tc>
        <w:tc>
          <w:tcPr>
            <w:tcW w:w="12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except share and per</w:t>
            </w: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3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8"/>
              </w:rPr>
              <w:t>Amou</w:t>
            </w:r>
          </w:p>
        </w:tc>
        <w:tc>
          <w:tcPr>
            <w:tcW w:w="26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7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Amoun</w:t>
            </w:r>
          </w:p>
        </w:tc>
        <w:tc>
          <w:tcPr>
            <w:tcW w:w="60" w:type="dxa"/>
            <w:vAlign w:val="bottom"/>
          </w:tcPr>
          <w:p>
            <w:pPr>
              <w:spacing w:after="0"/>
              <w:rPr>
                <w:sz w:val="13"/>
                <w:szCs w:val="13"/>
                <w:color w:val="auto"/>
              </w:rPr>
            </w:pPr>
          </w:p>
        </w:tc>
        <w:tc>
          <w:tcPr>
            <w:tcW w:w="56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64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ulated</w:t>
            </w:r>
          </w:p>
        </w:tc>
        <w:tc>
          <w:tcPr>
            <w:tcW w:w="100" w:type="dxa"/>
            <w:vAlign w:val="bottom"/>
          </w:tcPr>
          <w:p>
            <w:pPr>
              <w:spacing w:after="0"/>
              <w:rPr>
                <w:sz w:val="13"/>
                <w:szCs w:val="13"/>
                <w:color w:val="auto"/>
              </w:rPr>
            </w:pPr>
          </w:p>
        </w:tc>
        <w:tc>
          <w:tcPr>
            <w:tcW w:w="84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2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3"/>
                <w:szCs w:val="13"/>
                <w:color w:val="auto"/>
              </w:rPr>
            </w:pPr>
          </w:p>
        </w:tc>
        <w:tc>
          <w:tcPr>
            <w:tcW w:w="11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3"/>
                <w:szCs w:val="13"/>
                <w:color w:val="auto"/>
              </w:rPr>
            </w:pPr>
          </w:p>
        </w:tc>
        <w:tc>
          <w:tcPr>
            <w:tcW w:w="64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w:t>
            </w:r>
          </w:p>
        </w:tc>
        <w:tc>
          <w:tcPr>
            <w:tcW w:w="60" w:type="dxa"/>
            <w:vAlign w:val="bottom"/>
          </w:tcPr>
          <w:p>
            <w:pPr>
              <w:spacing w:after="0"/>
              <w:rPr>
                <w:sz w:val="14"/>
                <w:szCs w:val="14"/>
                <w:color w:val="auto"/>
              </w:rPr>
            </w:pPr>
          </w:p>
        </w:tc>
        <w:tc>
          <w:tcPr>
            <w:tcW w:w="5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35,661,297</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505,169</w:t>
            </w:r>
          </w:p>
        </w:tc>
        <w:tc>
          <w:tcPr>
            <w:tcW w:w="2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(1,265)</w:t>
            </w:r>
          </w:p>
        </w:tc>
        <w:tc>
          <w:tcPr>
            <w:tcW w:w="24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130,801</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(7,343)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664</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122,861</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purchases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206,800</w:t>
            </w:r>
          </w:p>
        </w:tc>
        <w:tc>
          <w:tcPr>
            <w:tcW w:w="9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vesting</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219,831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63,399</w:t>
            </w:r>
          </w:p>
        </w:tc>
        <w:tc>
          <w:tcPr>
            <w:tcW w:w="96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(754)</w:t>
            </w:r>
          </w:p>
        </w:tc>
        <w:tc>
          <w:tcPr>
            <w:tcW w:w="1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 net of tax</w:t>
            </w: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2026</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35,901,128</w:t>
            </w:r>
          </w:p>
        </w:tc>
        <w:tc>
          <w:tcPr>
            <w:tcW w:w="360" w:type="dxa"/>
            <w:vAlign w:val="bottom"/>
            <w:gridSpan w:val="2"/>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775,368</w:t>
            </w:r>
          </w:p>
        </w:tc>
        <w:tc>
          <w:tcPr>
            <w:tcW w:w="96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 (2,192)</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131,580</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(8,883)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120,419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908</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908</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908</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vesting</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143,130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 net of tax</w:t>
            </w: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June 30, 2026</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36,057,592</w:t>
            </w:r>
          </w:p>
        </w:tc>
        <w:tc>
          <w:tcPr>
            <w:tcW w:w="36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775,368</w:t>
            </w:r>
          </w:p>
        </w:tc>
        <w:tc>
          <w:tcPr>
            <w:tcW w:w="96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 (2,192)</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132,528</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(10,67</w:t>
            </w:r>
          </w:p>
        </w:tc>
        <w:tc>
          <w:tcPr>
            <w:tcW w:w="14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119,710</w:t>
            </w:r>
          </w:p>
        </w:tc>
        <w:tc>
          <w:tcPr>
            <w:tcW w:w="2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960" w:type="dxa"/>
            <w:vAlign w:val="bottom"/>
            <w:gridSpan w:val="3"/>
            <w:vMerge w:val="continue"/>
            <w:shd w:val="clear" w:color="auto" w:fill="CFF0FC"/>
          </w:tcPr>
          <w:p>
            <w:pPr>
              <w:spacing w:after="0"/>
              <w:rPr>
                <w:sz w:val="18"/>
                <w:szCs w:val="18"/>
                <w:color w:val="auto"/>
              </w:rPr>
            </w:pPr>
          </w:p>
        </w:tc>
        <w:tc>
          <w:tcPr>
            <w:tcW w:w="6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gridSpan w:val="2"/>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2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929</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929</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929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 net of tax</w:t>
            </w: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September 30, 2026</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36,057,592</w:t>
            </w:r>
          </w:p>
        </w:tc>
        <w:tc>
          <w:tcPr>
            <w:tcW w:w="36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775,368</w:t>
            </w:r>
          </w:p>
        </w:tc>
        <w:tc>
          <w:tcPr>
            <w:tcW w:w="96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 (2,192)</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133,457</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(13,30</w:t>
            </w:r>
          </w:p>
        </w:tc>
        <w:tc>
          <w:tcPr>
            <w:tcW w:w="14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118,021</w:t>
            </w:r>
          </w:p>
        </w:tc>
        <w:tc>
          <w:tcPr>
            <w:tcW w:w="2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118,036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960" w:type="dxa"/>
            <w:vAlign w:val="bottom"/>
            <w:gridSpan w:val="3"/>
            <w:vMerge w:val="continue"/>
            <w:shd w:val="clear" w:color="auto" w:fill="CFF0FC"/>
          </w:tcPr>
          <w:p>
            <w:pPr>
              <w:spacing w:after="0"/>
              <w:rPr>
                <w:sz w:val="16"/>
                <w:szCs w:val="16"/>
                <w:color w:val="auto"/>
              </w:rPr>
            </w:pPr>
          </w:p>
        </w:tc>
        <w:tc>
          <w:tcPr>
            <w:tcW w:w="6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gridSpan w:val="2"/>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-1414145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-1397000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-1414145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-1397000</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-1414145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-1397000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-1414145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-1397000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-1414145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-1397000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-1414145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-1397000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-1414145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-1397000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-1414145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-1397000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-1414145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-1397000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-625475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-607695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-625475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-607695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-625475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-607695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-625475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-607695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-607695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-625475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-607695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-625475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-607695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-625475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-607695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-625475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-607695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-25400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-8255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-25400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CONDENSED CONSOLIDATED STATEMENTS OF CASH FLOWS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(5,962)</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from operating activities: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(gain) on currency translation</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 off of excess and obsolete inventory</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 off of property and equipment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asset disposal</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lost-in-hole equipment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(11,424)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on related party note receivable</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6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lost-in-hole equipment</w:t>
            </w:r>
          </w:p>
        </w:tc>
        <w:tc>
          <w:tcPr>
            <w:tcW w:w="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investing activities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6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from non-controlling interest into VIE</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term loan</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on revolving line of credit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financing activities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w:t>
            </w:r>
          </w:p>
        </w:tc>
        <w:tc>
          <w:tcPr>
            <w:tcW w:w="6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-3102610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-3102610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-1979295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-1979295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-590550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-590550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-24765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-8255</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-8255</wp:posOffset>
            </wp:positionV>
            <wp:extent cx="59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Louisiana, Oklahoma, Pennsylvania, North Dakota, New Mexico, Utah, and Wyoming. The Company’s international operations are located in Canada, the United Kingdom,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 (“ASC”) and Accounting Standards Update (“ASU”).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September 30, 2026, and its results of operations for the three and nine months ended September 30, 2026 and 2025, respectively, and cash flows for the nine months ended September 30, 2026 and 2025, respectively. The condensed consolidated balance sheet at December 31, 2025, was derived from the audited annual financial statements but does not contain all the footnote disclosures from the annual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numerous geopolitical conflicts and inflationary pressures, these estimates require increased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judgment and carry a higher degree of variability and volatility. As events continue to evolve and additional information becomes available, these estimates may change materially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accounts and transactions have been eliminated on consolidation. The financial statements of our foreign subsidiaries, Casing Technologies Group Limited and Titan Tools Group Limited, are maintained in accordance with UK Generally Accepted Accounting Principles (UK GAAP) for local statutory purposes and are adjusted to U.S. GAAP for consolidation purposes. This approach enables us to accurately reflect the financial position, results of operations, and cash flows of our consolidated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each international subsidiary is generally its respective local currency. Accordingly, all foreign balance sheet accounts have been translated into U.S. dollars using the rate of exchange at the respective balance sheet date. Components of the unaudited condensed consolidated statements of comprehensive income (loss) have been translated at the average rates during the reporting period. Translation gains and losses are recorded in accumulated other comprehensive income (loss) as a component of shareholders’ equity. Gains or losses arising from currency exchange rate fluctuations on transactions denominated in a currency other than the local functional currency are included in other operating and non-operating expenses, net in the accompanying unaudited condensed consolidated statements of comprehensive income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Tool Rental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 The Company accrues all known fixed lease payments for rental contracts that also include variable payments, such as those based on usage or per well, when such variable amounts are not reasonably determinable at period end.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derive future benefits from its drilling tools following the end of the rental term. The Company’s rentals are generally short-term in nature, and its tools are typically rented for the majority of the time that the Company owns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Sales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Contract assets were recorded in accounts receivable, net in the accompanying unaudited condensed consolidated balance sheets. The changes in contract assets for the year ended December 31, 2025 and nine months ended September 30, 2026 were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160" w:type="dxa"/>
            <w:vAlign w:val="bottom"/>
          </w:tcPr>
          <w:p>
            <w:pPr>
              <w:jc w:val="right"/>
              <w:ind w:right="199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Pr>
          <w:p>
            <w:pPr>
              <w:spacing w:after="0"/>
              <w:rPr>
                <w:sz w:val="20"/>
                <w:szCs w:val="20"/>
                <w:color w:val="auto"/>
              </w:rPr>
            </w:pPr>
          </w:p>
        </w:tc>
      </w:tr>
      <w:tr>
        <w:trPr>
          <w:trHeight w:val="216"/>
        </w:trPr>
        <w:tc>
          <w:tcPr>
            <w:tcW w:w="5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2160" w:type="dxa"/>
            <w:vAlign w:val="bottom"/>
            <w:shd w:val="clear" w:color="auto" w:fill="CFF0FC"/>
          </w:tcPr>
          <w:p>
            <w:pPr>
              <w:spacing w:after="0"/>
              <w:rPr>
                <w:sz w:val="18"/>
                <w:szCs w:val="18"/>
                <w:color w:val="auto"/>
              </w:rPr>
            </w:pP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2160" w:type="dxa"/>
            <w:vAlign w:val="bottom"/>
          </w:tcPr>
          <w:p>
            <w:pPr>
              <w:spacing w:after="0"/>
              <w:rPr>
                <w:sz w:val="18"/>
                <w:szCs w:val="18"/>
                <w:color w:val="auto"/>
              </w:rPr>
            </w:pPr>
          </w:p>
        </w:tc>
        <w:tc>
          <w:tcPr>
            <w:tcW w:w="2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(40,851)</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160" w:type="dxa"/>
            <w:vAlign w:val="bottom"/>
            <w:tcBorders>
              <w:top w:val="single" w:sz="8" w:color="auto"/>
            </w:tcBorders>
            <w:shd w:val="clear" w:color="auto" w:fill="CFF0FC"/>
          </w:tcPr>
          <w:p>
            <w:pPr>
              <w:jc w:val="right"/>
              <w:ind w:right="199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21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45,832</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2160" w:type="dxa"/>
            <w:vAlign w:val="bottom"/>
            <w:shd w:val="clear" w:color="auto" w:fill="CFF0FC"/>
          </w:tcPr>
          <w:p>
            <w:pPr>
              <w:spacing w:after="0"/>
              <w:rPr>
                <w:sz w:val="18"/>
                <w:szCs w:val="18"/>
                <w:color w:val="auto"/>
              </w:rPr>
            </w:pP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(41,765)</w:t>
            </w:r>
          </w:p>
        </w:tc>
      </w:tr>
      <w:tr>
        <w:trPr>
          <w:trHeight w:val="230"/>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160" w:type="dxa"/>
            <w:vAlign w:val="bottom"/>
            <w:tcBorders>
              <w:top w:val="single" w:sz="8" w:color="auto"/>
              <w:bottom w:val="single" w:sz="8" w:color="auto"/>
            </w:tcBorders>
          </w:tcPr>
          <w:p>
            <w:pPr>
              <w:jc w:val="right"/>
              <w:ind w:right="199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September 30, 2026, the Company had $0.1 million in contract liabilities, of which the revenue is expected to be earned within one year. As of December 31, 2025 and December 31, 2024, the Company did not have any contract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 w:name="page13"/>
    <w:bookmarkEnd w:id="12"/>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September 30, 2026 and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as well as contract assets for work complete but not yet billed.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accounts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changes in the allowance for credit losses for the year ended December 31, 2025 and the nine months ended September 30, 2026 were as follows (in thousands):</w:t>
      </w:r>
    </w:p>
    <w:p>
      <w:pPr>
        <w:sectPr>
          <w:pgSz w:w="11900" w:h="16838" w:orient="portrait"/>
          <w:cols w:equalWidth="0" w:num="1">
            <w:col w:w="11220"/>
          </w:cols>
          <w:pgMar w:left="320" w:top="985" w:right="359" w:bottom="1440" w:gutter="0" w:footer="0" w:header="0"/>
        </w:sectPr>
      </w:pPr>
    </w:p>
    <w:p>
      <w:pPr>
        <w:spacing w:after="0" w:line="162" w:lineRule="exact"/>
        <w:rPr>
          <w:sz w:val="20"/>
          <w:szCs w:val="20"/>
          <w:color w:val="auto"/>
        </w:rPr>
      </w:pPr>
    </w:p>
    <w:p>
      <w:pPr>
        <w:ind w:left="580" w:right="1540"/>
        <w:spacing w:after="0" w:line="260" w:lineRule="auto"/>
        <w:rPr>
          <w:sz w:val="20"/>
          <w:szCs w:val="20"/>
          <w:color w:val="auto"/>
        </w:rPr>
      </w:pPr>
      <w:r>
        <w:rPr>
          <w:rFonts w:ascii="Times New Roman" w:cs="Times New Roman" w:eastAsia="Times New Roman" w:hAnsi="Times New Roman"/>
          <w:sz w:val="18"/>
          <w:szCs w:val="18"/>
          <w:color w:val="auto"/>
        </w:rPr>
        <w:t>Balance at December 31, 2024 Provisions for expected credit losses Foreign currency adjustments Utilization of allowance for credit losses Balance at December 31, 2025 Provisions for expected credit losses Foreign currency adjustments Utilization of allowance for credit losses Balance at September 30,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0" w:type="dxa"/>
            <w:vAlign w:val="bottom"/>
            <w:gridSpan w:val="2"/>
          </w:tcPr>
          <w:p>
            <w:pPr>
              <w:jc w:val="right"/>
              <w:ind w:right="2064"/>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180" w:type="dxa"/>
            <w:vAlign w:val="bottom"/>
            <w:tcBorders>
              <w:bottom w:val="single" w:sz="8" w:color="auto"/>
            </w:tcBorders>
          </w:tcPr>
          <w:p>
            <w:pPr>
              <w:jc w:val="right"/>
              <w:ind w:right="2064"/>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0"/>
                <w:szCs w:val="20"/>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2064"/>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-1285240</wp:posOffset>
            </wp:positionV>
            <wp:extent cx="641223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-1010920</wp:posOffset>
            </wp:positionV>
            <wp:extent cx="641223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-445135</wp:posOffset>
            </wp:positionV>
            <wp:extent cx="641223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-727710</wp:posOffset>
            </wp:positionV>
            <wp:extent cx="641223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-161925</wp:posOffset>
            </wp:positionV>
            <wp:extent cx="641223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5080" w:space="720"/>
            <w:col w:w="5420"/>
          </w:cols>
          <w:pgMar w:left="320" w:top="985" w:right="359" w:bottom="1440" w:gutter="0" w:footer="0" w:header="0"/>
          <w:type w:val="continuous"/>
        </w:sectPr>
      </w:pPr>
    </w:p>
    <w:p>
      <w:pPr>
        <w:spacing w:after="0" w:line="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2"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generated approximately 12% of its revenue from one customer. During the three months ended September 30, 2025, the Company generated approximately 27% of its revenue from two customers. During the nine months ended September 30, 2026, the Company generated approximately 14% of its revenue from one customer.</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generated approximately 27% of its revenue from two customers. Amounts due from these customers included in accounts receivable at September 30, 2026 and December 31, 2025 were approximately $5.4 million and $6.4 million, respectively.</w:t>
      </w:r>
    </w:p>
    <w:p>
      <w:pPr>
        <w:spacing w:after="0" w:line="18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did not have any vendors that represented over 10% of total purchases. Additionally, during the nine months ended September 30, 2026 and 2025, the Company did not have any vendors that represented over 10% of total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the operating costs section of the unaudited condensed consolidated statements of comprehensive income (loss) and establish a new cost basis for the inventory. Inventory includes raw material, work in progress, and finished goods.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13" w:name="page14"/>
    <w:bookmarkEnd w:id="13"/>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depreciation expense. Depreciation expense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expense when incurred. When property, plant and equipment is retired or otherwise disposed of, the related cost and accumulated depreciation are removed from the accounts, and any resulting gain or loss is included in loss (gain) on asset disposal.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management determined that there were no triggering events necessitating impairment testing of property, plant and equipment,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reassesses the lease classification as of the effective date of the modification.</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Accounting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and developed technology. These intangible assets are amortized either on a straight-line basis over the asset’s estimated useful life or on a basis that reflects the pattern in which the economic benefits of the intangible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The Company assesses goodwill impairment annually on October 31.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Valuation inputs are unadjusted quoted market prices for identical assets or liabilities in active markets.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Level 2 – Valuation inputs are quoted prices for identical assets or liabilities in markets that are not active, quoted market prices for similar assets and liabilities in active markets and other observable inputs directly or indirectly related to the assets or liabilities being measured.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Valuation inputs are unobservable and significant to the fair value measurement.</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The valuation of assets and liabilities recognized in business combinations are considered level 3 fair value measurements on the closing date of the acquisition. These assets and liabilities are not remeasured at each reporting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Level 1, 2, or 3 assets or liabilities measured on a 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5" w:name="page16"/>
    <w:bookmarkEnd w:id="15"/>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comprehensive income (loss). All indirect operating costs, including labor, freight, contract labor and others, are included in selling, general, and administrative expense in the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performance stock units, the grant date fair value is determined based on quoted market price for the Company's common stock as of the grant date. The Company applies a graded vesting attribution method, recognizing expense over the entire tranche of awards and updating the estimate of probable achievement of performance conditions at each reporting period. Changes in estimated outcomes are recognized prospectively through cumulative catch-up adjustments to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uses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the Company holds an equity method investment in a Variable Interest Entity ("VIE") and is determined to be the primary beneficiary, the VIE is consolidated in accordance with ASC 810, Consolidation. Upon consolidation, any equity interests in the VIE not held by the Company are presented as non-controlling interests in the unaudited condensed consolidated financial statements. The non-controlling interest represents the portion of the VIE’s net assets and net income attributable to other equity holders. The Company reassesses its status as the primary beneficiary of the VIE on an ongoing basis and adjusts the non-controlling interest accordingly. Changes in ownership interests that do not result in a loss of control are accounted for as equity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 For the purposes of this calculation, outstanding stock options are considered potential dilutive common stock and are excluded from the computation of net loss per share if their effect is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right="2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A valuation allowance is recorded when it is more likely than not that some portion of a deferred tax asset will not be realized.</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Each uncertain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September 30, 2026 and December 31, 2025. The Company believes there are no tax positions taken or expected to be taken that would significantly increase or decrease unrecognized tax benefits within twelve months of the reporting date.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comprehensive income (loss) for the three and nine months ended September 30,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operating segment for the purpose of making operations decisions, allocating resources and evaluating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restructuring charges in accordance with ASC 420, Exit or Disposal Cost Obligations. Restructuring costs primarily include severance and other employee-related termination benefits, as well as reorganization costs associated with strategic initiatives to streamline operations or reduce overhead. These costs are recognized when a formal plan has been approved, communicated to affected employees, and the obligation is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July 2025, the FASB issued Accounting Standards Update No. 2025-05, “Financial Instruments—Credit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(“ASC 606”). The Company adopted ASU 2025-05 effective January 1, 2026 and elected to apply the guidance prospectively. Based on the short-term nature of the Company’s accounts receivable and contract assets, historical loss experience, and current credit risk management practices, the adoption of ASU 2025-05 did not have a material impact on the Company’s consolidated financial statements or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ENTITY AND JOINT VENTURE ARRANGEMENT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22, 2025, the Company, through its wholly owned subsidiary DTI Canada 1, LLC, entered into a Joint Venture and Shareholders’ Agreement with Upstream Energy SDN. BHD. (“Upstream Energy”), a Malaysian entity, to form Drilling Tools International SDN. BHD. (“DTI Malaysia”), a Malaysian corporation. The purpose of DTI Malaysia is to expand the Company’s geographic footprint to serve a broader customer base in the Asia-Pacific market.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contributed $11.6 thousand and Upstream Energy contributed $12.1 thousand to the initial share capital of $23.7 thousand, resulting in ownership interests of 49% and 51%, respectively. Despite holding a minority equity interest, the Company was appointed as the sole manager of DTI Malaysia under a separate Management Agreement, granting it full operational and financial control over the entity.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DTI Malaysia is considered a variable interest entity (“VIE”) under ASC 810 due to the disproportionality between DTI’s voting interest and its control and economic exposure. DTI has the power to direct the activities that most significantly impact the economic performance of DTI Malaysia and is entitled to receive substantially all the economic returns from its operations. As such, DTI is the primary beneficiary of DTI Malaysia and consolidates its financial results.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DTI consolidates 100% of DTI Malaysia’s assets, liabilities, revenues, and expenses. The portion of net assets and net income attributable to Upstream Energy is presented as a non-controlling interest in the Company’s consolidated financial statements. There are no assets of DTI Malaysia that can be used only to settle its obligations nor are there liabilities for which creditors do not have recourse to the general credit of DTI.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Tools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the Company’s wholly owned subsidiary, Drilling Tools International, Inc., completed the acquisition of 100% of the shares of Titan Tools Group Limited (“Titan”). Titan is a full-service, down-hole tool rental company for land and offshore operations focused on wellbore construction rental items for both traditional hydrocarbon extraction and geothermal industries. Titan's primary operations are located in the United Kingdom, Europe, and Africa.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to Titan shareholders</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Titan transaction costs to be paid by DTI</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Closing date equity consideration </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Effective settlement of preexisting relationship between DTI and Titan </w:t>
            </w:r>
            <w:r>
              <w:rPr>
                <w:rFonts w:ascii="Times New Roman" w:cs="Times New Roman" w:eastAsia="Times New Roman" w:hAnsi="Times New Roman"/>
                <w:sz w:val="24"/>
                <w:szCs w:val="24"/>
                <w:color w:val="auto"/>
                <w:vertAlign w:val="superscript"/>
              </w:rPr>
              <w:t>(2)</w:t>
            </w:r>
          </w:p>
        </w:tc>
        <w:tc>
          <w:tcPr>
            <w:tcW w:w="16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1680" w:hanging="175"/>
        <w:spacing w:after="0"/>
        <w:tabs>
          <w:tab w:leader="none" w:pos="16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as of the Titan Closing Date, of the DTI common stock transferred as purchase consideration.</w:t>
      </w:r>
    </w:p>
    <w:p>
      <w:pPr>
        <w:spacing w:after="0" w:line="120" w:lineRule="exact"/>
        <w:rPr>
          <w:rFonts w:ascii="Times New Roman" w:cs="Times New Roman" w:eastAsia="Times New Roman" w:hAnsi="Times New Roman"/>
          <w:sz w:val="13"/>
          <w:szCs w:val="13"/>
          <w:color w:val="auto"/>
        </w:rPr>
      </w:pPr>
    </w:p>
    <w:p>
      <w:pPr>
        <w:ind w:left="1500" w:right="2700" w:firstLine="5"/>
        <w:spacing w:after="0"/>
        <w:tabs>
          <w:tab w:leader="none" w:pos="167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Titan and DTI’s accounts payable to Titan as Titan and DTI were customers of each other prior to the Titan Closing.</w:t>
      </w: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Titan Closing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allocation of the purchase price is as follows (in thousands):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0"/>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8"/>
                <w:szCs w:val="18"/>
                <w:color w:val="auto"/>
              </w:rPr>
            </w:pPr>
          </w:p>
        </w:tc>
      </w:tr>
      <w:tr>
        <w:trPr>
          <w:trHeight w:val="209"/>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 industry. Goodwill attributable to the acquisition of Titan is not deductible for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Titan Closing Date, and the methodologies used to determine the fair values of those intangible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101600</wp:posOffset>
            </wp:positionV>
            <wp:extent cx="85725" cy="316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316865"/>
                    </a:xfrm>
                    <a:prstGeom prst="rect">
                      <a:avLst/>
                    </a:prstGeom>
                    <a:noFill/>
                  </pic:spPr>
                </pic:pic>
              </a:graphicData>
            </a:graphic>
          </wp:anchor>
        </w:drawing>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28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Useful life</w:t>
            </w:r>
          </w:p>
        </w:tc>
        <w:tc>
          <w:tcPr>
            <w:tcW w:w="3640" w:type="dxa"/>
            <w:vAlign w:val="bottom"/>
            <w:tcBorders>
              <w:top w:val="single" w:sz="8" w:color="auto"/>
            </w:tcBorders>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(in years)</w:t>
            </w:r>
          </w:p>
        </w:tc>
        <w:tc>
          <w:tcPr>
            <w:tcW w:w="36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Fair value methodology</w:t>
            </w:r>
          </w:p>
        </w:tc>
      </w:tr>
      <w:tr>
        <w:trPr>
          <w:trHeight w:val="210"/>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640" w:type="dxa"/>
            <w:vAlign w:val="bottom"/>
            <w:tcBorders>
              <w:bottom w:val="single" w:sz="8" w:color="auto"/>
            </w:tcBorders>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36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25</w:t>
            </w:r>
          </w:p>
        </w:tc>
        <w:tc>
          <w:tcPr>
            <w:tcW w:w="3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Multi-period Excess Earnings Method</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-170815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$0.1 million and $0.6 million, respectively, during the three and nine months ended September 30, 2025, which are included in other operating and non-operating expenses, net in the condensed consolidated statements of comprehensive income (loss).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comprehensive income (loss) for the three and nine months ended September 30, 2026, include Titan’s revenues of $2.8 million and $7.0 million, respectively, and net income of $0.1 million and $0.2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-1062355</wp:posOffset>
            </wp:positionV>
            <wp:extent cx="596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-1062355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on inventory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rent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software</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prepaid expenses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6,051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insurance</w:t>
            </w: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inventory and property, plant, and equipment purchases</w:t>
            </w: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property taxes</w:t>
            </w: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management fees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tax payable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Unbilled lost-in-hole revenue</w:t>
            </w: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w:t>
            </w:r>
          </w:p>
        </w:tc>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8,695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10,711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835"/>
        </w:trPr>
        <w:tc>
          <w:tcPr>
            <w:tcW w:w="58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2060" w:type="dxa"/>
            <w:vAlign w:val="bottom"/>
            <w:tcBorders>
              <w:top w:val="single" w:sz="8" w:color="CFF0FC"/>
            </w:tcBorders>
          </w:tcPr>
          <w:p>
            <w:pPr>
              <w:jc w:val="right"/>
              <w:ind w:right="169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-1053465</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-1036320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-1036320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property, plant and equipment, net (in thousands):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0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Lives (in years)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218,908</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215,596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6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231,205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227,317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(163,655)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(156,382)</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2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w:t>
            </w:r>
          </w:p>
        </w:tc>
        <w:tc>
          <w:tcPr>
            <w:tcW w:w="16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construction in progress)</w:t>
            </w:r>
          </w:p>
        </w:tc>
        <w:tc>
          <w:tcPr>
            <w:tcW w:w="160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67,550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70,935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69,247</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72,602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depreciation expense for the three months ended September 30, 2026 and 2025 was approximately $6.2 million and $6.1 million, respectively. Total depreciation expense for the nine months ended September 30, 2026 and 2025 was approximately $18.7 million and $18.4 million, respectively. The Company has not acquired any property, plant and equipment under finance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amortization period</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8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4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44,850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(5,176)</w:t>
            </w: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37,578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39,674</w:t>
            </w:r>
          </w:p>
        </w:tc>
        <w:tc>
          <w:tcPr>
            <w:tcW w:w="12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30, 2026 and 2025 was approximately $0.8 million and $0.7 million, respectively. Total amortization expense for the nine months ended September 30, 2026 and 2025 was approximately $2.2 million and $2.0 million, respectively. Estimated future amortization expense for the next five years is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80" w:type="dxa"/>
            <w:vAlign w:val="bottom"/>
          </w:tcPr>
          <w:p>
            <w:pPr>
              <w:spacing w:after="0"/>
              <w:rPr>
                <w:sz w:val="18"/>
                <w:szCs w:val="18"/>
                <w:color w:val="auto"/>
              </w:rPr>
            </w:pPr>
          </w:p>
        </w:tc>
      </w:tr>
      <w:tr>
        <w:trPr>
          <w:trHeight w:val="250"/>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37,578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nine months ended September 30, 2026 was as follows (in thousands):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2025</w:t>
            </w: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14,616</w:t>
            </w:r>
          </w:p>
        </w:tc>
        <w:tc>
          <w:tcPr>
            <w:tcW w:w="100" w:type="dxa"/>
            <w:vAlign w:val="bottom"/>
            <w:shd w:val="clear" w:color="auto" w:fill="CFF0FC"/>
          </w:tcPr>
          <w:p>
            <w:pPr>
              <w:spacing w:after="0"/>
              <w:rPr>
                <w:sz w:val="18"/>
                <w:szCs w:val="18"/>
                <w:color w:val="auto"/>
              </w:rPr>
            </w:pPr>
          </w:p>
        </w:tc>
      </w:tr>
      <w:tr>
        <w:trPr>
          <w:trHeight w:val="203"/>
        </w:trPr>
        <w:tc>
          <w:tcPr>
            <w:tcW w:w="83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r>
      <w:tr>
        <w:trPr>
          <w:trHeight w:val="236"/>
        </w:trPr>
        <w:tc>
          <w:tcPr>
            <w:tcW w:w="83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balance as of September 30, 2026</w:t>
            </w: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14,542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“Revolving Line of Credit”) by entering into a Second Amended and Restated Revolving Credit, Term Loan and Security and Guaranty Agreement (the “Credit Facility”) with certain of the Company’s subsidiaries and PNC Bank, National Association ("PNC") as lender and as agent. Pursuant to the terms of the Credit Facility, the Company will be provided a revolving line of credit in a principal amount up to $80.0 million and a single draw term loan (the "Term Loan") in a principal amount of $25.0 million. The line of credit and the Term Loan mature in March 2029. The Credit Facility amends and restates the credit facility that the Company entered into in December 2015 with PNC, which provided for a revolving line of credit with a maximum borrowing amount totaling $60.0 million, as amended and restated by that certain Amended and Restated Revolving Credit, Term Loan, and Security Agreement, dated as of June 20, 2023, by and among the Company, certain of its subsidiaries, and PNC Bank National Association. Additionally, the Company is required to make an annual payment of up to $5 million, to be determined based on the Excess Cash Flows generated each fiscal year commencing with the year ended December 31, 2024, as defined in the Credit Facility. Based on the calculation for Excess Cash Flows laid forth in the agreement, the Company paid $2.6 million toward the term loan in April 2026.</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interest on the amount drawn on the Revolving Line of Credit and Term Loan and the outstanding Term Loan balance are based on the Secured Overnight Financing Rate ("SOFR") or PNC’s base lending rate plus applicable margin (approximately 6.92% and 7.73%, respectively, at September 30, 2026). The Credit Facility is collateralized by substantially all the assets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there was $37.0 million drawn against the line of credit.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acquisition of European Drilling Projects in 2024, the Company issued an unsecured Promissory Note to the former parent company of EDP, totaling $5.2 million. On April 22, 2025, the First Amendment to the note was signed, reducing the balance by $0.3 million. The note bears an interest rate of 8% per annum. Additionally, on May 20, 2026, the Second Amendment to the note was signed, further reducing the balance by $0.2 million. The note matures in December 2029 and payments are made quarterly. The note is a foreign currency denominated monetary liability (issuance and payments are denominated in Euros), and as such, is measured at the end of each reporting period based on the exchange rate at that date. The remaining balance on the Promissory Note was $3.1 million as of September 30, 2026. For the three and nine months ended September 30, 2026, the Company recognized a gain of $0.0 million and $0.1 million, respectively, on the condensed consolidated statements of comprehensive income (loss). For the three and nine months ended September 30, 2025 the Company recognized a loss of $0.0 million and $0.3 million, respectively, on the condensed consolidated statements of comprehensive income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future maturities of long-term debt and line of credit consisted of the following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88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Pr>
          <w:p>
            <w:pPr>
              <w:spacing w:after="0"/>
              <w:rPr>
                <w:sz w:val="18"/>
                <w:szCs w:val="18"/>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80" w:type="dxa"/>
            <w:vAlign w:val="bottom"/>
          </w:tcPr>
          <w:p>
            <w:pPr>
              <w:spacing w:after="0"/>
              <w:rPr>
                <w:sz w:val="18"/>
                <w:szCs w:val="18"/>
                <w:color w:val="auto"/>
              </w:rPr>
            </w:pPr>
          </w:p>
        </w:tc>
      </w:tr>
      <w:tr>
        <w:trPr>
          <w:trHeight w:val="250"/>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0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50,412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Credit Facility Agreement, the interest rate will reset (the "Default Rate") upon the event of a default and an additional 2% will be added to the base rate. The Company analyzed the Default Rate feature of the Credit Facility for derivative accounting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consideration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 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September 30, 2026 and December 31, 2025 and no amounts were recorded as of September 30, 2026 or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2025, the Company recorded an income tax benefit $0.5 million and an income tax of $0.4 million, respectively, on the unaudited condensed consolidated statements of comprehensive income (loss). For the nine months ended September 30, 2026 and 2025, the Company recorded income tax benefit of $1.1 million and an income tax expense of $1.0 million, respectively.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income tax expense for the nine months ended September 30, 2026 was calculated using a discrete approach. This methodology was used because changes in the Company's results of operations and acquisitions can materially impact the estimated annual effective tax rate. The Company’s effective tax rate for the nine months ended September 30, 2026 and 2025 were benefits and provisions of 15.8% and 25.9%, respectively. Such rates differed from the Federal Statutory rate of 21.0% primarily due to state taxes, foreign income taxes on the Company’s international operations, changes in the valuation allowance, and permanent differences.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September 30, 2026, there were 1,787,819 shares of Common Stock available for issuance under the 2023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stock options issued are service based with a vest term ranging from one to three years. The awards have contractual terms of ten years. The fair value of each stock option award is estimated on the date of grant using a Black-Scholes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 will use the quoted market price as of the grant date as an input into the Black-Scholes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nine months ended September 30, 2026: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5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18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4,933,634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2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(33,334)</w:t>
            </w:r>
          </w:p>
        </w:tc>
        <w:tc>
          <w:tcPr>
            <w:tcW w:w="1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9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OUTSTANDING, September 30,</w:t>
            </w:r>
          </w:p>
        </w:tc>
        <w:tc>
          <w:tcPr>
            <w:tcW w:w="1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4,900,300</w:t>
            </w:r>
          </w:p>
        </w:tc>
        <w:tc>
          <w:tcPr>
            <w:tcW w:w="20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16"/>
                <w:szCs w:val="16"/>
                <w:color w:val="auto"/>
              </w:rPr>
            </w:pPr>
          </w:p>
        </w:tc>
        <w:tc>
          <w:tcPr>
            <w:tcW w:w="2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2026</w:t>
            </w:r>
          </w:p>
        </w:tc>
        <w:tc>
          <w:tcPr>
            <w:tcW w:w="182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7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2420" w:type="dxa"/>
            <w:vAlign w:val="bottom"/>
            <w:gridSpan w:val="2"/>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UNVESTED, September 30, 2026</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828,330</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7.38</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1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September 30, 2026</w:t>
            </w:r>
          </w:p>
        </w:tc>
        <w:tc>
          <w:tcPr>
            <w:tcW w:w="1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4,071,970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ind w:left="1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-350520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-334010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-350520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-334010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-350520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-334010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recognized $0.4 million and $0.4 million, respectively, of stock-based compensation expense related to stock options within selling, general, and administrative expenses on the unaudited condensed consolidated statements of comprehensive income (loss). During the nine months ended September 30, 2026 and 2025, the Company recognized $1.1 million and $1.1 million, respectively, of stock-based compensation expense within selling, general, and administrative expenses on the unaudited condensed consolidated statements of comprehensive income (loss). As of September 30, 2026, total unrecognized compensation expense related to the stock options totaled $0.5 million. The unrecognized compensation expense will be recognized over the weighted average remaining vesting term of 0.6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Restricted stock units ("RSUs") are granted to employees as well as members of the Board of Directors. RSUs vest over a one to four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activity for the nine months ended September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Grant Date</w:t>
            </w:r>
          </w:p>
        </w:tc>
      </w:tr>
      <w:tr>
        <w:trPr>
          <w:trHeight w:val="238"/>
        </w:trPr>
        <w:tc>
          <w:tcPr>
            <w:tcW w:w="6020" w:type="dxa"/>
            <w:vAlign w:val="bottom"/>
          </w:tcPr>
          <w:p>
            <w:pPr>
              <w:spacing w:after="0"/>
              <w:rPr>
                <w:sz w:val="20"/>
                <w:szCs w:val="20"/>
                <w:color w:val="auto"/>
              </w:rPr>
            </w:pPr>
          </w:p>
        </w:tc>
        <w:tc>
          <w:tcPr>
            <w:tcW w:w="14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1,022,451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(362,961)</w:t>
            </w:r>
          </w:p>
        </w:tc>
        <w:tc>
          <w:tcPr>
            <w:tcW w:w="120" w:type="dxa"/>
            <w:vAlign w:val="bottom"/>
            <w:shd w:val="clear" w:color="auto" w:fill="CFF0FC"/>
          </w:tcPr>
          <w:p>
            <w:pPr>
              <w:spacing w:after="0"/>
              <w:rPr>
                <w:sz w:val="18"/>
                <w:szCs w:val="18"/>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September 30, 2026</w:t>
            </w:r>
          </w:p>
        </w:tc>
        <w:tc>
          <w:tcPr>
            <w:tcW w:w="1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1,111,113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recognized $0.4 million and $0.3 million, respectively, of stock-based compensation related to RSUs within selling, general, and administrative expenses on the unaudited condensed consolidated statements of comprehensive income (loss). During the nine months ended September 30, 2026 and 2025, the Company recognized $1.1 million and $0.7 million, respectively, of stock-based compensation related to RSUs within selling, general, and administrative expenses on the unaudited condensed consolidated statements of comprehensive income (loss). As of September 30, 2026, unrecognized compensation expense related to the RSUs totaled $2.8 million. The unrecognized compensation expense will be recognized over the weighted average remaining vesting term of 2.2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665,836 performance-based restricted stock units (“PSUs”) under the Drilling Tools International Corporation 2023 Omnibus Incentive Plan. Each PSU represents the right to receive one share of the Company’s common stock upon vesting, subject to the achievement of specified performance conditions and continued service. The PSUs are subject to a three-year performance period and vest, if at all, based on the Company's achievement of cumulative performance goals. The PSUs are eligible to vest based on the achievement of a performance metric, with payouts at the end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18"/>
          <w:szCs w:val="18"/>
          <w:color w:val="auto"/>
        </w:rPr>
        <w:t>vesting period ranging from 50% to 200% of target. The performance target is established annually within the three-year cumulative performance period, and final payout is determined following certification by the Compensation Committee after the end of the performance period. During the three and nine months ended September 30, 2026, the Company recognized $0.2 million and $0.4 million, respectively, of stock-based compensation related to PSUs within selling, general, and administrative expenses on the unaudited condensed consolidated statements of comprehensive income (loss). As of September 30, 2026, total unrecognized compensation expense related to the PSUs totaled $1.6 million which will be recognized over the next 2.4 years.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OPERATING AND NON-OPERATING EXPENSES, NET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three months ended September 30, 2026 and 2025 (in thousands):</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w:t>
            </w:r>
          </w:p>
        </w:tc>
        <w:tc>
          <w:tcPr>
            <w:tcW w:w="21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12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expenses, net</w:t>
            </w:r>
          </w:p>
        </w:tc>
        <w:tc>
          <w:tcPr>
            <w:tcW w:w="21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3,007</w:t>
            </w:r>
          </w:p>
        </w:tc>
        <w:tc>
          <w:tcPr>
            <w:tcW w:w="212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0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nine months ended September 30, 2026 and 2025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w:t>
            </w:r>
          </w:p>
        </w:tc>
        <w:tc>
          <w:tcPr>
            <w:tcW w:w="21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8"/>
                <w:szCs w:val="18"/>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expenses, net</w:t>
            </w:r>
          </w:p>
        </w:tc>
        <w:tc>
          <w:tcPr>
            <w:tcW w:w="21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4,889</w:t>
            </w:r>
          </w:p>
        </w:tc>
        <w:tc>
          <w:tcPr>
            <w:tcW w:w="3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4,434</w:t>
            </w:r>
          </w:p>
        </w:tc>
        <w:tc>
          <w:tcPr>
            <w:tcW w:w="10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and 2025, management fees paid to Hicks Holdings Operating LLC ("HHLLC"), a shareholder of the Company, were approximately $0.2 million and $0.2 million, respectively. For the nine months ended September 30, 2026 and 2025, management fees paid to Hicks Holdings Operating LLC were approximately $0.6 million and $0.6 million, respectively. Management fees paid to a shareholder are included in selling, general and administrative expense in the accompanying unaudited condensed consolidated statements of comprehensive income (loss). The last payment under this arrangement is set to be made in December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Director fees for the three months ended September 30, 2026 and 2025 were approximately $0.2 million and $0.1 million, respectively. Director fees for the nine months ended September 30, 2026 and 2025 were approximately $0.6 million and $0.3 million, respectively. Director fees are included in selling, general and administrative expense in the accompanying unaudited condensed consolidated statements of comprehensive income (loss).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The face value of the note is $6.5 million. Pursuant to the Sixth Amendment and Restated Promissory Note, Tronco will make payments to the Company annually, commencing on the first anniversary of the Closing Date through the fifth anniversary of the Closing Date. Per the agreement, if the 20-day volume-weighted average price of DTI falls below $3.20 per share, the principal that otherwise would have been due shall be deferred and apportioned over the remaining payment dates specified in the agreement. The first and second payments due on July 31, 2025 and July 31, 2026 were deferred as the 20-day volume-weighted average price of DTI was below $3.20 per share. Payment deferrals can continue for any period in which the 20-day-volume-weighted average price leading up to the anniversary date falls below $3.20 per share, up to the fifth anniversary. If at the fifth anniversary the 20-day-volume-weighted average price is below $3.20, the entire principal balance would be due upon the sixth anniversary. Any payments due and not received by the Company before the fifth day following the anniversary date will bear interest from the date of nonpayment until paid equal to 3%. In accordance with ASC 805, the receivable's fair value was measured at the present value of future cash flows upon the Closing Date. The note was discounted by $1 million based on the present value on the Closing Date. During the three months ended September 30, 2026, the payment deferral resulted in an update to the timing of cash flows, reducing the note's carrying value. This reduction was recorded against the previous interest income recognized and resulted in interest expense of $0.1 million for the three months ended September 30, 2026. During the nine months ended September 30, 2026, interest income recognized on the discounted note totaled $0.1 million. The carrying value of the note as of September 30, 2026 was $5.5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five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the components of the Company’s lease expense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34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38"/>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060" w:type="dxa"/>
            <w:vAlign w:val="bottom"/>
            <w:tcBorders>
              <w:top w:val="single" w:sz="8" w:color="auto"/>
            </w:tcBorders>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060" w:type="dxa"/>
            <w:vAlign w:val="bottom"/>
            <w:shd w:val="clear" w:color="auto" w:fill="CFF0FC"/>
          </w:tcPr>
          <w:p>
            <w:pPr>
              <w:jc w:val="right"/>
              <w:ind w:right="9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1,939</w:t>
            </w:r>
          </w:p>
        </w:tc>
        <w:tc>
          <w:tcPr>
            <w:tcW w:w="6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6620" w:type="dxa"/>
            <w:vAlign w:val="bottom"/>
          </w:tcPr>
          <w:p>
            <w:pPr>
              <w:spacing w:after="0"/>
              <w:rPr>
                <w:sz w:val="24"/>
                <w:szCs w:val="24"/>
                <w:color w:val="auto"/>
              </w:rPr>
            </w:pPr>
          </w:p>
        </w:tc>
        <w:tc>
          <w:tcPr>
            <w:tcW w:w="34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p>
        </w:tc>
        <w:tc>
          <w:tcPr>
            <w:tcW w:w="10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FF0FC"/>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6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060" w:type="dxa"/>
            <w:vAlign w:val="bottom"/>
          </w:tcPr>
          <w:p>
            <w:pPr>
              <w:jc w:val="right"/>
              <w:ind w:right="9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5,789</w:t>
            </w:r>
          </w:p>
        </w:tc>
        <w:tc>
          <w:tcPr>
            <w:tcW w:w="6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-1165225</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-1148080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-1165225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68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6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5"/>
              </w:rPr>
              <w:t>7.97</w:t>
            </w:r>
          </w:p>
        </w:tc>
        <w:tc>
          <w:tcPr>
            <w:tcW w:w="180" w:type="dxa"/>
            <w:vAlign w:val="bottom"/>
            <w:shd w:val="clear" w:color="auto" w:fill="CFF0F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8.20%</w:t>
            </w:r>
          </w:p>
        </w:tc>
      </w:tr>
    </w:tbl>
    <w:p>
      <w:pPr>
        <w:spacing w:after="0" w:line="2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September 30, 2026 were as follows (in thousands):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tbl>
      <w:tblPr>
        <w:tblLayout w:type="fixed"/>
        <w:tblInd w:w="580" w:type="dxa"/>
        <w:tblCellMar>
          <w:top w:w="0" w:type="dxa"/>
          <w:left w:w="0" w:type="dxa"/>
          <w:bottom w:w="0" w:type="dxa"/>
          <w:right w:w="0" w:type="dxa"/>
        </w:tblCellMar>
      </w:tblP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12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12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32,708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(8,523)</w:t>
            </w:r>
          </w:p>
        </w:tc>
      </w:tr>
      <w:tr>
        <w:trPr>
          <w:trHeight w:val="249"/>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12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and nine months ended September 30, 2026, tool rental revenue was approximately $32.0 million and $90.5 million, respectively. For the three and nine months ended September 30, 2025, tool rental revenue was approximately $31.9 million and $99.1 million, respectively. Our lease contract periods are short-term in nature and are typically daily, monthly, per well, or footage based. Due to the short term nature of the contracts, no maturity table is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plans,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 for the three months ended September 30, 2026 and 2025 was approximately $0.1 million and $0.1 million, respectively. The total expense for the nine months ended September 30, 2026 and 2025 was approximately $0.6 million and $0.7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 In connection with the pending Saltire Acquisition described in Note 20 – Subsequent Events, the Company may petition the Delaware Court of Chancery under Section 205 of the DGCL to validate certain prior director elections and related corporate acts, in lieu of or in addition to stockholder ratification under Section 204 of the DGCL. The Company is not currently party to any legal proceedings that management believes would reasonably be expected to have a material adverse effect on its financial position, results of operations, or cash flows.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depreciation amount, as defined in the management agreement .See Note 12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three and nine months ended September 30, 2026 and 2025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8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5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Drilling Tools International</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(4,977)</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35,282,224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35,200,688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35,516,692</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securities:</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time-based stock options</w:t>
            </w:r>
          </w:p>
        </w:tc>
        <w:tc>
          <w:tcPr>
            <w:tcW w:w="1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performance-based stock options</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restricted stock units</w:t>
            </w:r>
          </w:p>
        </w:tc>
        <w:tc>
          <w:tcPr>
            <w:tcW w:w="1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35,282,224</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35,386,122</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35,200,688</w:t>
            </w:r>
          </w:p>
        </w:tc>
        <w:tc>
          <w:tcPr>
            <w:tcW w:w="18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35,516,692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-350520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-334010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-334010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-350520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-334010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Company’s potentially dilutive securities consisted of options to purchase common stock, time-based and restricted stock. The Company also excluded 665,836 performance-based restricted stock units because the performance conditions were not met as of period end. Based on the amounts outstanding as of the three and nine months ended September 30, 2026 and 2025, the Company excluded the following potential common shares from the computation of diluted net income per share because including them would have had an anti-dilutive effect:</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1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21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outstanding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4,366,236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4,429,563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4,366,236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4,429,563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restricted stock units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1,111,113</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1,022,451</w:t>
            </w: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1,111,113</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1,022,451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6,011,413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5,986,077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6,011,413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5,986,077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Prior to the acquisition of Titan, we operated as a single operating segment which reflected how our business was managed. Upon completion of the acquisition in early 2025,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two operating segments derive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operating and non-operating expense, net; income tax benefit (expense); depreciation and amortization; and unallocated corporate general and administrative expenses, including stock-option expense and monitoring fees. Additionally, the Company’s CODM reviews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three months ended September 30, 2026 and 2025 is summarized below: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6"/>
          </w:tcPr>
          <w:p>
            <w:pPr>
              <w:jc w:val="center"/>
              <w:ind w:left="116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27,331</w:t>
            </w:r>
          </w:p>
        </w:tc>
        <w:tc>
          <w:tcPr>
            <w:tcW w:w="4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6,209</w:t>
            </w:r>
          </w:p>
        </w:tc>
        <w:tc>
          <w:tcPr>
            <w:tcW w:w="780" w:type="dxa"/>
            <w:vAlign w:val="bottom"/>
            <w:gridSpan w:val="2"/>
            <w:shd w:val="clear" w:color="auto" w:fill="CFF0FC"/>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33,540</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7,380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9,086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34,711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7,915</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42,626</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(1,981)</w:t>
            </w:r>
          </w:p>
        </w:tc>
      </w:tr>
      <w:tr>
        <w:trPr>
          <w:trHeight w:val="115"/>
        </w:trPr>
        <w:tc>
          <w:tcPr>
            <w:tcW w:w="20" w:type="dxa"/>
            <w:vAlign w:val="bottom"/>
          </w:tcPr>
          <w:p>
            <w:pPr>
              <w:spacing w:after="0"/>
              <w:rPr>
                <w:sz w:val="10"/>
                <w:szCs w:val="10"/>
                <w:color w:val="auto"/>
              </w:rPr>
            </w:pPr>
          </w:p>
        </w:tc>
        <w:tc>
          <w:tcPr>
            <w:tcW w:w="32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76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40,645</w:t>
            </w:r>
          </w:p>
        </w:tc>
        <w:tc>
          <w:tcPr>
            <w:tcW w:w="100" w:type="dxa"/>
            <w:vAlign w:val="bottom"/>
            <w:tcBorders>
              <w:top w:val="single" w:sz="8" w:color="CFF0FC"/>
            </w:tcBorders>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Less:</w:t>
            </w:r>
            <w:r>
              <w:rPr>
                <w:rFonts w:ascii="Times New Roman" w:cs="Times New Roman" w:eastAsia="Times New Roman" w:hAnsi="Times New Roman"/>
                <w:sz w:val="19"/>
                <w:szCs w:val="19"/>
                <w:color w:val="auto"/>
                <w:vertAlign w:val="superscript"/>
              </w:rPr>
              <w:t>(1)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8,891</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3,415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(1,981)</w:t>
            </w: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10,857</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11,364</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w:t>
            </w: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Corporate expenses</w:t>
            </w:r>
            <w:r>
              <w:rPr>
                <w:rFonts w:ascii="Times New Roman" w:cs="Times New Roman" w:eastAsia="Times New Roman" w:hAnsi="Times New Roman"/>
                <w:sz w:val="19"/>
                <w:szCs w:val="19"/>
                <w:color w:val="auto"/>
                <w:vertAlign w:val="superscript"/>
              </w:rPr>
              <w:t>(2)</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(3,119)</w:t>
            </w: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6"/>
          </w:tcPr>
          <w:p>
            <w:pPr>
              <w:jc w:val="center"/>
              <w:ind w:left="116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27,865</w:t>
            </w:r>
          </w:p>
        </w:tc>
        <w:tc>
          <w:tcPr>
            <w:tcW w:w="4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5,790</w:t>
            </w:r>
          </w:p>
        </w:tc>
        <w:tc>
          <w:tcPr>
            <w:tcW w:w="780" w:type="dxa"/>
            <w:vAlign w:val="bottom"/>
            <w:gridSpan w:val="2"/>
            <w:shd w:val="clear" w:color="auto" w:fill="CFF0FC"/>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33,655</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7,087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7,520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34,952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6,223</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41,175</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(2,358)</w:t>
            </w:r>
          </w:p>
        </w:tc>
      </w:tr>
      <w:tr>
        <w:trPr>
          <w:trHeight w:val="115"/>
        </w:trPr>
        <w:tc>
          <w:tcPr>
            <w:tcW w:w="20" w:type="dxa"/>
            <w:vAlign w:val="bottom"/>
          </w:tcPr>
          <w:p>
            <w:pPr>
              <w:spacing w:after="0"/>
              <w:rPr>
                <w:sz w:val="10"/>
                <w:szCs w:val="10"/>
                <w:color w:val="auto"/>
              </w:rPr>
            </w:pPr>
          </w:p>
        </w:tc>
        <w:tc>
          <w:tcPr>
            <w:tcW w:w="32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76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38,817</w:t>
            </w:r>
          </w:p>
        </w:tc>
        <w:tc>
          <w:tcPr>
            <w:tcW w:w="100" w:type="dxa"/>
            <w:vAlign w:val="bottom"/>
            <w:tcBorders>
              <w:top w:val="single" w:sz="8" w:color="CFF0FC"/>
            </w:tcBorders>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Less:</w:t>
            </w:r>
            <w:r>
              <w:rPr>
                <w:rFonts w:ascii="Times New Roman" w:cs="Times New Roman" w:eastAsia="Times New Roman" w:hAnsi="Times New Roman"/>
                <w:sz w:val="19"/>
                <w:szCs w:val="19"/>
                <w:color w:val="auto"/>
                <w:vertAlign w:val="superscript"/>
              </w:rPr>
              <w:t>(1)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3,311</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9,443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3,028</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12,471</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(2,358)</w:t>
            </w: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10,113</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11,683</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w:t>
            </w: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11,871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Corporate expenses</w:t>
            </w:r>
            <w:r>
              <w:rPr>
                <w:rFonts w:ascii="Times New Roman" w:cs="Times New Roman" w:eastAsia="Times New Roman" w:hAnsi="Times New Roman"/>
                <w:sz w:val="19"/>
                <w:szCs w:val="19"/>
                <w:color w:val="auto"/>
                <w:vertAlign w:val="superscript"/>
              </w:rPr>
              <w:t>(2)</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(467)</w:t>
            </w: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-4474210</wp:posOffset>
            </wp:positionV>
            <wp:extent cx="6772275" cy="1117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2275" cy="1117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-3479800</wp:posOffset>
            </wp:positionV>
            <wp:extent cx="6772275" cy="1117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2275" cy="11176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-4577080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-4173855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-4173855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-4173855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-3582670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-3582670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-3582670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-2794000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-2776855</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-1704975</wp:posOffset>
            </wp:positionV>
            <wp:extent cx="6772275" cy="1117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72275" cy="1117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-710565</wp:posOffset>
            </wp:positionV>
            <wp:extent cx="6772275" cy="1117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72275" cy="11176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-1807845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-1405255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-1405255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-1405255</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-813435</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-813435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-813435</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6" w:lineRule="exact"/>
        <w:rPr>
          <w:sz w:val="20"/>
          <w:szCs w:val="20"/>
          <w:color w:val="auto"/>
        </w:rPr>
      </w:pPr>
    </w:p>
    <w:p>
      <w:pPr>
        <w:ind w:left="1500" w:right="1360" w:firstLine="5"/>
        <w:spacing w:after="0" w:line="233" w:lineRule="auto"/>
        <w:tabs>
          <w:tab w:leader="none" w:pos="17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nine months ended September 30, 2026 and 2025 is summarized below:</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79" w:right="619" w:bottom="1440" w:gutter="0" w:footer="0" w:header="0"/>
        </w:sectPr>
      </w:pPr>
    </w:p>
    <w:bookmarkStart w:id="29" w:name="page30"/>
    <w:bookmarkEnd w:id="29"/>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gridSpan w:val="6"/>
          </w:tcPr>
          <w:p>
            <w:pPr>
              <w:jc w:val="center"/>
              <w:ind w:left="120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78,564</w:t>
            </w:r>
          </w:p>
        </w:tc>
        <w:tc>
          <w:tcPr>
            <w:tcW w:w="4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16,735</w:t>
            </w:r>
          </w:p>
        </w:tc>
        <w:tc>
          <w:tcPr>
            <w:tcW w:w="760" w:type="dxa"/>
            <w:vAlign w:val="bottom"/>
            <w:gridSpan w:val="2"/>
            <w:shd w:val="clear" w:color="auto" w:fill="CFF0FC"/>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95,299</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22,557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101,121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21,908</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123,029</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(6,353)</w:t>
            </w:r>
          </w:p>
        </w:tc>
      </w:tr>
      <w:tr>
        <w:trPr>
          <w:trHeight w:val="115"/>
        </w:trPr>
        <w:tc>
          <w:tcPr>
            <w:tcW w:w="20" w:type="dxa"/>
            <w:vAlign w:val="bottom"/>
          </w:tcPr>
          <w:p>
            <w:pPr>
              <w:spacing w:after="0"/>
              <w:rPr>
                <w:sz w:val="10"/>
                <w:szCs w:val="10"/>
                <w:color w:val="auto"/>
              </w:rPr>
            </w:pPr>
          </w:p>
        </w:tc>
        <w:tc>
          <w:tcPr>
            <w:tcW w:w="32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76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116,676</w:t>
            </w:r>
          </w:p>
        </w:tc>
        <w:tc>
          <w:tcPr>
            <w:tcW w:w="100" w:type="dxa"/>
            <w:vAlign w:val="bottom"/>
            <w:tcBorders>
              <w:top w:val="single" w:sz="8" w:color="CFF0FC"/>
            </w:tcBorders>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Less:</w:t>
            </w:r>
            <w:r>
              <w:rPr>
                <w:rFonts w:ascii="Times New Roman" w:cs="Times New Roman" w:eastAsia="Times New Roman" w:hAnsi="Times New Roman"/>
                <w:sz w:val="19"/>
                <w:szCs w:val="19"/>
                <w:color w:val="auto"/>
                <w:vertAlign w:val="superscript"/>
              </w:rPr>
              <w:t>(1)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27,588</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8,288</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w:t>
            </w:r>
          </w:p>
        </w:tc>
        <w:tc>
          <w:tcPr>
            <w:tcW w:w="2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29,144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10,091</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39,235</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(6,353)</w:t>
            </w: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32,882</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40,625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9,888</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31,352</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1,929</w:t>
            </w:r>
          </w:p>
        </w:tc>
        <w:tc>
          <w:tcPr>
            <w:tcW w:w="2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33,281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Corporate expenses</w:t>
            </w:r>
            <w:r>
              <w:rPr>
                <w:rFonts w:ascii="Times New Roman" w:cs="Times New Roman" w:eastAsia="Times New Roman" w:hAnsi="Times New Roman"/>
                <w:sz w:val="19"/>
                <w:szCs w:val="19"/>
                <w:color w:val="auto"/>
                <w:vertAlign w:val="superscript"/>
              </w:rPr>
              <w:t>(2)</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w:t>
            </w: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20,817</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3,387</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w:t>
            </w: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(7,082)</w:t>
            </w: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6"/>
          </w:tcPr>
          <w:p>
            <w:pPr>
              <w:jc w:val="center"/>
              <w:ind w:left="120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90,321</w:t>
            </w:r>
          </w:p>
        </w:tc>
        <w:tc>
          <w:tcPr>
            <w:tcW w:w="4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15,648</w:t>
            </w:r>
          </w:p>
        </w:tc>
        <w:tc>
          <w:tcPr>
            <w:tcW w:w="760" w:type="dxa"/>
            <w:vAlign w:val="bottom"/>
            <w:gridSpan w:val="2"/>
            <w:shd w:val="clear" w:color="auto" w:fill="CFF0FC"/>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105,969</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113,733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17,361</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131,094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(9,976)</w:t>
            </w:r>
          </w:p>
        </w:tc>
      </w:tr>
      <w:tr>
        <w:trPr>
          <w:trHeight w:val="115"/>
        </w:trPr>
        <w:tc>
          <w:tcPr>
            <w:tcW w:w="20" w:type="dxa"/>
            <w:vAlign w:val="bottom"/>
          </w:tcPr>
          <w:p>
            <w:pPr>
              <w:spacing w:after="0"/>
              <w:rPr>
                <w:sz w:val="10"/>
                <w:szCs w:val="10"/>
                <w:color w:val="auto"/>
              </w:rPr>
            </w:pPr>
          </w:p>
        </w:tc>
        <w:tc>
          <w:tcPr>
            <w:tcW w:w="32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76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121,118</w:t>
            </w:r>
          </w:p>
        </w:tc>
        <w:tc>
          <w:tcPr>
            <w:tcW w:w="100" w:type="dxa"/>
            <w:vAlign w:val="bottom"/>
            <w:tcBorders>
              <w:top w:val="single" w:sz="8" w:color="CFF0FC"/>
            </w:tcBorders>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Less:</w:t>
            </w:r>
            <w:r>
              <w:rPr>
                <w:rFonts w:ascii="Times New Roman" w:cs="Times New Roman" w:eastAsia="Times New Roman" w:hAnsi="Times New Roman"/>
                <w:sz w:val="19"/>
                <w:szCs w:val="19"/>
                <w:color w:val="auto"/>
                <w:vertAlign w:val="superscript"/>
              </w:rPr>
              <w:t>(1)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2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33,025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8,205</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41,230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(9,976)</w:t>
            </w:r>
          </w:p>
        </w:tc>
      </w:tr>
      <w:tr>
        <w:trPr>
          <w:trHeight w:val="142"/>
        </w:trPr>
        <w:tc>
          <w:tcPr>
            <w:tcW w:w="20" w:type="dxa"/>
            <w:vAlign w:val="bottom"/>
          </w:tcPr>
          <w:p>
            <w:pPr>
              <w:spacing w:after="0"/>
              <w:rPr>
                <w:sz w:val="12"/>
                <w:szCs w:val="12"/>
                <w:color w:val="auto"/>
              </w:rPr>
            </w:pPr>
          </w:p>
        </w:tc>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31,254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43,344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9,110</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52,454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37,364</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4"/>
                <w:szCs w:val="14"/>
                <w:color w:val="auto"/>
              </w:rPr>
              <w:t>Corporate expenses</w:t>
            </w:r>
            <w:r>
              <w:rPr>
                <w:rFonts w:ascii="Times New Roman" w:cs="Times New Roman" w:eastAsia="Times New Roman" w:hAnsi="Times New Roman"/>
                <w:sz w:val="19"/>
                <w:szCs w:val="19"/>
                <w:color w:val="auto"/>
                <w:vertAlign w:val="superscript"/>
              </w:rPr>
              <w:t>(2)</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2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7,365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(3,954)</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-4431030</wp:posOffset>
            </wp:positionV>
            <wp:extent cx="6772275" cy="1111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72275" cy="11112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-3436620</wp:posOffset>
            </wp:positionV>
            <wp:extent cx="6772275" cy="1111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72275" cy="11112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-4533900</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-4131310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-4131310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-4131310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-3539490</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-3539490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-3539490</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-2750820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-2733675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-1799590</wp:posOffset>
            </wp:positionV>
            <wp:extent cx="6772275" cy="1111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2275" cy="11112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-805180</wp:posOffset>
            </wp:positionV>
            <wp:extent cx="6772275" cy="1111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2275" cy="11112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-1902460</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-1499235</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-1499235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-1499235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-908050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-908050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-908050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-128270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3" w:lineRule="exact"/>
        <w:rPr>
          <w:sz w:val="20"/>
          <w:szCs w:val="20"/>
          <w:color w:val="auto"/>
        </w:rPr>
      </w:pPr>
    </w:p>
    <w:p>
      <w:pPr>
        <w:ind w:left="1500" w:right="1360" w:firstLine="5"/>
        <w:spacing w:after="0" w:line="233" w:lineRule="auto"/>
        <w:tabs>
          <w:tab w:leader="none" w:pos="17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information by operating segment for the nine months ended and as of September 30, 2026 and 2025 is summarized below:</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3" w:right="619" w:bottom="1440" w:gutter="0" w:footer="0" w:header="0"/>
        </w:sectPr>
      </w:pPr>
    </w:p>
    <w:bookmarkStart w:id="30" w:name="page31"/>
    <w:bookmarkEnd w:id="30"/>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Segment Assets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154,410</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58,752</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213,162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222,050</w:t>
            </w:r>
          </w:p>
        </w:tc>
        <w:tc>
          <w:tcPr>
            <w:tcW w:w="4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227,397</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-1002030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-1002030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-436245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-436245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-153670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500" w:right="1500" w:firstLine="5"/>
        <w:spacing w:after="0" w:line="233" w:lineRule="auto"/>
        <w:tabs>
          <w:tab w:leader="none" w:pos="17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goodwill allocated to the four reporting units is included within their respective segment asset totals. The goodwill amount included in segment assets is net of impairment losses at the Western Hemisphere and Eastern Hemisphere segments.</w:t>
      </w:r>
    </w:p>
    <w:p>
      <w:pPr>
        <w:ind w:left="1700" w:hanging="195"/>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assets consist of cash, related party notes receivables,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SUPPLEMENTAL CASH FLOWS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related to income taxes, interest, leases, inventory purchases and capital expenditures included in accounts payable, assumed liabilities acquired in a business combination and other non-cash investing and financing activities were as follows: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77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3,188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5,073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 related to EDP Acquisition</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Titan liabilities assumed in Titan Acquisition</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consideration in Titan Acquisition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obtained in exchange for shares withheld on vesting</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Reduction in promissory note</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Purchases of inventory included in accounts payable and accrued expenses and other current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0"/>
                <w:szCs w:val="20"/>
                <w:color w:val="auto"/>
              </w:rPr>
            </w:pPr>
          </w:p>
        </w:tc>
      </w:tr>
      <w:tr>
        <w:trPr>
          <w:trHeight w:val="198"/>
        </w:trPr>
        <w:tc>
          <w:tcPr>
            <w:tcW w:w="77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w:t>
            </w: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1,306</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FF0FC"/>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SHARE REPURCHASES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Share repurchases may take place in any transaction form as allowable by the SEC. The Board of Directors of the Company approved the plan to remain active until December 31, 2026. The Company did not purchase any shares during the three months ended September 30, 2026.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issued. Other than as described below, the Company did not identify any subsequent events requiring recognition or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 – Saltire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8, 2026, the Company and Casing Technologies Group Limited, a wholly owned subsidiary of the Company (the “Buyer”), entered into a Share Purchase Agreement (the “Purchase Agreement”) with Saltire Energy Limited (“Saltire”), Foxley Energy Limited (“Foxley” and, together with Saltire, the “Group”), the sellers named therein (the “Sellers”) and Jack William Loggie, as Seller Representative, pursuant to which the Buyer will acquire all of the issued share capital of the Group (the “Saltire Acquisition”). The aggregate consideration payable at closing consists of (i) £60.3 million in cash (approximately $81 million based on the exchange rate of $1.343 per £1.00 specified in the Purchase Agreement), subject to adjustments described in the Purchase Agreement, including a daily profit ticker of £23,354 for each day from July 1, 2026 until closing, and (ii) unsecured loan notes that will be exchanged at closing for an aggregate of 17,355,139 shares of Common Stock. The number of shares is fixed and will not be adjusted for changes in the market price of the Common Stock. Following closing, the Sellers are expected to own approximately 30% of the outstanding Common Stock.</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Completion of the Saltire Acquisition is subject to customary conditions, including the effectiveness of the Company’s registration statement on Form S-4, approval by the Company’s stockholders of the share issuance under Nasdaq Listing Rule 5635(a) and of the ratification of certain prior director elections under Section 204 of the General Corporation Law of the State of Delaware (or a Section 205 validation order of the Delaware Court of Chancery), Nasdaq approval of the listing of the shares and the Buyer having obtained debt and/or equity financing sufficient to fund the cash consideration. The Purchase Agreement may be terminated by either the Buyer or the Seller Representative if closing has not occurred by March 31, 2027, and, in certain circumstances, by the Seller Representative if the Buyer has not obtained the required financing by November 30, 2026. On October 9, 2026, the Company filed the registration statement on Form S-4 with the SEC, which has not yet been declared effective as of the date of this Report. The Saltire Acquisition is expected to close in the first quarter of 2027. Because the Saltire Acquisition had not closed as of the date these financial statements were issued, the initial accounting for the business combination, including the preliminary purchase price allocation, has not been completed.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Bond Issue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13, 2026, Drilling Tools International Holdings, Inc., a wholly owned subsidiary of the Company, engaged a Norwegian investment bank to arrange fixed income investor meetings in the Nordic market in connection with a potential U.S. dollar denominated senior secured bond issue. If completed, the Company intends to use the net proceeds to partially finance the Saltire Acquisition, repay the Term Loan in full and a portion of the Revolving Line of Credit, and for general corporate purposes. As of the date of this Report, no bonds have been issued. There can be no assurance that the bond issue will be completed on the anticipated terms or at all. Any bonds will not be registered under the Securities Act and may not be offered or sold in the United States absent registration or an applicable exemption from registration requirements.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September 30, 2026, and for the three and nine months ended September 30, 2026 and 2025, included elsewhere herein. For additional information pertaining to our business, including risk factors which should be considered before investing in our Common Stock, refer to our Annual Report on Form 10-K for the fiscal year ended December 31, 2025. Our historical results are not necessarily indicative of the results that may be expected for any period in the future. Capitalized terms used in this section, but not otherwise defined, have the meanings ascribed to them in the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revenues are derived from two sources: tool rental and product sales. Tool rental revenues are derived from the rental of tools used in bottom hole assemblies (“BHA”), various wellbore optimization tools, and tubular goods for drilling, workover,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three months ended September 30, 2026 and 2025, we derived 79% and 82% of total revenues from tool rentals and 21% and 18% from product sales, respectively. During the nine months ended September 30, 2026 and 2025, we derived 78% and 82% from tool rentals and 22% and 18% from product sales,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out of 2 reportable segments, split by geography, consisting of the Western Hemisphere operations and the Eastern Hemisphere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Factors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product 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the Group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8, 2026, we entered into the Purchase Agreement to acquire the Group, an Aberdeen-based provider of rental drilling tools serving the North Sea, Middle East, Asia Pacific and other Eastern Hemisphere markets, for approximately $81 million in cash (subject to adjustment) and 17,355,139 shares of Common Stock. We expect the Saltire Acquisition to increase our Eastern Hemisphere contribution from approximately 18% of our standalone revenue in the second quarter of 2026 to approximately 40% of pro forma revenue following closing. On October 9, 2026, we filed a registration statement on Form S-4, which includes a proxy statement/prospectus for a special meeting of our stockholders to approve the share issuance and the ratification of certain prior director elections under Section 204 of the DGCL. The registration statement has not yet been declared effective and the special meeting has not yet been scheduled. Subject to the satisfaction of closing conditions, including financing, we expect the Saltire Acquisition to close in the first quarter of 2027. We have incurred approximately $2.2 million of transaction-related expenses in connection with the Saltire Acquisition during the three months ended September 30, 2026, and we expect to incur significant additional transaction, financing and integration costs. See Note 20 – Subsequent Events.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Prices</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oil and natural gas prices in North America over the indicated periods as well as International and Domestic industry activity levels as reflected by the average number of active onshore drilling rigs during the same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9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780" w:type="dxa"/>
            <w:vAlign w:val="bottom"/>
          </w:tcPr>
          <w:p>
            <w:pPr>
              <w:spacing w:after="0"/>
              <w:rPr>
                <w:sz w:val="18"/>
                <w:szCs w:val="18"/>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WTI Oil Price ($/bbl.)</w:t>
            </w:r>
            <w:r>
              <w:rPr>
                <w:rFonts w:ascii="Times New Roman" w:cs="Times New Roman" w:eastAsia="Times New Roman" w:hAnsi="Times New Roman"/>
                <w:sz w:val="24"/>
                <w:szCs w:val="24"/>
                <w:color w:val="auto"/>
                <w:vertAlign w:val="superscript"/>
              </w:rPr>
              <w:t>(1)</w:t>
            </w:r>
          </w:p>
        </w:tc>
        <w:tc>
          <w:tcPr>
            <w:tcW w:w="152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78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8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Natural Gas Price ($/MMBtu)</w:t>
            </w:r>
            <w:r>
              <w:rPr>
                <w:rFonts w:ascii="Times New Roman" w:cs="Times New Roman" w:eastAsia="Times New Roman" w:hAnsi="Times New Roman"/>
                <w:sz w:val="24"/>
                <w:szCs w:val="24"/>
                <w:color w:val="auto"/>
                <w:vertAlign w:val="superscript"/>
              </w:rPr>
              <w:t>(2)</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78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Western Hemisphere Drilling Rigs </w:t>
            </w:r>
            <w:r>
              <w:rPr>
                <w:rFonts w:ascii="Times New Roman" w:cs="Times New Roman" w:eastAsia="Times New Roman" w:hAnsi="Times New Roman"/>
                <w:sz w:val="24"/>
                <w:szCs w:val="24"/>
                <w:color w:val="auto"/>
                <w:vertAlign w:val="superscript"/>
              </w:rPr>
              <w:t>(3)</w:t>
            </w:r>
          </w:p>
        </w:tc>
        <w:tc>
          <w:tcPr>
            <w:tcW w:w="15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8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31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Eastern Hemisphere Drilling Rigs </w:t>
            </w:r>
            <w:r>
              <w:rPr>
                <w:rFonts w:ascii="Times New Roman" w:cs="Times New Roman" w:eastAsia="Times New Roman" w:hAnsi="Times New Roman"/>
                <w:sz w:val="24"/>
                <w:szCs w:val="24"/>
                <w:color w:val="auto"/>
                <w:vertAlign w:val="superscript"/>
              </w:rPr>
              <w:t>(3)</w:t>
            </w:r>
          </w:p>
        </w:tc>
        <w:tc>
          <w:tcPr>
            <w:tcW w:w="1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754"/>
        </w:trPr>
        <w:tc>
          <w:tcPr>
            <w:tcW w:w="4780" w:type="dxa"/>
            <w:vAlign w:val="bottom"/>
          </w:tcPr>
          <w:p>
            <w:pPr>
              <w:spacing w:after="0"/>
              <w:rPr>
                <w:sz w:val="24"/>
                <w:szCs w:val="24"/>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46"/>
        </w:trPr>
        <w:tc>
          <w:tcPr>
            <w:tcW w:w="47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r>
      <w:tr>
        <w:trPr>
          <w:trHeight w:val="210"/>
        </w:trPr>
        <w:tc>
          <w:tcPr>
            <w:tcW w:w="38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WTI Oil Price ($/bbl.)</w:t>
            </w:r>
            <w:r>
              <w:rPr>
                <w:rFonts w:ascii="Times New Roman" w:cs="Times New Roman" w:eastAsia="Times New Roman" w:hAnsi="Times New Roman"/>
                <w:sz w:val="24"/>
                <w:szCs w:val="24"/>
                <w:color w:val="auto"/>
                <w:vertAlign w:val="superscript"/>
              </w:rPr>
              <w:t>(1)</w:t>
            </w:r>
          </w:p>
        </w:tc>
        <w:tc>
          <w:tcPr>
            <w:tcW w:w="256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72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8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Natural Gas Price ($/MMBtu)</w:t>
            </w:r>
            <w:r>
              <w:rPr>
                <w:rFonts w:ascii="Times New Roman" w:cs="Times New Roman" w:eastAsia="Times New Roman" w:hAnsi="Times New Roman"/>
                <w:sz w:val="24"/>
                <w:szCs w:val="24"/>
                <w:color w:val="auto"/>
                <w:vertAlign w:val="superscript"/>
              </w:rPr>
              <w:t>(2)</w:t>
            </w:r>
          </w:p>
        </w:tc>
        <w:tc>
          <w:tcPr>
            <w:tcW w:w="25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72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Western Hemisphere Drilling Rigs </w:t>
            </w:r>
            <w:r>
              <w:rPr>
                <w:rFonts w:ascii="Times New Roman" w:cs="Times New Roman" w:eastAsia="Times New Roman" w:hAnsi="Times New Roman"/>
                <w:sz w:val="24"/>
                <w:szCs w:val="24"/>
                <w:color w:val="auto"/>
                <w:vertAlign w:val="superscript"/>
              </w:rPr>
              <w:t>(3)</w:t>
            </w:r>
          </w:p>
        </w:tc>
        <w:tc>
          <w:tcPr>
            <w:tcW w:w="1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31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Eastern Hemisphere Drilling Rigs </w:t>
            </w:r>
            <w:r>
              <w:rPr>
                <w:rFonts w:ascii="Times New Roman" w:cs="Times New Roman" w:eastAsia="Times New Roman" w:hAnsi="Times New Roman"/>
                <w:sz w:val="24"/>
                <w:szCs w:val="24"/>
                <w:color w:val="auto"/>
                <w:vertAlign w:val="superscript"/>
              </w:rPr>
              <w:t>(3)</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bl>
    <w:p>
      <w:pPr>
        <w:spacing w:after="0" w:line="118"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Energy Information Administration (“EIA”) Cushing, OK WTI (“West Texas Intermediate”) monthly average spot price per barrel of crude oil.</w:t>
      </w:r>
    </w:p>
    <w:p>
      <w:pPr>
        <w:spacing w:after="0" w:line="3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EIA Henry Hub Natural Gas monthly average spot price per million British Thermal Unit (“MMBtu”).</w:t>
      </w:r>
    </w:p>
    <w:p>
      <w:pPr>
        <w:spacing w:after="0" w:line="5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Baker Hughes, includes land and offshore activity and does not include miscellaneous rigs</w:t>
      </w:r>
    </w:p>
    <w:p>
      <w:pPr>
        <w:spacing w:after="0" w:line="2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oil and gas market continued to be influenced by evolving supply and demand fundamentals, geopolitical developments, and broader macroeconomic conditions. U.S. crude oil production remained near record levels, supported by continued activity in key shale basins and offshore developments. While crude oil prices remained volatile during the period, customer investment decisions continued to be driven primarily by medium- and long-term commodity price expectations, particularly for offshore projects with longer development cycles.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natural gas prices remained above prior-year levels during the nine months ended September 30, 2026, supported by improving market fundamentals, including continued demand growth and relatively tighter inventories, despite increasing domestic production.</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Operational activity remained below historical levels in certain Western and Eastern Hemisphere markets. However, longer laterals, improved drilling efficiencies, and higher productivity per rig continued to partially offset the impact of lower drilling activity, supporting demand for certain products and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Increased Costs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drilling rigs and execute capital projects. While we are currently unable to estimate the ultimate impact of rising prices, we do expect that our costs will continue to rise in the near term and will impact our profitability.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(in thousands):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vMerge w:val="restart"/>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 (loss)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income (loss)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asset disposal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(3,119)</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(1,728)</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(12,612)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(6,353)</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(9,976)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 (loss)</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income (loss)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asset disposal</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(7,082)</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(3,128)</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(5,962)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(984)</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-5391150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-5391150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-5391150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-5391150</wp:posOffset>
            </wp:positionV>
            <wp:extent cx="1117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-4002405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-4002405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-4002405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-4002405</wp:posOffset>
            </wp:positionV>
            <wp:extent cx="1117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-3428365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-3411220</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-3428365</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-3411220</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-3428365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-3411220</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-3428365</wp:posOffset>
            </wp:positionV>
            <wp:extent cx="1117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-3411220</wp:posOffset>
            </wp:positionV>
            <wp:extent cx="1117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-2270760</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-2270760</wp:posOffset>
            </wp:positionV>
            <wp:extent cx="603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-2270760</wp:posOffset>
            </wp:positionV>
            <wp:extent cx="603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-2270760</wp:posOffset>
            </wp:positionV>
            <wp:extent cx="1117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-1704975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-1704975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-1704975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-1704975</wp:posOffset>
            </wp:positionV>
            <wp:extent cx="1117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-599440</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-599440</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-599440</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-599440</wp:posOffset>
            </wp:positionV>
            <wp:extent cx="1117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03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1117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(1) Corporate and other includes stock compensation expense, monitoring expenses, and unallocated corporate expenses.</w:t>
      </w:r>
    </w:p>
    <w:p>
      <w:pPr>
        <w:spacing w:after="0" w:line="1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97" w:right="8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Western Hemisphere revenue was $34.7 million for the three months ended September 30, 2026, a decrease of $0.2 million, or 1%, compared to the three months ended September 30, 2025. Revenue was flat year over year despite lingering pricing compression from activity declines in prior periods. Additionally, Western Hemisphere segment income was $11.4 million for the three months ended September 30, 2026, a decrease of $0.3 million or 3%, compared to the three months ended September 30, 2025. Segment income moved in line with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Eastern Hemisphere revenue was $7.9 million for the three months ended September 30, 2026, an increase of $1.7 million, or 27%, compared to the three months ended September 30, 2025. The increase in revenues was driven by increased rental activity in geographies into which the Company has expanded. Additionally, Eastern Hemisphere segment income was $1.3 million for the three months ended September 30, 2026, an increase of $1.1 million or 571%, compared to the three months ended September 30, 2025. The increase was primarily driven by the increase in revenue year over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expenses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Corporate and other expenses was $4.2 million for the three months ended September 30, 2026, an increase of $0.7 million, or 18%, compared to the three months ended September 30, 2025. The increase was primarily related to stock-based compensation due to additional restricted stock units and performance share awards granted in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on asset disposal</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Loss (gain) on asset disposal was $0.4 million for the three months ended September 30, 2026, an increase of $0.4 million, or 100%, compared to the three months ended September 30, 2025. The increase was primarily related to the disposition of assets in the Western Hemisphere during the three months ended September 30, 2026.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$3.0 million for the three months ended September 30, 2026, an increase of $2.4 million, or 411%, compared to the three months ended September 30, 2025. The increase was primarily a result of the higher transaction related expenses incurred in the third quarter of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Western Hemisphere revenue was $101.1 million for the nine months ended September 30, 2026, a decrease of $12.6 million, or 11%, compared to the nine months ended September 30, 2025. The decrease in revenues was driven by a decrease in tool rental revenue as a result of lower customer activity levels and pricing pressures during the nine months ended September 30, 2026. Additionally, Western Hemisphere segment income was $31.4 million for the nine months ended September 30, 2026, a decrease of $6.0 million or 16%, compared to the nine months ended September 30, 2025. The decrease was in line with the decrease in revenue and a result of the same drivers.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Eastern Hemisphere revenue was $21.9 million for the nine months ended September 30, 2026, an increase of $4.5 million, or 26% compared to the nine months ended September 30, 2025. The increase in revenues was driven by increased rental activity in geographies into which the Company has expanded. Eastern Hemisphere segment income was $1.9 million for the nine months ended September 30, 2026, an increase of $1.9 million compared to less than $0.1 million for the nine months ended September 30, 2025. The increase was in line with the increase in revenue and a result of the same drivers.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Interest expense, net was $3.3 million for the nine months ended September 30, 2026, a decrease of $0.7 million, or 18%, compared to the nine months ended September 30, 2025. The decrease was primarily a result of the decrease in the overall debt balance when comparing September 30, 2026 to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$4.9 million for the nine months ended September 30, 2026, an increase of $0.5 million, or 10%, compared to the nine months ended September 30, 2025. The increase was primarily a result of the higher transaction related expenses offset by lower restructuring costs incurred in the nine months ended September 30, 2026 compared to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operating and non-operating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from, or as a substitute for, financial information prepared in accordance with U.S. GAAP. There are a number of limitations related to the use of this non-GAAP financial measures compared to the closest comparable U.S.GAAP measure. Some of these limitations are that:</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excludes income tax benefit (expense).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and nine months ended September 30, 2026 and 2025 (non-recurring transaction expenses recorded to other (income) expense are presented separately within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tcBorders>
              <w:bottom w:val="single" w:sz="8" w:color="auto"/>
            </w:tcBorders>
            <w:vMerge w:val="continue"/>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asset disposal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expense</w:t>
            </w:r>
          </w:p>
        </w:tc>
        <w:tc>
          <w:tcPr>
            <w:tcW w:w="2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580" w:type="dxa"/>
            <w:vAlign w:val="bottom"/>
          </w:tcPr>
          <w:p>
            <w:pPr>
              <w:spacing w:after="0"/>
              <w:rPr>
                <w:sz w:val="24"/>
                <w:szCs w:val="24"/>
                <w:color w:val="auto"/>
              </w:rPr>
            </w:pPr>
          </w:p>
        </w:tc>
        <w:tc>
          <w:tcPr>
            <w:tcW w:w="424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jc w:val="right"/>
              <w:ind w:right="1550"/>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596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-899795</wp:posOffset>
            </wp:positionV>
            <wp:extent cx="596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-899795</wp:posOffset>
            </wp:positionV>
            <wp:extent cx="603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7" w:name="page38"/>
    <w:bookmarkEnd w:id="37"/>
    <w:tbl>
      <w:tblPr>
        <w:tblLayout w:type="fixed"/>
        <w:tblInd w:w="580" w:type="dxa"/>
        <w:tblCellMar>
          <w:top w:w="0" w:type="dxa"/>
          <w:left w:w="0" w:type="dxa"/>
          <w:bottom w:w="0" w:type="dxa"/>
          <w:right w:w="0" w:type="dxa"/>
        </w:tblCellMar>
      </w:tblPr>
      <w:tr>
        <w:trPr>
          <w:trHeight w:val="238"/>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(5,962)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asset disposal</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September 30, 2026, we had $3.0 million of cash.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to meet our working capital requirements and anticipated capital expenditures for at least the next 12 months and in the longer term, excluding the cash consideration for the Saltire Acquisition. Cash consideration payable at closing of the Saltire Acquisition is approximately £60.3 million (approximately $81 million), subject to adjustment, which substantially exceeds our cash on hand and available borrowings under the Credit Facility Agreement as of September 30, 2026. We expect to fund the cash consideration for the Saltire Acquisition, together with related fees and expenses, through new debt financing and borrowings under the Credit Facility Agreement. The Buyer’s obligation to close is conditioned on obtaining this financing, and the Seller Representative may terminate the Purchase Agreement if the financing has not been obtained by November 30, 2026 and certain other conditions are met. The completion of the Saltire Acquisition and the related financing will significantly increase our indebtedness and debt service obligations. There can be no assurance that such financing will be available on acceptable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Reference is made to the disclosure set forth in Note 8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of the 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Our material contractual obligations arise from leases of facilities and vehicles under noncancelable operating lease agreements. See Note 13 -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notes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8" w:name="page39"/>
    <w:bookmarkEnd w:id="38"/>
    <w:p>
      <w:pPr>
        <w:ind w:right="420"/>
        <w:spacing w:after="0" w:line="266" w:lineRule="auto"/>
        <w:rPr>
          <w:sz w:val="20"/>
          <w:szCs w:val="20"/>
          <w:color w:val="auto"/>
        </w:rPr>
      </w:pPr>
      <w:r>
        <w:rPr>
          <w:rFonts w:ascii="Times New Roman" w:cs="Times New Roman" w:eastAsia="Times New Roman" w:hAnsi="Times New Roman"/>
          <w:sz w:val="18"/>
          <w:szCs w:val="18"/>
          <w:color w:val="auto"/>
        </w:rPr>
        <w:t>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-170815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2026 was $4.0 million, the driver being a net loss of $6.0 million and a increase in net working capital of $12.8 million offset by non-cash adjustments of $14.7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was $14.6 million, the driver being a net loss of $5.0 million and a increase in net working capital of $1.8 million offset by non-cash adjustments of $21.4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Investing Activities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was $0.9 million, resulting from purchases of property, plant, and equipment of $17.6 million and the purchase of intangible assets of $1.0 million, offset by proceeds from rental tool recovery sales of $13.7 million and property, plant, and equipment sales of $4.0 million.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was $12.7 million, resulting from purchases of property, plant, and equipment of $16.1 million, purchases of intangible assets of $1.4 million, and the acquisition of Titan for $5.6 million, partially offset by proceeds from rental tool recovery sales of $10.4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was $4.2 million, resulting primarily from debt increases of $4.8 million offset by purchases of treasury stock of $0.7 million.</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was $3.7 million, resulting primarily from debt decreases of $2.6 million and purchases of treasury stock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included in this Report have been prepared in accordance with U.S. GAAP. The preparation of these condensed consolidated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ind w:right="60"/>
        <w:spacing w:after="0" w:line="266" w:lineRule="auto"/>
        <w:rPr>
          <w:sz w:val="20"/>
          <w:szCs w:val="20"/>
          <w:color w:val="auto"/>
        </w:rPr>
      </w:pPr>
      <w:r>
        <w:rPr>
          <w:rFonts w:ascii="Times New Roman" w:cs="Times New Roman" w:eastAsia="Times New Roman" w:hAnsi="Times New Roman"/>
          <w:sz w:val="18"/>
          <w:szCs w:val="18"/>
          <w:color w:val="auto"/>
        </w:rPr>
        <w:t>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since the 2025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will cease to be an emerging growth company on the earliest of (i) the last day of the fiscal year following the fifth anniversary of the first sale of common equity securities of DTI (as successor to ROC Energy Acquisition Corp.) pursuant to an effective registration statement under the Securities Act, which we expect to be December 31, 2026, (ii) the last day of the fiscal year in which its total annual gross revenue is equal to or more than $1.235 billion, (iii) the date on which it has issued more than $1.0 billion in nonconvertible debt during the previous three years or (iv) the date on which it is deemed to be a large accelerated filer under the rules of the SEC. Upon losing emerging growth company status, which we expect to occur on December 31, 2026, we will be required to adopt any deferred accounting standards and will no longer be eligible for the related reduced disclosure accommodations, including for purposes of our Annual Report on Form 10-K for the fiscal year ending December 31,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consist principally of cash and cash equivalents and accounts receivable. We maintain cash and cash equivalents with major and reputable financial institutions. Deposits held with the financial institutions may exceed the amount of insurance provided by the Canada Deposit Insurance Corporation, Federal Deposit Insurance Corporation and the U.K. Financial Services Compensation Scheme on such deposits but may be redeemed upon demand. We perform periodic evaluations of the relative credit standing of the financial institutions. With respect to accounts receivable, we monitor the credit quality of our customers as well as maintain an allowance for current expected credit losses resulting from the inability of customers to make required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 discussion of concentration risk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customers are primarily located in the United States, Canada, and across the Eastern Hemisphere. Therefore, foreign exchange risk exposures arise from transactions denominated in currencies other than the United States dollar, which is our reporting currency and the functional currency of our U.S. operations. To date, a majority of our sales have been denominated in United States and Canadian dollars. As we expand our presence in international markets, including upon completion of the Saltire Acquisition, which will substantially increase our pound sterling-denominated operations, our results of operations and cash flows may increasingly be subject to fluctuations due to changes in foreign currency exchange rates and may be adversely affected in the future due to changes in foreign exchange rates. In addition, the cash consideration for the Saltire Acquisition is denominated in pounds sterling, and changes in the U.S. dollar/pound sterling exchange rate prior to closing will affect the U.S. dollar amount required to fund it. To date, we have not entered into any hedging arrangements to minimize the impact of these fluctuations in the exchange rates. We will periodically reassess our approach to manage our risk relating to fluctuations in currency rates.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demand for our products and services depends on the level of drilling activity by exploration and production companies, which is influenced significantly by prevailing and expected prices for oil and natural gas. Oil and natural gas prices have historically been volatile and may be affected by, among other things, global supply and demand, actions of OPEC+, geopolitical events and economic conditions. A sustained decline in commodity prices could reduce rig counts and customer capital spending, which could adversely affect our revenue, utilization of our rental tool fleet and results of operations. We do not use derivative instruments to hedge commodity price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 trade practices. Foreign governments have imposed, and may impose in the future, retaliatory tariffs on goods that their countries import from the U.S. Such changes can make it difficult or costly for us to do business in, or import our products from, those countries.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 risks. There is no assurance that these efforts will fully mitigate cybersecurity risk and mitigation efforts are not an assurance that no cybersecurity incidents will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report. Our disclosure controls and procedures are designed to provide reasonable assurance that the information required to be disclosed by us in reports that we file or submit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September 30, 2026 at the reasonable assurance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2026 that have materially affected, or are reasonably likely to materially affect, our internal control over financial reporting.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Part I, Item 1, Note 15 to our condensed consolidated financial statements entitled “Commitments and Contingencies,” which is incorporated in this item by reference. As of the date of this Report, no litigation has been filed relating to the Saltire Acquisition or the proposed Section 204 ratification.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Annual Report on Form 10-K for the fiscal year ended December 31, 2025, filed with the SEC on March 6, 2026 (the “Annual Report”),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Except as set forth below, there have been no material changes to the risk factors that appear in the Annual Report as of the date of this Report. The risk factors below should be read together with the risk factors in the Annual Report and in our registration statement on Form S-4 filed with the SEC on October 9, 2026 (as it may be amended from time to time). Additional risks and uncertainties not currently known to us or that we currently deem to be immaterial may also materially and adversely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Saltire Acquisition is subject to conditions, some of which are outside our control, and may not be completed on the anticipated timeline or at 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Completion of the Saltire Acquisition is subject to conditions, including the effectiveness of our registration statement on Form S-4, approval by our stockholders of the share issuance and the Section 204 ratification (or a Section 205 validation order), Nasdaq listing approval and the Buyer obtaining the required financing. The Purchase Agreement does not permit our Board to change its recommendation in response to a superior proposal and does not provide a termination right if our stockholders fail to approve the applicable proposals. If the transaction is not completed by March 31, 2027, it may be terminated. If the Saltire Acquisition is not completed, we will have incurred significant costs without realizing the expected benefits, and the market price of our Common Stock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substantial additional indebtedness to finance the Saltire Acquisition, and the financing may not be available on acceptable terms.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fund the cash consideration through new debt financing, which may include a senior secured bond issue, and borrowings under the Credit Facility Agreement. Increased indebtedness will increase our interest expense and may subject us to restrictive covenants that limit our operating flexibility. If we are unable to obtain financing by November 30, 2026, the Seller Representative may, in certain circumstances, terminate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in the Saltire Acquisition will dilute our existing stockholders, and future sales by the Sellers could depress our stock price.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a fixed 17,355,139 shares of Common Stock to the Sellers, who are expected to own approximately 30% of our outstanding Common Stock following closing, and the number of shares will not be adjusted for changes in our stock price. The Sellers will have the right to designate a director or board observer, and following expiration of the lock-up restrictions, which release in tranches at 12, 18 and 24 months after closing, sales of these shares could adversely affect the market price of our Common Stock.</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Saltire Acquisition, and the acquisition will increase our exposure to international operations and foreign currency fluctuations.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operates primarily in the United Kingdom, Norway, the United Arab Emirates, Singapore and Malaysia, and its results are largely denominated in British pounds sterling. Integrating the Group may be more difficult, costly or time-consuming than expected, and fluctuations in the U.S. dollar/British pound sterling exchange rate may affect the U.S. dollar cost of the cash consideration and our reported results. Following completion of the Saltire Acquisition, we will also be subject to additional legal, regulatory, tax and compliance requirements in these jurisdictions, including anti-corruption, sanctions and export control laws, which may increase our costs and exposure to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There were no shares repurchased during the three months ended September 30, 2026. There were no unregistered sales of equity securities during the three months ended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none of our officers and directors adopted, modified, or terminated any contract, instruction, or written plan for the purchase or sale of our securities intended to satisfy the affirmative defense conditions of Rule 10b5-1(c) or any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10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0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974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Share Purchase Agreement, dated as of October 8, 2026, by and among Drilling Tools International Corporation, Casing Technologies</w:t>
              </w:r>
            </w:hyperlink>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Group Limited, Saltire Energy Limited, Foxley Energy Limited, the Sellers named therein and Jack William Loggie, as Seller</w:t>
              </w:r>
            </w:hyperlink>
          </w:p>
        </w:tc>
        <w:tc>
          <w:tcPr>
            <w:tcW w:w="10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Representative (incorporated by reference to Exhibit 2.1 to the Company’s Current Report on Form 8-K filed with the SEC on October 8,</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07">
              <w:r>
                <w:rPr>
                  <w:rFonts w:ascii="Times New Roman" w:cs="Times New Roman" w:eastAsia="Times New Roman" w:hAnsi="Times New Roman"/>
                  <w:sz w:val="18"/>
                  <w:szCs w:val="18"/>
                  <w:color w:val="0000FF"/>
                  <w:w w:val="94"/>
                </w:rPr>
                <w:t>2026).</w:t>
              </w:r>
            </w:hyperlink>
          </w:p>
        </w:tc>
        <w:tc>
          <w:tcPr>
            <w:tcW w:w="20" w:type="dxa"/>
            <w:vAlign w:val="bottom"/>
            <w:tcBorders>
              <w:bottom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6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Lock-up and Investor Rights Agreement, dated as of October 8, 2026, by and among Drilling Tools International Corporation and the</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Sellers named therein (incorporated by reference to Exhibit 10.1 to the Company’s Current Report on Form 8-K filed with the SEC on</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October 8, 2026).</w:t>
              </w:r>
            </w:hyperlink>
          </w:p>
        </w:tc>
        <w:tc>
          <w:tcPr>
            <w:tcW w:w="20" w:type="dxa"/>
            <w:vAlign w:val="bottom"/>
            <w:tcBorders>
              <w:bottom w:val="single" w:sz="8" w:color="0000EE"/>
            </w:tcBorders>
          </w:tcPr>
          <w:p>
            <w:pPr>
              <w:spacing w:after="0"/>
              <w:rPr>
                <w:sz w:val="17"/>
                <w:szCs w:val="17"/>
                <w:color w:val="auto"/>
              </w:rPr>
            </w:pPr>
          </w:p>
        </w:tc>
        <w:tc>
          <w:tcPr>
            <w:tcW w:w="88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20" w:type="dxa"/>
            <w:vAlign w:val="bottom"/>
            <w:tcBorders>
              <w:right w:val="single" w:sz="8" w:color="0000EE"/>
            </w:tcBorders>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20" w:type="dxa"/>
            <w:vAlign w:val="bottom"/>
            <w:tcBorders>
              <w:right w:val="single" w:sz="8" w:color="0000EE"/>
            </w:tcBorders>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91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91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7" w:lineRule="exact"/>
        <w:rPr>
          <w:sz w:val="20"/>
          <w:szCs w:val="20"/>
          <w:color w:val="auto"/>
        </w:rPr>
      </w:pPr>
    </w:p>
    <w:p>
      <w:pPr>
        <w:ind w:right="20" w:firstLine="8"/>
        <w:spacing w:after="0" w:line="250" w:lineRule="auto"/>
        <w:tabs>
          <w:tab w:leader="none" w:pos="1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Drilling Tools International Corporation</w:t>
      </w:r>
    </w:p>
    <w:p>
      <w:pPr>
        <w:spacing w:after="0" w:line="19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November 6, 2026</w:t>
      </w:r>
      <w:r>
        <w:rPr>
          <w:sz w:val="20"/>
          <w:szCs w:val="20"/>
          <w:color w:val="auto"/>
        </w:rPr>
        <w:tab/>
      </w:r>
      <w:r>
        <w:rPr>
          <w:rFonts w:ascii="Arial" w:cs="Arial" w:eastAsia="Arial" w:hAnsi="Arial"/>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David R. Johnson</w:t>
      </w:r>
    </w:p>
    <w:p>
      <w:pPr>
        <w:ind w:left="60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2"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 Wayne Prejean</w:t>
      </w:r>
    </w:p>
    <w:p>
      <w:pPr>
        <w:jc w:val="center"/>
        <w:ind w:left="6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David R. Johnson</w:t>
      </w: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September 30, 2026 as filed with the Securities and Exchange Commission on the date hereof (the “Report”), I certify, pursuant to 18 U.S.C.</w:t>
      </w: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193" w:lineRule="exact"/>
        <w:rPr>
          <w:rFonts w:ascii="Arial" w:cs="Arial" w:eastAsia="Arial" w:hAnsi="Arial"/>
          <w:sz w:val="18"/>
          <w:szCs w:val="18"/>
          <w:color w:val="auto"/>
        </w:rPr>
      </w:pPr>
    </w:p>
    <w:p>
      <w:pPr>
        <w:ind w:left="1020" w:hanging="503"/>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September 30, 2026 as filed with the Securities and Exchange Commission on the date hereof (the “Report”), I certify, pursuant to 18 U.S.C.</w:t>
      </w: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193" w:lineRule="exact"/>
        <w:rPr>
          <w:rFonts w:ascii="Arial" w:cs="Arial" w:eastAsia="Arial" w:hAnsi="Arial"/>
          <w:sz w:val="18"/>
          <w:szCs w:val="18"/>
          <w:color w:val="auto"/>
        </w:rPr>
      </w:pPr>
    </w:p>
    <w:p>
      <w:pPr>
        <w:ind w:left="1020" w:hanging="503"/>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November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lvl w:ilvl="1">
      <w:lvlJc w:val="left"/>
      <w:lvlText w:val="(%2)"/>
      <w:numFmt w:val="decimal"/>
      <w:start w:val="1"/>
    </w:lvl>
  </w:abstractNum>
  <w:abstractNum w:abstractNumId="13">
    <w:nsid w:val="DED726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07" Type="http://schemas.openxmlformats.org/officeDocument/2006/relationships/hyperlink" Target="https://www.sec.gov/Archives/edgar/data/1884516/000119312526417370/d168409dex21.htm" TargetMode="External"/><Relationship Id="rId408" Type="http://schemas.openxmlformats.org/officeDocument/2006/relationships/hyperlink" Target="https://www.sec.gov/Archives/edgar/data/1884516/000119312526417370/d16840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2026-11-06T11:26:29Z</dcterms:created>
  <dcterms:modified xsi:type="dcterms:W3CDTF">2026-11-06T11:26:29Z</dcterms:modified>
</cp:coreProperties>
</file>