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92075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109855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720" w:right="1540" w:hanging="3699"/>
        <w:spacing w:after="0" w:line="335"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3" w:lineRule="exact"/>
        <w:rPr>
          <w:sz w:val="24"/>
          <w:szCs w:val="24"/>
          <w:color w:val="auto"/>
        </w:rPr>
      </w:pPr>
    </w:p>
    <w:p>
      <w:pPr>
        <w:ind w:left="3800" w:right="1540" w:hanging="3779"/>
        <w:spacing w:after="0" w:line="367" w:lineRule="auto"/>
        <w:tabs>
          <w:tab w:leader="none" w:pos="47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 to ____</w:t>
      </w: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102870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DRILLING TOOLS INTERNATIONAL CORPORATION</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83185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p>
      <w:pPr>
        <w:spacing w:after="0" w:line="220"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87-2488708</w:t>
      </w:r>
    </w:p>
    <w:p>
      <w:pPr>
        <w:spacing w:after="0" w:line="34"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0" w:lineRule="exact"/>
        <w:rPr>
          <w:sz w:val="24"/>
          <w:szCs w:val="24"/>
          <w:color w:val="auto"/>
        </w:rPr>
      </w:pPr>
    </w:p>
    <w:p>
      <w:pPr>
        <w:sectPr>
          <w:pgSz w:w="11900" w:h="16838" w:orient="portrait"/>
          <w:cols w:equalWidth="0" w:num="2">
            <w:col w:w="7180" w:space="720"/>
            <w:col w:w="3340"/>
          </w:cols>
          <w:pgMar w:left="320" w:top="1352" w:right="339" w:bottom="1440" w:gutter="0" w:footer="0" w:header="0"/>
          <w:type w:val="continuous"/>
        </w:sectPr>
      </w:pPr>
    </w:p>
    <w:tbl>
      <w:tblPr>
        <w:tblLayout w:type="fixed"/>
        <w:tblInd w:w="1640" w:type="dxa"/>
        <w:tblCellMar>
          <w:top w:w="0" w:type="dxa"/>
          <w:left w:w="0" w:type="dxa"/>
          <w:bottom w:w="0" w:type="dxa"/>
          <w:right w:w="0" w:type="dxa"/>
        </w:tblCellMar>
      </w:tblPr>
      <w:tr>
        <w:trPr>
          <w:trHeight w:val="207"/>
        </w:trPr>
        <w:tc>
          <w:tcPr>
            <w:tcW w:w="4420" w:type="dxa"/>
            <w:vAlign w:val="bottom"/>
          </w:tcPr>
          <w:p>
            <w:pPr>
              <w:jc w:val="center"/>
              <w:ind w:right="1977"/>
              <w:spacing w:after="0"/>
              <w:rPr>
                <w:sz w:val="20"/>
                <w:szCs w:val="20"/>
                <w:color w:val="auto"/>
              </w:rPr>
            </w:pPr>
            <w:r>
              <w:rPr>
                <w:rFonts w:ascii="Arial" w:cs="Arial" w:eastAsia="Arial" w:hAnsi="Arial"/>
                <w:sz w:val="18"/>
                <w:szCs w:val="18"/>
                <w:b w:val="1"/>
                <w:bCs w:val="1"/>
                <w:color w:val="auto"/>
              </w:rPr>
              <w:t>3701 Briarpark Drive</w:t>
            </w:r>
          </w:p>
        </w:tc>
        <w:tc>
          <w:tcPr>
            <w:tcW w:w="2680" w:type="dxa"/>
            <w:vAlign w:val="bottom"/>
          </w:tcPr>
          <w:p>
            <w:pPr>
              <w:spacing w:after="0"/>
              <w:rPr>
                <w:sz w:val="18"/>
                <w:szCs w:val="18"/>
                <w:color w:val="auto"/>
              </w:rPr>
            </w:pPr>
          </w:p>
        </w:tc>
      </w:tr>
      <w:tr>
        <w:trPr>
          <w:trHeight w:val="216"/>
        </w:trPr>
        <w:tc>
          <w:tcPr>
            <w:tcW w:w="4420" w:type="dxa"/>
            <w:vAlign w:val="bottom"/>
          </w:tcPr>
          <w:p>
            <w:pPr>
              <w:jc w:val="center"/>
              <w:ind w:right="1977"/>
              <w:spacing w:after="0"/>
              <w:rPr>
                <w:sz w:val="20"/>
                <w:szCs w:val="20"/>
                <w:color w:val="auto"/>
              </w:rPr>
            </w:pPr>
            <w:r>
              <w:rPr>
                <w:rFonts w:ascii="Arial" w:cs="Arial" w:eastAsia="Arial" w:hAnsi="Arial"/>
                <w:sz w:val="18"/>
                <w:szCs w:val="18"/>
                <w:b w:val="1"/>
                <w:bCs w:val="1"/>
                <w:color w:val="auto"/>
              </w:rPr>
              <w:t>Suite 150</w:t>
            </w:r>
          </w:p>
        </w:tc>
        <w:tc>
          <w:tcPr>
            <w:tcW w:w="2680" w:type="dxa"/>
            <w:vAlign w:val="bottom"/>
          </w:tcPr>
          <w:p>
            <w:pPr>
              <w:spacing w:after="0"/>
              <w:rPr>
                <w:sz w:val="18"/>
                <w:szCs w:val="18"/>
                <w:color w:val="auto"/>
              </w:rPr>
            </w:pPr>
          </w:p>
        </w:tc>
      </w:tr>
      <w:tr>
        <w:trPr>
          <w:trHeight w:val="244"/>
        </w:trPr>
        <w:tc>
          <w:tcPr>
            <w:tcW w:w="4420" w:type="dxa"/>
            <w:vAlign w:val="bottom"/>
          </w:tcPr>
          <w:p>
            <w:pPr>
              <w:jc w:val="center"/>
              <w:ind w:right="1977"/>
              <w:spacing w:after="0"/>
              <w:rPr>
                <w:sz w:val="20"/>
                <w:szCs w:val="20"/>
                <w:color w:val="auto"/>
              </w:rPr>
            </w:pPr>
            <w:r>
              <w:rPr>
                <w:rFonts w:ascii="Arial" w:cs="Arial" w:eastAsia="Arial" w:hAnsi="Arial"/>
                <w:sz w:val="18"/>
                <w:szCs w:val="18"/>
                <w:b w:val="1"/>
                <w:bCs w:val="1"/>
                <w:color w:val="auto"/>
                <w:w w:val="98"/>
              </w:rPr>
              <w:t>Houston, Texas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77042</w:t>
            </w:r>
          </w:p>
        </w:tc>
      </w:tr>
      <w:tr>
        <w:trPr>
          <w:trHeight w:val="172"/>
        </w:trPr>
        <w:tc>
          <w:tcPr>
            <w:tcW w:w="4420" w:type="dxa"/>
            <w:vAlign w:val="bottom"/>
          </w:tcPr>
          <w:p>
            <w:pPr>
              <w:jc w:val="center"/>
              <w:ind w:right="197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4"/>
              <w:spacing w:after="0"/>
              <w:rPr>
                <w:sz w:val="20"/>
                <w:szCs w:val="20"/>
                <w:color w:val="auto"/>
              </w:rPr>
            </w:pPr>
            <w:r>
              <w:rPr>
                <w:rFonts w:ascii="Arial" w:cs="Arial" w:eastAsia="Arial" w:hAnsi="Arial"/>
                <w:sz w:val="13"/>
                <w:szCs w:val="13"/>
                <w:b w:val="1"/>
                <w:bCs w:val="1"/>
                <w:color w:val="auto"/>
                <w:w w:val="96"/>
              </w:rPr>
              <w:t>(Zip Code)</w:t>
            </w:r>
          </w:p>
        </w:tc>
      </w:tr>
    </w:tbl>
    <w:p>
      <w:pPr>
        <w:spacing w:after="0" w:line="43"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102870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6" w:lineRule="exact"/>
        <w:rPr>
          <w:sz w:val="24"/>
          <w:szCs w:val="24"/>
          <w:color w:val="auto"/>
        </w:rPr>
      </w:pPr>
    </w:p>
    <w:p>
      <w:pPr>
        <w:ind w:left="6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85"/>
        </w:trPr>
        <w:tc>
          <w:tcPr>
            <w:tcW w:w="46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2"/>
        </w:trPr>
        <w:tc>
          <w:tcPr>
            <w:tcW w:w="4620" w:type="dxa"/>
            <w:vAlign w:val="bottom"/>
          </w:tcPr>
          <w:p>
            <w:pPr>
              <w:ind w:left="20"/>
              <w:spacing w:after="0"/>
              <w:rPr>
                <w:sz w:val="20"/>
                <w:szCs w:val="20"/>
                <w:color w:val="auto"/>
              </w:rPr>
            </w:pPr>
            <w:r>
              <w:rPr>
                <w:rFonts w:ascii="Arial" w:cs="Arial" w:eastAsia="Arial" w:hAnsi="Arial"/>
                <w:sz w:val="18"/>
                <w:szCs w:val="18"/>
                <w:color w:val="auto"/>
              </w:rPr>
              <w:t>Common stock, par value $0.0001 per share</w:t>
            </w:r>
          </w:p>
        </w:tc>
        <w:tc>
          <w:tcPr>
            <w:tcW w:w="1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DTI</w:t>
            </w:r>
          </w:p>
        </w:tc>
        <w:tc>
          <w:tcPr>
            <w:tcW w:w="10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14" w:lineRule="exact"/>
        <w:rPr>
          <w:sz w:val="24"/>
          <w:szCs w:val="24"/>
          <w:color w:val="auto"/>
        </w:rPr>
      </w:pPr>
    </w:p>
    <w:p>
      <w:pPr>
        <w:ind w:right="100" w:firstLine="509"/>
        <w:spacing w:after="0" w:line="24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173" w:lineRule="exact"/>
        <w:tabs>
          <w:tab w:leader="none" w:pos="1100" w:val="left"/>
          <w:tab w:leader="none" w:pos="1740" w:val="left"/>
        </w:tabs>
        <w:rPr>
          <w:sz w:val="20"/>
          <w:szCs w:val="20"/>
          <w:color w:val="auto"/>
        </w:rPr>
      </w:pPr>
      <w:r>
        <w:rPr>
          <w:rFonts w:ascii="Arial" w:cs="Arial" w:eastAsia="Arial" w:hAnsi="Arial"/>
          <w:sz w:val="15"/>
          <w:szCs w:val="15"/>
          <w:color w:val="auto"/>
        </w:rPr>
        <w:t>past 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0" w:lineRule="exact"/>
        <w:rPr>
          <w:sz w:val="24"/>
          <w:szCs w:val="24"/>
          <w:color w:val="auto"/>
        </w:rPr>
      </w:pPr>
    </w:p>
    <w:p>
      <w:pPr>
        <w:ind w:right="180" w:firstLine="509"/>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right="300" w:firstLine="509"/>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21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8"/>
        </w:trPr>
        <w:tc>
          <w:tcPr>
            <w:tcW w:w="2160" w:type="dxa"/>
            <w:vAlign w:val="bottom"/>
          </w:tcPr>
          <w:p>
            <w:pPr>
              <w:spacing w:after="0"/>
              <w:rPr>
                <w:sz w:val="20"/>
                <w:szCs w:val="20"/>
                <w:color w:val="auto"/>
              </w:rPr>
            </w:pPr>
            <w:r>
              <w:rPr>
                <w:rFonts w:ascii="Arial" w:cs="Arial" w:eastAsia="Arial" w:hAnsi="Arial"/>
                <w:sz w:val="15"/>
                <w:szCs w:val="15"/>
                <w:color w:val="auto"/>
              </w:rPr>
              <w:t>Non-accelerated filer</w:t>
            </w:r>
          </w:p>
        </w:tc>
        <w:tc>
          <w:tcPr>
            <w:tcW w:w="3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02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1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47" w:lineRule="exact"/>
        <w:rPr>
          <w:sz w:val="24"/>
          <w:szCs w:val="24"/>
          <w:color w:val="auto"/>
        </w:rPr>
      </w:pPr>
    </w:p>
    <w:p>
      <w:pPr>
        <w:ind w:right="260" w:firstLine="509"/>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left="520"/>
        <w:spacing w:after="0" w:line="173" w:lineRule="exact"/>
        <w:tabs>
          <w:tab w:leader="none" w:pos="8340" w:val="left"/>
          <w:tab w:leader="none" w:pos="89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06" w:lineRule="exact"/>
        <w:rPr>
          <w:sz w:val="24"/>
          <w:szCs w:val="24"/>
          <w:color w:val="auto"/>
        </w:rPr>
      </w:pPr>
    </w:p>
    <w:p>
      <w:pPr>
        <w:ind w:right="180" w:firstLine="509"/>
        <w:spacing w:after="0" w:line="199" w:lineRule="exact"/>
        <w:rPr>
          <w:sz w:val="20"/>
          <w:szCs w:val="20"/>
          <w:color w:val="auto"/>
        </w:rPr>
      </w:pPr>
      <w:r>
        <w:rPr>
          <w:rFonts w:ascii="Arial" w:cs="Arial" w:eastAsia="Arial" w:hAnsi="Arial"/>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August 9, 2024, the registrant had 34,704,696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300" w:type="dxa"/>
            <w:vAlign w:val="bottom"/>
            <w:gridSpan w:val="22"/>
            <w:vMerge w:val="restart"/>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2"/>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4540" w:type="dxa"/>
            <w:vAlign w:val="bottom"/>
            <w:tcBorders>
              <w:top w:val="single" w:sz="8" w:color="0000FF"/>
            </w:tcBorders>
            <w:gridSpan w:val="14"/>
          </w:tcPr>
          <w:p>
            <w:pPr>
              <w:spacing w:after="0" w:line="195" w:lineRule="exact"/>
              <w:rPr>
                <w:sz w:val="20"/>
                <w:szCs w:val="20"/>
                <w:color w:val="auto"/>
              </w:rPr>
            </w:pPr>
            <w:r>
              <w:rPr>
                <w:rFonts w:ascii="Arial" w:cs="Arial" w:eastAsia="Arial" w:hAnsi="Arial"/>
                <w:sz w:val="18"/>
                <w:szCs w:val="18"/>
                <w:color w:val="0000FF"/>
              </w:rPr>
              <w:t>FINANCIAL INFORMATION</w:t>
            </w:r>
          </w:p>
        </w:tc>
        <w:tc>
          <w:tcPr>
            <w:tcW w:w="476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1.</w:t>
            </w: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300" w:type="dxa"/>
            <w:vAlign w:val="bottom"/>
            <w:gridSpan w:val="22"/>
          </w:tcPr>
          <w:p>
            <w:pPr>
              <w:spacing w:after="0" w:line="195" w:lineRule="exact"/>
              <w:rPr>
                <w:sz w:val="20"/>
                <w:szCs w:val="20"/>
                <w:color w:val="auto"/>
              </w:rPr>
            </w:pPr>
            <w:r>
              <w:rPr>
                <w:rFonts w:ascii="Arial" w:cs="Arial" w:eastAsia="Arial" w:hAnsi="Arial"/>
                <w:sz w:val="18"/>
                <w:szCs w:val="18"/>
                <w:color w:val="0000FF"/>
              </w:rPr>
              <w:t>Condensed Consolidated Financial Statements (Unaudited)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10"/>
          </w:tcPr>
          <w:p>
            <w:pPr>
              <w:spacing w:after="0" w:line="195"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1380" w:type="dxa"/>
            <w:vAlign w:val="bottom"/>
            <w:tcBorders>
              <w:top w:val="single" w:sz="8" w:color="0000FF"/>
            </w:tcBorders>
            <w:gridSpan w:val="5"/>
          </w:tcPr>
          <w:p>
            <w:pPr>
              <w:spacing w:after="0"/>
              <w:rPr>
                <w:sz w:val="17"/>
                <w:szCs w:val="17"/>
                <w:color w:val="auto"/>
              </w:rPr>
            </w:pPr>
          </w:p>
        </w:tc>
        <w:tc>
          <w:tcPr>
            <w:tcW w:w="4560" w:type="dxa"/>
            <w:vAlign w:val="bottom"/>
            <w:gridSpan w:val="6"/>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22"/>
          </w:tcPr>
          <w:p>
            <w:pPr>
              <w:spacing w:after="0" w:line="195" w:lineRule="exact"/>
              <w:rPr>
                <w:sz w:val="20"/>
                <w:szCs w:val="20"/>
                <w:color w:val="auto"/>
              </w:rPr>
            </w:pPr>
            <w:r>
              <w:rPr>
                <w:rFonts w:ascii="Arial" w:cs="Arial" w:eastAsia="Arial" w:hAnsi="Arial"/>
                <w:sz w:val="18"/>
                <w:szCs w:val="18"/>
                <w:color w:val="0000FF"/>
              </w:rPr>
              <w:t>Condensed Consolidated Statements of Income and Comprehensive Income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22"/>
          </w:tcPr>
          <w:p>
            <w:pPr>
              <w:spacing w:after="0" w:line="195" w:lineRule="exact"/>
              <w:rPr>
                <w:sz w:val="20"/>
                <w:szCs w:val="20"/>
                <w:color w:val="auto"/>
              </w:rPr>
            </w:pPr>
            <w:r>
              <w:rPr>
                <w:rFonts w:ascii="Arial" w:cs="Arial" w:eastAsia="Arial" w:hAnsi="Arial"/>
                <w:sz w:val="18"/>
                <w:szCs w:val="18"/>
                <w:color w:val="0000FF"/>
              </w:rPr>
              <w:t>Condensed Consolidated Statements of Changes in Redeemable Convertible Preferred Stock and Shareholders'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2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Equity</w:t>
            </w:r>
          </w:p>
        </w:tc>
        <w:tc>
          <w:tcPr>
            <w:tcW w:w="2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80" w:type="dxa"/>
            <w:vAlign w:val="bottom"/>
            <w:tcBorders>
              <w:bottom w:val="single" w:sz="8" w:color="0000FF"/>
            </w:tcBorders>
            <w:gridSpan w:val="12"/>
          </w:tcPr>
          <w:p>
            <w:pPr>
              <w:spacing w:after="0" w:line="195"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100" w:type="dxa"/>
            <w:vAlign w:val="bottom"/>
            <w:gridSpan w:val="9"/>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22"/>
          </w:tcPr>
          <w:p>
            <w:pPr>
              <w:spacing w:after="0" w:line="195" w:lineRule="exact"/>
              <w:rPr>
                <w:sz w:val="20"/>
                <w:szCs w:val="20"/>
                <w:color w:val="auto"/>
              </w:rPr>
            </w:pPr>
            <w:r>
              <w:rPr>
                <w:rFonts w:ascii="Arial" w:cs="Arial" w:eastAsia="Arial" w:hAnsi="Arial"/>
                <w:sz w:val="18"/>
                <w:szCs w:val="18"/>
                <w:color w:val="0000FF"/>
              </w:rPr>
              <w:t>Notes to Condensed Consolidated Financial Statements (Unaudited)</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7080" w:type="dxa"/>
            <w:vAlign w:val="bottom"/>
            <w:tcBorders>
              <w:bottom w:val="single" w:sz="8" w:color="0000FF"/>
            </w:tcBorders>
            <w:gridSpan w:val="20"/>
          </w:tcPr>
          <w:p>
            <w:pPr>
              <w:spacing w:after="0" w:line="195"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20" w:type="dxa"/>
            <w:vAlign w:val="bottom"/>
            <w:gridSpan w:val="2"/>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FF"/>
            </w:tcBorders>
            <w:gridSpan w:val="15"/>
          </w:tcPr>
          <w:p>
            <w:pPr>
              <w:spacing w:after="0" w:line="195"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580" w:type="dxa"/>
            <w:vAlign w:val="bottom"/>
            <w:gridSpan w:val="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5"/>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98"/>
              </w:rPr>
              <w:t>OTHER INFORMATION</w:t>
            </w:r>
          </w:p>
        </w:tc>
        <w:tc>
          <w:tcPr>
            <w:tcW w:w="7360" w:type="dxa"/>
            <w:vAlign w:val="bottom"/>
            <w:gridSpan w:val="16"/>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7800" w:type="dxa"/>
            <w:vAlign w:val="bottom"/>
            <w:gridSpan w:val="1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9300" w:type="dxa"/>
            <w:vAlign w:val="bottom"/>
            <w:gridSpan w:val="22"/>
          </w:tcPr>
          <w:p>
            <w:pPr>
              <w:spacing w:after="0" w:line="195"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4860" w:type="dxa"/>
            <w:vAlign w:val="bottom"/>
            <w:tcBorders>
              <w:bottom w:val="single" w:sz="8" w:color="0000FF"/>
            </w:tcBorders>
            <w:gridSpan w:val="17"/>
          </w:tcPr>
          <w:p>
            <w:pPr>
              <w:spacing w:after="0" w:line="195"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5"/>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9"/>
          </w:tcPr>
          <w:p>
            <w:pPr>
              <w:spacing w:after="0" w:line="195" w:lineRule="exact"/>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3"/>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6"/>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line="195"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4"/>
          </w:tcPr>
          <w:p>
            <w:pPr>
              <w:spacing w:after="0" w:line="195" w:lineRule="exact"/>
              <w:rPr>
                <w:sz w:val="20"/>
                <w:szCs w:val="20"/>
                <w:color w:val="auto"/>
              </w:rPr>
            </w:pPr>
            <w:r>
              <w:rPr>
                <w:rFonts w:ascii="Arial" w:cs="Arial" w:eastAsia="Arial" w:hAnsi="Arial"/>
                <w:sz w:val="18"/>
                <w:szCs w:val="18"/>
                <w:color w:val="0000FF"/>
              </w:rPr>
              <w:t>Exhibits</w:t>
            </w:r>
          </w:p>
        </w:tc>
        <w:tc>
          <w:tcPr>
            <w:tcW w:w="7900" w:type="dxa"/>
            <w:vAlign w:val="bottom"/>
            <w:gridSpan w:val="18"/>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0000FF"/>
              </w:rPr>
              <w:t>Signatures</w:t>
            </w:r>
          </w:p>
        </w:tc>
        <w:tc>
          <w:tcPr>
            <w:tcW w:w="5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241"/>
        </w:trPr>
        <w:tc>
          <w:tcPr>
            <w:tcW w:w="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Certain statements in this Report on Form 10-Q (this “Report”) may constitute "forward-looking statements" for purposes of the federal securities laws. These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Forward-looking statements in this Report may include, for example, statements about:</w:t>
      </w:r>
    </w:p>
    <w:p>
      <w:pPr>
        <w:spacing w:after="0" w:line="199"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influenced by the general level activity in the oil and gas industry;</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oilfield services industry;</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Israel-Hamas conflicts on the global economy;</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Amended and Restated Revolving Credit, Security and Guaranty Agreement among Drilling Tools International, Inc., certain of its subsidiaries, Drilling Tools International Corporation and PNC Bank, National Association, dated as of March 15, 2024 (the “Credit Facility Agreement”);</w:t>
      </w:r>
    </w:p>
    <w:p>
      <w:pPr>
        <w:spacing w:after="0" w:line="17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22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162"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information technology systems, in particular Customer Order Management Portal and Support System, for the efficient operation of our business;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left="1020" w:right="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DTIC Common Stock;</w:t>
      </w:r>
    </w:p>
    <w:p>
      <w:pPr>
        <w:spacing w:after="0" w:line="22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legal, accounting, administrative and other costs incurred as a public company, including the impact of possible shareholder litigation;</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DTIC Common Stock or other equity securities;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DTIC Common Stock on Nasdaq;</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or securities analysts changing their recommendation, or failing to cover, the DTIC Common Stock;</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 “controlled company;” and</w:t>
      </w:r>
    </w:p>
    <w:p>
      <w:pPr>
        <w:spacing w:after="0" w:line="2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Report, including those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this Report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by us in this Report speak only as of the date of this Report.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Inventories, net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14,609</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Investments - equity securities, at fair value</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60,834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71,223</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65,800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financing costs, net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Deposits and other long-term assets</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166,874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132,498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14,014</w:t>
            </w:r>
          </w:p>
        </w:tc>
        <w:tc>
          <w:tcPr>
            <w:tcW w:w="26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7,719</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30,866</w:t>
            </w:r>
          </w:p>
        </w:tc>
        <w:tc>
          <w:tcPr>
            <w:tcW w:w="26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22,288</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17,814</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74,074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14)</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$0.0001 par value, shares authorized 500,000,000 as of June 30, 2024 and December 31, 2023,</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29,859,564 shares issued and outstanding as of June 30, 2024 and 29,768,568 shares issued and outstanding as of December</w:t>
            </w:r>
          </w:p>
        </w:tc>
        <w:tc>
          <w:tcPr>
            <w:tcW w:w="26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31, 2023</w:t>
            </w:r>
          </w:p>
        </w:tc>
        <w:tc>
          <w:tcPr>
            <w:tcW w:w="26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96,536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(3,105 )</w:t>
            </w: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(6,306 )</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(634 )</w:t>
            </w:r>
          </w:p>
        </w:tc>
        <w:tc>
          <w:tcPr>
            <w:tcW w:w="240" w:type="dxa"/>
            <w:vAlign w:val="bottom"/>
          </w:tcPr>
          <w:p>
            <w:pPr>
              <w:spacing w:after="0"/>
              <w:rPr>
                <w:sz w:val="15"/>
                <w:szCs w:val="15"/>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(225 )</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92,800</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88,690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166,874</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-3295650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-3295650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-2388235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-2371090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-2371090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-1694815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-1240790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-144780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6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Revenue, net:</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 rental</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28,328</w:t>
            </w:r>
          </w:p>
        </w:tc>
        <w:tc>
          <w:tcPr>
            <w:tcW w:w="3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29,002</w:t>
            </w:r>
          </w:p>
        </w:tc>
        <w:tc>
          <w:tcPr>
            <w:tcW w:w="2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58,294</w:t>
            </w:r>
          </w:p>
        </w:tc>
        <w:tc>
          <w:tcPr>
            <w:tcW w:w="2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61,278</w:t>
            </w:r>
          </w:p>
        </w:tc>
        <w:tc>
          <w:tcPr>
            <w:tcW w:w="100" w:type="dxa"/>
            <w:vAlign w:val="bottom"/>
          </w:tcPr>
          <w:p>
            <w:pPr>
              <w:spacing w:after="0"/>
              <w:rPr>
                <w:sz w:val="15"/>
                <w:szCs w:val="15"/>
                <w:color w:val="auto"/>
              </w:rPr>
            </w:pPr>
          </w:p>
        </w:tc>
      </w:tr>
      <w:tr>
        <w:trPr>
          <w:trHeight w:val="175"/>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Product sale</w:t>
            </w: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9,205</w:t>
            </w:r>
          </w:p>
        </w:tc>
        <w:tc>
          <w:tcPr>
            <w:tcW w:w="3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16,213</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17,429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37,533</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74,507</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78,707</w:t>
            </w:r>
          </w:p>
        </w:tc>
        <w:tc>
          <w:tcPr>
            <w:tcW w:w="100" w:type="dxa"/>
            <w:vAlign w:val="bottom"/>
          </w:tcPr>
          <w:p>
            <w:pPr>
              <w:spacing w:after="0"/>
              <w:rPr>
                <w:sz w:val="14"/>
                <w:szCs w:val="14"/>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tool rental revenue</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7,454</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14,455</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15,829</w:t>
            </w:r>
          </w:p>
        </w:tc>
        <w:tc>
          <w:tcPr>
            <w:tcW w:w="100" w:type="dxa"/>
            <w:vAlign w:val="bottom"/>
          </w:tcPr>
          <w:p>
            <w:pPr>
              <w:spacing w:after="0"/>
              <w:rPr>
                <w:sz w:val="15"/>
                <w:szCs w:val="15"/>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product sale revenue</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100" w:type="dxa"/>
            <w:vAlign w:val="bottom"/>
            <w:shd w:val="clear" w:color="auto" w:fill="CFF0FC"/>
          </w:tcPr>
          <w:p>
            <w:pPr>
              <w:spacing w:after="0"/>
              <w:rPr>
                <w:sz w:val="15"/>
                <w:szCs w:val="15"/>
                <w:color w:val="auto"/>
              </w:rPr>
            </w:pP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34,447</w:t>
            </w:r>
          </w:p>
        </w:tc>
        <w:tc>
          <w:tcPr>
            <w:tcW w:w="100" w:type="dxa"/>
            <w:vAlign w:val="bottom"/>
          </w:tcPr>
          <w:p>
            <w:pPr>
              <w:spacing w:after="0"/>
              <w:rPr>
                <w:sz w:val="15"/>
                <w:szCs w:val="15"/>
                <w:color w:val="auto"/>
              </w:rPr>
            </w:pPr>
          </w:p>
        </w:tc>
      </w:tr>
      <w:tr>
        <w:trPr>
          <w:trHeight w:val="175"/>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3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9,732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costs and expenses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35,298</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31,284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67,142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62,468</w:t>
            </w:r>
          </w:p>
        </w:tc>
        <w:tc>
          <w:tcPr>
            <w:tcW w:w="100" w:type="dxa"/>
            <w:vAlign w:val="bottom"/>
          </w:tcPr>
          <w:p>
            <w:pPr>
              <w:spacing w:after="0"/>
              <w:rPr>
                <w:sz w:val="14"/>
                <w:szCs w:val="14"/>
                <w:color w:val="auto"/>
              </w:rPr>
            </w:pPr>
          </w:p>
        </w:tc>
      </w:tr>
      <w:tr>
        <w:trPr>
          <w:trHeight w:val="16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6,624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7,365</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16,239</w:t>
            </w:r>
          </w:p>
        </w:tc>
        <w:tc>
          <w:tcPr>
            <w:tcW w:w="100" w:type="dxa"/>
            <w:vAlign w:val="bottom"/>
            <w:shd w:val="clear" w:color="auto" w:fill="CFF0FC"/>
          </w:tcPr>
          <w:p>
            <w:pPr>
              <w:spacing w:after="0"/>
              <w:rPr>
                <w:sz w:val="14"/>
                <w:szCs w:val="14"/>
                <w:color w:val="auto"/>
              </w:rPr>
            </w:pP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(811 )</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(348 )</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(992 )</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(922 )</w:t>
            </w: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sale of property</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(1 )</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on investments in equity securities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FF0FC"/>
          </w:tcPr>
          <w:p>
            <w:pPr>
              <w:spacing w:after="0"/>
              <w:rPr>
                <w:sz w:val="15"/>
                <w:szCs w:val="15"/>
                <w:color w:val="auto"/>
              </w:rPr>
            </w:pP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32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(1,672 )</w:t>
            </w:r>
          </w:p>
        </w:tc>
        <w:tc>
          <w:tcPr>
            <w:tcW w:w="28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(4,382 )</w:t>
            </w: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(2,798 )</w:t>
            </w:r>
          </w:p>
        </w:tc>
        <w:tc>
          <w:tcPr>
            <w:tcW w:w="3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(6,035 )</w:t>
            </w:r>
          </w:p>
        </w:tc>
      </w:tr>
      <w:tr>
        <w:trPr>
          <w:trHeight w:val="20"/>
        </w:trPr>
        <w:tc>
          <w:tcPr>
            <w:tcW w:w="5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3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(1,952 )</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(4,311 )</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(3,019 )</w:t>
            </w:r>
          </w:p>
        </w:tc>
        <w:tc>
          <w:tcPr>
            <w:tcW w:w="3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(6,502 )</w:t>
            </w:r>
          </w:p>
        </w:tc>
      </w:tr>
      <w:tr>
        <w:trPr>
          <w:trHeight w:val="169"/>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30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26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4,346</w:t>
            </w:r>
          </w:p>
        </w:tc>
        <w:tc>
          <w:tcPr>
            <w:tcW w:w="2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9,737</w:t>
            </w:r>
          </w:p>
        </w:tc>
        <w:tc>
          <w:tcPr>
            <w:tcW w:w="100" w:type="dxa"/>
            <w:vAlign w:val="bottom"/>
            <w:tcBorders>
              <w:top w:val="single" w:sz="8" w:color="CFF0FC"/>
            </w:tcBorders>
          </w:tcPr>
          <w:p>
            <w:pPr>
              <w:spacing w:after="0"/>
              <w:rPr>
                <w:sz w:val="14"/>
                <w:szCs w:val="14"/>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(1,376 )</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(854 )</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(3,099 )</w:t>
            </w:r>
          </w:p>
        </w:tc>
      </w:tr>
      <w:tr>
        <w:trPr>
          <w:trHeight w:val="169"/>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30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26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2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6,638</w:t>
            </w:r>
          </w:p>
        </w:tc>
        <w:tc>
          <w:tcPr>
            <w:tcW w:w="100" w:type="dxa"/>
            <w:vAlign w:val="bottom"/>
            <w:tcBorders>
              <w:top w:val="single" w:sz="8" w:color="CFF0FC"/>
            </w:tcBorders>
          </w:tcPr>
          <w:p>
            <w:pPr>
              <w:spacing w:after="0"/>
              <w:rPr>
                <w:sz w:val="14"/>
                <w:szCs w:val="14"/>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Accumulated dividends on redeemable convertible preferred stock</w:t>
            </w:r>
          </w:p>
        </w:tc>
        <w:tc>
          <w:tcPr>
            <w:tcW w:w="3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FF0FC"/>
          </w:tcPr>
          <w:p>
            <w:pPr>
              <w:spacing w:after="0"/>
              <w:rPr>
                <w:sz w:val="15"/>
                <w:szCs w:val="15"/>
                <w:color w:val="auto"/>
              </w:rPr>
            </w:pPr>
          </w:p>
        </w:tc>
      </w:tr>
      <w:tr>
        <w:trPr>
          <w:trHeight w:val="169"/>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30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26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22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100" w:type="dxa"/>
            <w:vAlign w:val="bottom"/>
            <w:tcBorders>
              <w:top w:val="single" w:sz="8" w:color="CFF0FC"/>
            </w:tcBorders>
          </w:tcPr>
          <w:p>
            <w:pPr>
              <w:spacing w:after="0"/>
              <w:rPr>
                <w:sz w:val="14"/>
                <w:szCs w:val="14"/>
                <w:color w:val="auto"/>
              </w:rPr>
            </w:pPr>
          </w:p>
        </w:tc>
      </w:tr>
      <w:tr>
        <w:trPr>
          <w:trHeight w:val="209"/>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51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Diluted earnings per share</w:t>
            </w:r>
          </w:p>
        </w:tc>
        <w:tc>
          <w:tcPr>
            <w:tcW w:w="320" w:type="dxa"/>
            <w:vAlign w:val="bottom"/>
            <w:tcBorders>
              <w:bottom w:val="single" w:sz="8" w:color="auto"/>
            </w:tcBorders>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0.01</w:t>
            </w:r>
          </w:p>
        </w:tc>
        <w:tc>
          <w:tcPr>
            <w:tcW w:w="30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0.05</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0.12</w:t>
            </w:r>
          </w:p>
        </w:tc>
        <w:tc>
          <w:tcPr>
            <w:tcW w:w="220" w:type="dxa"/>
            <w:vAlign w:val="bottom"/>
          </w:tcPr>
          <w:p>
            <w:pPr>
              <w:spacing w:after="0"/>
              <w:rPr>
                <w:sz w:val="13"/>
                <w:szCs w:val="13"/>
                <w:color w:val="auto"/>
              </w:rPr>
            </w:pPr>
          </w:p>
        </w:tc>
        <w:tc>
          <w:tcPr>
            <w:tcW w:w="300" w:type="dxa"/>
            <w:vAlign w:val="bottom"/>
            <w:tcBorders>
              <w:bottom w:val="single" w:sz="8" w:color="auto"/>
            </w:tcBorders>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3"/>
                <w:szCs w:val="13"/>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1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Basic weighted-average common shares outstanding*</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29,816,202</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13,910,670</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29,792,385</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12,936,310</w:t>
            </w:r>
          </w:p>
        </w:tc>
        <w:tc>
          <w:tcPr>
            <w:tcW w:w="100" w:type="dxa"/>
            <w:vAlign w:val="bottom"/>
            <w:shd w:val="clear" w:color="auto" w:fill="CFF0FC"/>
          </w:tcPr>
          <w:p>
            <w:pPr>
              <w:spacing w:after="0"/>
              <w:rPr>
                <w:sz w:val="13"/>
                <w:szCs w:val="13"/>
                <w:color w:val="auto"/>
              </w:rPr>
            </w:pP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weighted-average common shares outstanding*</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30,873,436</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20,746,976</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30,321,002</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20,217,648</w:t>
            </w:r>
          </w:p>
        </w:tc>
        <w:tc>
          <w:tcPr>
            <w:tcW w:w="100" w:type="dxa"/>
            <w:vAlign w:val="bottom"/>
          </w:tcPr>
          <w:p>
            <w:pPr>
              <w:spacing w:after="0"/>
              <w:rPr>
                <w:sz w:val="15"/>
                <w:szCs w:val="15"/>
                <w:color w:val="auto"/>
              </w:rPr>
            </w:pPr>
          </w:p>
        </w:tc>
      </w:tr>
      <w:tr>
        <w:trPr>
          <w:trHeight w:val="16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3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2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2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6,638</w:t>
            </w:r>
          </w:p>
        </w:tc>
        <w:tc>
          <w:tcPr>
            <w:tcW w:w="100" w:type="dxa"/>
            <w:vAlign w:val="bottom"/>
          </w:tcPr>
          <w:p>
            <w:pPr>
              <w:spacing w:after="0"/>
              <w:rPr>
                <w:sz w:val="15"/>
                <w:szCs w:val="15"/>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(207 )</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(408 )</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(207 )</w:t>
            </w: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3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22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6,431</w:t>
            </w:r>
          </w:p>
        </w:tc>
        <w:tc>
          <w:tcPr>
            <w:tcW w:w="100" w:type="dxa"/>
            <w:vAlign w:val="bottom"/>
          </w:tcPr>
          <w:p>
            <w:pPr>
              <w:spacing w:after="0"/>
              <w:rPr>
                <w:sz w:val="15"/>
                <w:szCs w:val="15"/>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-3159125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-3159125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-3159125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-2482215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-2482215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-2482215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-2482215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-1566545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-1566545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-1566545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-1335405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-1335405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-1335405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-1103630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-1103630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-1103630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-1103630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-864235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-847090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-864235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-847090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-864235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-847090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legacy redeemable convertible preferred stock and legacy common stock have been retroactively restated to give effect to the Merger.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r>
        <w:rPr>
          <w:rFonts w:ascii="Arial" w:cs="Arial" w:eastAsia="Arial" w:hAnsi="Arial"/>
          <w:sz w:val="17"/>
          <w:szCs w:val="17"/>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DRILLING TOOLS INTERNATIONAL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920" w:type="dxa"/>
            <w:vAlign w:val="bottom"/>
            <w:gridSpan w:val="3"/>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640" w:type="dxa"/>
            <w:vAlign w:val="bottom"/>
          </w:tcPr>
          <w:p>
            <w:pPr>
              <w:spacing w:after="0"/>
              <w:rPr>
                <w:sz w:val="11"/>
                <w:szCs w:val="11"/>
                <w:color w:val="auto"/>
              </w:rPr>
            </w:pPr>
          </w:p>
        </w:tc>
        <w:tc>
          <w:tcPr>
            <w:tcW w:w="920" w:type="dxa"/>
            <w:vAlign w:val="bottom"/>
            <w:gridSpan w:val="3"/>
          </w:tcPr>
          <w:p>
            <w:pPr>
              <w:jc w:val="center"/>
              <w:ind w:left="1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6"/>
        </w:trPr>
        <w:tc>
          <w:tcPr>
            <w:tcW w:w="1640" w:type="dxa"/>
            <w:vAlign w:val="bottom"/>
          </w:tcPr>
          <w:p>
            <w:pPr>
              <w:spacing w:after="0"/>
              <w:rPr>
                <w:sz w:val="14"/>
                <w:szCs w:val="14"/>
                <w:color w:val="auto"/>
              </w:rPr>
            </w:pPr>
          </w:p>
        </w:tc>
        <w:tc>
          <w:tcPr>
            <w:tcW w:w="1560" w:type="dxa"/>
            <w:vAlign w:val="bottom"/>
            <w:gridSpan w:val="6"/>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2180" w:type="dxa"/>
            <w:vAlign w:val="bottom"/>
            <w:gridSpan w:val="5"/>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2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16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2"/>
        </w:trPr>
        <w:tc>
          <w:tcPr>
            <w:tcW w:w="1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i w:val="1"/>
                <w:iCs w:val="1"/>
                <w:color w:val="auto"/>
              </w:rPr>
              <w:t>(In thousands, except share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right w:val="single" w:sz="8" w:color="auto"/>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Amou</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8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ve</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8"/>
              </w:rPr>
              <w:t>Shareholders'</w:t>
            </w:r>
          </w:p>
        </w:tc>
      </w:tr>
      <w:tr>
        <w:trPr>
          <w:trHeight w:val="162"/>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and per share data)</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86"/>
              </w:rPr>
              <w:t>nt</w:t>
            </w:r>
          </w:p>
        </w:tc>
        <w:tc>
          <w:tcPr>
            <w:tcW w:w="12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2"/>
        </w:trPr>
        <w:tc>
          <w:tcPr>
            <w:tcW w:w="16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5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20,370,</w:t>
            </w: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17,8</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(811,1</w:t>
            </w: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9"/>
        </w:trPr>
        <w:tc>
          <w:tcPr>
            <w:tcW w:w="1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53,175,028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(933 )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52,790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(21,054 )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(111 )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31,224</w:t>
            </w:r>
          </w:p>
        </w:tc>
        <w:tc>
          <w:tcPr>
            <w:tcW w:w="100" w:type="dxa"/>
            <w:vAlign w:val="bottom"/>
            <w:shd w:val="clear" w:color="auto" w:fill="CFF0FC"/>
          </w:tcPr>
          <w:p>
            <w:pPr>
              <w:spacing w:after="0"/>
              <w:rPr>
                <w:sz w:val="14"/>
                <w:szCs w:val="14"/>
                <w:color w:val="auto"/>
              </w:rPr>
            </w:pPr>
          </w:p>
        </w:tc>
      </w:tr>
      <w:tr>
        <w:trPr>
          <w:trHeight w:val="130"/>
        </w:trPr>
        <w:tc>
          <w:tcPr>
            <w:tcW w:w="16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Retroactive application of</w:t>
            </w: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(13,650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811,15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Merger</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,736 )</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(41,223,891 )</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(531 )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(402 )</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23"/>
        </w:trPr>
        <w:tc>
          <w:tcPr>
            <w:tcW w:w="1640" w:type="dxa"/>
            <w:vAlign w:val="bottom"/>
            <w:shd w:val="clear" w:color="auto" w:fill="CFF0FC"/>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auto"/>
              </w:rPr>
              <w:t>Adjusted Balances,</w:t>
            </w:r>
          </w:p>
        </w:tc>
        <w:tc>
          <w:tcPr>
            <w:tcW w:w="54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6,719,6</w:t>
            </w: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17,8</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9"/>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beginning of period*</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11,951,137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52,388</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(21,054 )</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(111 )</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31,224</w:t>
            </w:r>
          </w:p>
        </w:tc>
        <w:tc>
          <w:tcPr>
            <w:tcW w:w="100" w:type="dxa"/>
            <w:vAlign w:val="bottom"/>
            <w:shd w:val="clear" w:color="auto" w:fill="CFF0FC"/>
          </w:tcPr>
          <w:p>
            <w:pPr>
              <w:spacing w:after="0"/>
              <w:rPr>
                <w:sz w:val="14"/>
                <w:szCs w:val="14"/>
                <w:color w:val="auto"/>
              </w:rPr>
            </w:pPr>
          </w:p>
        </w:tc>
      </w:tr>
      <w:tr>
        <w:trPr>
          <w:trHeight w:val="130"/>
        </w:trPr>
        <w:tc>
          <w:tcPr>
            <w:tcW w:w="16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Accretion of redeemable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convertible preferred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 to redemption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1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value</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(314 )</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(314 )</w:t>
            </w:r>
          </w:p>
        </w:tc>
      </w:tr>
      <w:tr>
        <w:trPr>
          <w:trHeight w:val="131"/>
        </w:trPr>
        <w:tc>
          <w:tcPr>
            <w:tcW w:w="16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Foreign currency</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16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translation adjustment,</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1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r>
      <w:tr>
        <w:trPr>
          <w:trHeight w:val="162"/>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5,701</w:t>
            </w:r>
          </w:p>
        </w:tc>
        <w:tc>
          <w:tcPr>
            <w:tcW w:w="100" w:type="dxa"/>
            <w:vAlign w:val="bottom"/>
          </w:tcPr>
          <w:p>
            <w:pPr>
              <w:spacing w:after="0"/>
              <w:rPr>
                <w:sz w:val="14"/>
                <w:szCs w:val="14"/>
                <w:color w:val="auto"/>
              </w:rPr>
            </w:pPr>
          </w:p>
        </w:tc>
      </w:tr>
      <w:tr>
        <w:trPr>
          <w:trHeight w:val="122"/>
        </w:trPr>
        <w:tc>
          <w:tcPr>
            <w:tcW w:w="16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March 31,</w:t>
            </w:r>
          </w:p>
        </w:tc>
        <w:tc>
          <w:tcPr>
            <w:tcW w:w="5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6,719,6</w:t>
            </w: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18,1</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207"/>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11,951,137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52,074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(15,353 )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(111 )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36,611</w:t>
            </w:r>
          </w:p>
        </w:tc>
        <w:tc>
          <w:tcPr>
            <w:tcW w:w="100" w:type="dxa"/>
            <w:vAlign w:val="bottom"/>
            <w:shd w:val="clear" w:color="auto" w:fill="CFF0FC"/>
          </w:tcPr>
          <w:p>
            <w:pPr>
              <w:spacing w:after="0"/>
              <w:rPr>
                <w:sz w:val="18"/>
                <w:szCs w:val="18"/>
                <w:color w:val="auto"/>
              </w:rPr>
            </w:pPr>
          </w:p>
        </w:tc>
      </w:tr>
      <w:tr>
        <w:trPr>
          <w:trHeight w:val="112"/>
        </w:trPr>
        <w:tc>
          <w:tcPr>
            <w:tcW w:w="1640" w:type="dxa"/>
            <w:vAlign w:val="bottom"/>
            <w:tcBorders>
              <w:top w:val="single" w:sz="8" w:color="CFF0FC"/>
            </w:tcBorders>
          </w:tcPr>
          <w:p>
            <w:pPr>
              <w:ind w:left="20"/>
              <w:spacing w:after="0" w:line="112" w:lineRule="exact"/>
              <w:rPr>
                <w:sz w:val="20"/>
                <w:szCs w:val="20"/>
                <w:color w:val="auto"/>
              </w:rPr>
            </w:pPr>
            <w:r>
              <w:rPr>
                <w:rFonts w:ascii="Times New Roman" w:cs="Times New Roman" w:eastAsia="Times New Roman" w:hAnsi="Times New Roman"/>
                <w:sz w:val="12"/>
                <w:szCs w:val="12"/>
                <w:color w:val="auto"/>
              </w:rPr>
              <w:t>Net exercise of DTIH</w:t>
            </w: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40" w:type="dxa"/>
            <w:vAlign w:val="bottom"/>
            <w:tcBorders>
              <w:top w:val="single" w:sz="8" w:color="CFF0FC"/>
              <w:right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65"/>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stock options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36,163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1"/>
        </w:trPr>
        <w:tc>
          <w:tcPr>
            <w:tcW w:w="16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Exchange of DTIH</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1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redeemable convertible</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1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preferred stock for DTIC</w:t>
            </w: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(6,719,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(18,1</w:t>
            </w: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641 )</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92 )</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6,719,641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7,193</w:t>
            </w:r>
          </w:p>
        </w:tc>
        <w:tc>
          <w:tcPr>
            <w:tcW w:w="100" w:type="dxa"/>
            <w:vAlign w:val="bottom"/>
            <w:shd w:val="clear" w:color="auto" w:fill="CFF0FC"/>
          </w:tcPr>
          <w:p>
            <w:pPr>
              <w:spacing w:after="0"/>
              <w:rPr>
                <w:sz w:val="14"/>
                <w:szCs w:val="14"/>
                <w:color w:val="auto"/>
              </w:rPr>
            </w:pPr>
          </w:p>
        </w:tc>
      </w:tr>
      <w:tr>
        <w:trPr>
          <w:trHeight w:val="130"/>
        </w:trPr>
        <w:tc>
          <w:tcPr>
            <w:tcW w:w="16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DTIC Common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to former holders of</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DTIH redeemable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convertible preferred stock</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 connection with Exchange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Agreements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2,042,181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10,805</w:t>
            </w:r>
          </w:p>
        </w:tc>
        <w:tc>
          <w:tcPr>
            <w:tcW w:w="100" w:type="dxa"/>
            <w:vAlign w:val="bottom"/>
          </w:tcPr>
          <w:p>
            <w:pPr>
              <w:spacing w:after="0"/>
              <w:rPr>
                <w:sz w:val="14"/>
                <w:szCs w:val="14"/>
                <w:color w:val="auto"/>
              </w:rPr>
            </w:pPr>
          </w:p>
        </w:tc>
      </w:tr>
      <w:tr>
        <w:trPr>
          <w:trHeight w:val="131"/>
        </w:trPr>
        <w:tc>
          <w:tcPr>
            <w:tcW w:w="16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Merger, net of redemptions</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and transaction costs</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5,711,721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(8,839 )</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(8,838 )</w:t>
            </w:r>
          </w:p>
        </w:tc>
      </w:tr>
      <w:tr>
        <w:trPr>
          <w:trHeight w:val="130"/>
        </w:trPr>
        <w:tc>
          <w:tcPr>
            <w:tcW w:w="16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DTIC Common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in connection with the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consummation of the PIPE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Financing</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2,970,296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Pr>
          <w:p>
            <w:pPr>
              <w:spacing w:after="0"/>
              <w:rPr>
                <w:sz w:val="14"/>
                <w:szCs w:val="14"/>
                <w:color w:val="auto"/>
              </w:rPr>
            </w:pPr>
          </w:p>
        </w:tc>
      </w:tr>
      <w:tr>
        <w:trPr>
          <w:trHeight w:val="163"/>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337,429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00" w:type="dxa"/>
            <w:vAlign w:val="bottom"/>
            <w:shd w:val="clear" w:color="auto" w:fill="CFF0FC"/>
          </w:tcPr>
          <w:p>
            <w:pPr>
              <w:spacing w:after="0"/>
              <w:rPr>
                <w:sz w:val="14"/>
                <w:szCs w:val="14"/>
                <w:color w:val="auto"/>
              </w:rPr>
            </w:pPr>
          </w:p>
        </w:tc>
      </w:tr>
      <w:tr>
        <w:trPr>
          <w:trHeight w:val="130"/>
        </w:trPr>
        <w:tc>
          <w:tcPr>
            <w:tcW w:w="16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 net of tax</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(207 )</w:t>
            </w: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(207 )</w:t>
            </w:r>
          </w:p>
        </w:tc>
      </w:tr>
      <w:tr>
        <w:trPr>
          <w:trHeight w:val="163"/>
        </w:trPr>
        <w:tc>
          <w:tcPr>
            <w:tcW w:w="1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right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2023</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29,768,568</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95,218</w:t>
            </w:r>
          </w:p>
        </w:tc>
        <w:tc>
          <w:tcPr>
            <w:tcW w:w="2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(14,416 )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(318 )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80,487</w:t>
            </w:r>
          </w:p>
        </w:tc>
        <w:tc>
          <w:tcPr>
            <w:tcW w:w="10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-2182495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-2165350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-2182495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-2165350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-2182495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-2165350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-2182495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-2165350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-2182495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-2165350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-2182495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-2165350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-2182495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-2165350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-2182495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-2165350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-2182495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-2165350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-136525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-136525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-136525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-136525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-136525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-136525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-136525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-136525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-136525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legacy redeemable convertible preferred stock and legacy common stock have been retroactively restated to give effect to the Merger.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4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2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37"/>
              <w:spacing w:after="0" w:line="124"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left="361"/>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40" w:type="dxa"/>
            <w:vAlign w:val="bottom"/>
          </w:tcPr>
          <w:p>
            <w:pPr>
              <w:spacing w:after="0"/>
              <w:rPr>
                <w:sz w:val="11"/>
                <w:szCs w:val="11"/>
                <w:color w:val="auto"/>
              </w:rPr>
            </w:pPr>
          </w:p>
        </w:tc>
        <w:tc>
          <w:tcPr>
            <w:tcW w:w="14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left="361"/>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3"/>
          </w:tcPr>
          <w:p>
            <w:pPr>
              <w:jc w:val="right"/>
              <w:ind w:right="477"/>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00" w:type="dxa"/>
            <w:vAlign w:val="bottom"/>
            <w:gridSpan w:val="3"/>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40" w:type="dxa"/>
            <w:vAlign w:val="bottom"/>
          </w:tcPr>
          <w:p>
            <w:pPr>
              <w:spacing w:after="0"/>
              <w:rPr>
                <w:sz w:val="11"/>
                <w:szCs w:val="11"/>
                <w:color w:val="auto"/>
              </w:rPr>
            </w:pPr>
          </w:p>
        </w:tc>
        <w:tc>
          <w:tcPr>
            <w:tcW w:w="14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Shareholders'</w:t>
            </w:r>
          </w:p>
        </w:tc>
      </w:tr>
      <w:tr>
        <w:trPr>
          <w:trHeight w:val="169"/>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data)</w:t>
            </w: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left="361"/>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4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2"/>
        </w:trPr>
        <w:tc>
          <w:tcPr>
            <w:tcW w:w="26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9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3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9"/>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29,768,568</w:t>
            </w:r>
          </w:p>
        </w:tc>
        <w:tc>
          <w:tcPr>
            <w:tcW w:w="960" w:type="dxa"/>
            <w:vAlign w:val="bottom"/>
            <w:gridSpan w:val="2"/>
            <w:shd w:val="clear" w:color="auto" w:fill="CFF0FC"/>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95,218</w:t>
            </w:r>
          </w:p>
        </w:tc>
        <w:tc>
          <w:tcPr>
            <w:tcW w:w="1160" w:type="dxa"/>
            <w:vAlign w:val="bottom"/>
            <w:gridSpan w:val="2"/>
            <w:shd w:val="clear" w:color="auto" w:fill="CFF0FC"/>
          </w:tcPr>
          <w:p>
            <w:pPr>
              <w:jc w:val="right"/>
              <w:ind w:right="79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(6,306 )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(225 )</w:t>
            </w: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88,690</w:t>
            </w:r>
          </w:p>
        </w:tc>
        <w:tc>
          <w:tcPr>
            <w:tcW w:w="100" w:type="dxa"/>
            <w:vAlign w:val="bottom"/>
            <w:shd w:val="clear" w:color="auto" w:fill="CFF0FC"/>
          </w:tcPr>
          <w:p>
            <w:pPr>
              <w:spacing w:after="0"/>
              <w:rPr>
                <w:sz w:val="14"/>
                <w:szCs w:val="14"/>
                <w:color w:val="auto"/>
              </w:rPr>
            </w:pPr>
          </w:p>
        </w:tc>
      </w:tr>
      <w:tr>
        <w:trPr>
          <w:trHeight w:val="174"/>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5"/>
                <w:szCs w:val="15"/>
                <w:color w:val="auto"/>
              </w:rPr>
            </w:pPr>
          </w:p>
        </w:tc>
      </w:tr>
      <w:tr>
        <w:trPr>
          <w:trHeight w:val="131"/>
        </w:trPr>
        <w:tc>
          <w:tcPr>
            <w:tcW w:w="26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Foreign currency</w:t>
            </w: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translation adjustment,</w:t>
            </w: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(511 )</w:t>
            </w:r>
          </w:p>
        </w:tc>
        <w:tc>
          <w:tcPr>
            <w:tcW w:w="2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(511 )</w:t>
            </w: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100" w:type="dxa"/>
            <w:vAlign w:val="bottom"/>
          </w:tcPr>
          <w:p>
            <w:pPr>
              <w:spacing w:after="0"/>
              <w:rPr>
                <w:sz w:val="14"/>
                <w:szCs w:val="14"/>
                <w:color w:val="auto"/>
              </w:rPr>
            </w:pPr>
          </w:p>
        </w:tc>
      </w:tr>
      <w:tr>
        <w:trPr>
          <w:trHeight w:val="195"/>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29,768,568</w:t>
            </w:r>
          </w:p>
        </w:tc>
        <w:tc>
          <w:tcPr>
            <w:tcW w:w="2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shd w:val="clear" w:color="auto" w:fill="CFF0FC"/>
          </w:tcPr>
          <w:p>
            <w:pPr>
              <w:spacing w:after="0"/>
              <w:rPr>
                <w:sz w:val="16"/>
                <w:szCs w:val="16"/>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95,426</w:t>
            </w:r>
          </w:p>
        </w:tc>
        <w:tc>
          <w:tcPr>
            <w:tcW w:w="2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auto"/>
            </w:tcBorders>
            <w:shd w:val="clear" w:color="auto" w:fill="CFF0FC"/>
          </w:tcPr>
          <w:p>
            <w:pPr>
              <w:spacing w:after="0"/>
              <w:rPr>
                <w:sz w:val="16"/>
                <w:szCs w:val="16"/>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(3,180</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6"/>
                <w:szCs w:val="16"/>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91,513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5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Pr>
          <w:p>
            <w:pPr>
              <w:spacing w:after="0"/>
              <w:rPr>
                <w:sz w:val="13"/>
                <w:szCs w:val="13"/>
                <w:color w:val="auto"/>
              </w:rPr>
            </w:pPr>
          </w:p>
        </w:tc>
      </w:tr>
      <w:tr>
        <w:trPr>
          <w:trHeight w:val="177"/>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16,556</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(290 )</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(35 )</w:t>
            </w:r>
          </w:p>
        </w:tc>
      </w:tr>
      <w:tr>
        <w:trPr>
          <w:trHeight w:val="130"/>
        </w:trPr>
        <w:tc>
          <w:tcPr>
            <w:tcW w:w="26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Shares issued due to vesting of restricted stock</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74,440</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Pr>
          <w:p>
            <w:pPr>
              <w:spacing w:after="0"/>
              <w:rPr>
                <w:sz w:val="14"/>
                <w:szCs w:val="14"/>
                <w:color w:val="auto"/>
              </w:rPr>
            </w:pPr>
          </w:p>
        </w:tc>
      </w:tr>
      <w:tr>
        <w:trPr>
          <w:trHeight w:val="131"/>
        </w:trPr>
        <w:tc>
          <w:tcPr>
            <w:tcW w:w="26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Foreign currency</w:t>
            </w: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translation adjustment,</w:t>
            </w: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FF0FC"/>
          </w:tcPr>
          <w:p>
            <w:pPr>
              <w:spacing w:after="0"/>
              <w:rPr>
                <w:sz w:val="14"/>
                <w:szCs w:val="14"/>
                <w:color w:val="auto"/>
              </w:rPr>
            </w:pP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14"/>
                <w:szCs w:val="14"/>
                <w:color w:val="auto"/>
              </w:rPr>
            </w:pPr>
          </w:p>
        </w:tc>
      </w:tr>
      <w:tr>
        <w:trPr>
          <w:trHeight w:val="195"/>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2024</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29,859,564</w:t>
            </w:r>
          </w:p>
        </w:tc>
        <w:tc>
          <w:tcPr>
            <w:tcW w:w="2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shd w:val="clear" w:color="auto" w:fill="CFF0FC"/>
          </w:tcPr>
          <w:p>
            <w:pPr>
              <w:jc w:val="right"/>
              <w:ind w:right="102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96,536</w:t>
            </w:r>
          </w:p>
        </w:tc>
        <w:tc>
          <w:tcPr>
            <w:tcW w:w="2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(3,105</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92,800</w:t>
            </w:r>
          </w:p>
        </w:tc>
        <w:tc>
          <w:tcPr>
            <w:tcW w:w="10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-949960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-932815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-949960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-932815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-949960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-932815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-949960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-932815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-949960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-932815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right="40"/>
        <w:spacing w:after="0" w:line="257" w:lineRule="auto"/>
        <w:rPr>
          <w:sz w:val="20"/>
          <w:szCs w:val="20"/>
          <w:color w:val="auto"/>
        </w:rPr>
      </w:pPr>
      <w:r>
        <w:rPr>
          <w:rFonts w:ascii="Arial" w:cs="Arial" w:eastAsia="Arial" w:hAnsi="Arial"/>
          <w:sz w:val="18"/>
          <w:szCs w:val="18"/>
          <w:b w:val="1"/>
          <w:bCs w:val="1"/>
          <w:color w:val="auto"/>
        </w:rPr>
        <w:t>DRILLING TOOLS INTERNATIONAL CORPORATION UNAUDITED 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5"/>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46"/>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r>
      <w:tr>
        <w:trPr>
          <w:trHeight w:val="14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3,492</w:t>
            </w: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6,638</w:t>
            </w:r>
          </w:p>
        </w:tc>
        <w:tc>
          <w:tcPr>
            <w:tcW w:w="100" w:type="dxa"/>
            <w:vAlign w:val="bottom"/>
          </w:tcPr>
          <w:p>
            <w:pPr>
              <w:spacing w:after="0"/>
              <w:rPr>
                <w:sz w:val="12"/>
                <w:szCs w:val="12"/>
                <w:color w:val="auto"/>
              </w:rPr>
            </w:pPr>
          </w:p>
        </w:tc>
      </w:tr>
      <w:tr>
        <w:trPr>
          <w:trHeight w:val="15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to net cash from operating activities:</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11,047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9,732</w:t>
            </w:r>
          </w:p>
        </w:tc>
        <w:tc>
          <w:tcPr>
            <w:tcW w:w="100" w:type="dxa"/>
            <w:vAlign w:val="bottom"/>
          </w:tcPr>
          <w:p>
            <w:pPr>
              <w:spacing w:after="0"/>
              <w:rPr>
                <w:sz w:val="12"/>
                <w:szCs w:val="12"/>
                <w:color w:val="auto"/>
              </w:rPr>
            </w:pP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Amortization of deferred financing costs</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FF0FC"/>
          </w:tcPr>
          <w:p>
            <w:pPr>
              <w:spacing w:after="0"/>
              <w:rPr>
                <w:sz w:val="13"/>
                <w:szCs w:val="13"/>
                <w:color w:val="auto"/>
              </w:rPr>
            </w:pP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Non-cash lease expense</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2,275</w:t>
            </w:r>
          </w:p>
        </w:tc>
        <w:tc>
          <w:tcPr>
            <w:tcW w:w="100" w:type="dxa"/>
            <w:vAlign w:val="bottom"/>
          </w:tcPr>
          <w:p>
            <w:pPr>
              <w:spacing w:after="0"/>
              <w:rPr>
                <w:sz w:val="12"/>
                <w:szCs w:val="12"/>
                <w:color w:val="auto"/>
              </w:rPr>
            </w:pP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Provision for excess and obsolete inventory</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FF0FC"/>
          </w:tcPr>
          <w:p>
            <w:pPr>
              <w:spacing w:after="0"/>
              <w:rPr>
                <w:sz w:val="13"/>
                <w:szCs w:val="13"/>
                <w:color w:val="auto"/>
              </w:rPr>
            </w:pP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Provision for excess and obsolete property and equipment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tcPr>
          <w:p>
            <w:pPr>
              <w:spacing w:after="0"/>
              <w:rPr>
                <w:sz w:val="12"/>
                <w:szCs w:val="12"/>
                <w:color w:val="auto"/>
              </w:rPr>
            </w:pP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(16 )</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100" w:type="dxa"/>
            <w:vAlign w:val="bottom"/>
            <w:shd w:val="clear" w:color="auto" w:fill="CFF0FC"/>
          </w:tcPr>
          <w:p>
            <w:pPr>
              <w:spacing w:after="0"/>
              <w:rPr>
                <w:sz w:val="13"/>
                <w:szCs w:val="13"/>
                <w:color w:val="auto"/>
              </w:rPr>
            </w:pP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Deferred tax expense</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(400 )</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2,008</w:t>
            </w:r>
          </w:p>
        </w:tc>
        <w:tc>
          <w:tcPr>
            <w:tcW w:w="100" w:type="dxa"/>
            <w:vAlign w:val="bottom"/>
          </w:tcPr>
          <w:p>
            <w:pPr>
              <w:spacing w:after="0"/>
              <w:rPr>
                <w:sz w:val="12"/>
                <w:szCs w:val="12"/>
                <w:color w:val="auto"/>
              </w:rPr>
            </w:pP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Gain on sale of property</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(51 )</w:t>
            </w:r>
          </w:p>
        </w:tc>
        <w:tc>
          <w:tcPr>
            <w:tcW w:w="2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(68 )</w:t>
            </w: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Loss on asset disposal</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Unrealized loss on interest rate swap</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shd w:val="clear" w:color="auto" w:fill="CFF0FC"/>
          </w:tcPr>
          <w:p>
            <w:pPr>
              <w:spacing w:after="0"/>
              <w:rPr>
                <w:sz w:val="13"/>
                <w:szCs w:val="13"/>
                <w:color w:val="auto"/>
              </w:rPr>
            </w:pP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gain on equity securities</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(729 )</w:t>
            </w:r>
          </w:p>
        </w:tc>
        <w:tc>
          <w:tcPr>
            <w:tcW w:w="24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(387 )</w:t>
            </w: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Gross profit from sale of lost-in-hole equipment</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(4,987 )</w:t>
            </w:r>
          </w:p>
        </w:tc>
        <w:tc>
          <w:tcPr>
            <w:tcW w:w="2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(9,146 )</w:t>
            </w: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3,986</w:t>
            </w:r>
          </w:p>
        </w:tc>
        <w:tc>
          <w:tcPr>
            <w:tcW w:w="100" w:type="dxa"/>
            <w:vAlign w:val="bottom"/>
          </w:tcPr>
          <w:p>
            <w:pPr>
              <w:spacing w:after="0"/>
              <w:rPr>
                <w:sz w:val="12"/>
                <w:szCs w:val="12"/>
                <w:color w:val="auto"/>
              </w:rPr>
            </w:pPr>
          </w:p>
        </w:tc>
      </w:tr>
      <w:tr>
        <w:trPr>
          <w:trHeight w:val="15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Accounts receivable, net</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(1,449 )</w:t>
            </w:r>
          </w:p>
        </w:tc>
        <w:tc>
          <w:tcPr>
            <w:tcW w:w="24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(1,777 )</w:t>
            </w: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1,958</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(1,531 )</w:t>
            </w: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Inventories, net</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(49 )</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w:t>
            </w:r>
          </w:p>
        </w:tc>
        <w:tc>
          <w:tcPr>
            <w:tcW w:w="100" w:type="dxa"/>
            <w:vAlign w:val="bottom"/>
          </w:tcPr>
          <w:p>
            <w:pPr>
              <w:spacing w:after="0"/>
              <w:rPr>
                <w:sz w:val="12"/>
                <w:szCs w:val="12"/>
                <w:color w:val="auto"/>
              </w:rPr>
            </w:pP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(2,226 )</w:t>
            </w:r>
          </w:p>
        </w:tc>
        <w:tc>
          <w:tcPr>
            <w:tcW w:w="2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(2,179 )</w:t>
            </w: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(2,158 )</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1,982</w:t>
            </w:r>
          </w:p>
        </w:tc>
        <w:tc>
          <w:tcPr>
            <w:tcW w:w="100" w:type="dxa"/>
            <w:vAlign w:val="bottom"/>
          </w:tcPr>
          <w:p>
            <w:pPr>
              <w:spacing w:after="0"/>
              <w:rPr>
                <w:sz w:val="12"/>
                <w:szCs w:val="12"/>
                <w:color w:val="auto"/>
              </w:rPr>
            </w:pP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(3,745 )</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100" w:type="dxa"/>
            <w:vAlign w:val="bottom"/>
            <w:shd w:val="clear" w:color="auto" w:fill="CFF0FC"/>
          </w:tcPr>
          <w:p>
            <w:pPr>
              <w:spacing w:after="0"/>
              <w:rPr>
                <w:sz w:val="13"/>
                <w:szCs w:val="13"/>
                <w:color w:val="auto"/>
              </w:rPr>
            </w:pPr>
          </w:p>
        </w:tc>
      </w:tr>
      <w:tr>
        <w:trPr>
          <w:trHeight w:val="139"/>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flows from operating activities</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4,391</w:t>
            </w:r>
          </w:p>
        </w:tc>
        <w:tc>
          <w:tcPr>
            <w:tcW w:w="220" w:type="dxa"/>
            <w:vAlign w:val="bottom"/>
            <w:tcBorders>
              <w:top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14,061</w:t>
            </w:r>
          </w:p>
        </w:tc>
        <w:tc>
          <w:tcPr>
            <w:tcW w:w="100" w:type="dxa"/>
            <w:vAlign w:val="bottom"/>
            <w:tcBorders>
              <w:top w:val="single" w:sz="8" w:color="CFF0FC"/>
            </w:tcBorders>
          </w:tcPr>
          <w:p>
            <w:pPr>
              <w:spacing w:after="0"/>
              <w:rPr>
                <w:sz w:val="12"/>
                <w:szCs w:val="12"/>
                <w:color w:val="auto"/>
              </w:rPr>
            </w:pPr>
          </w:p>
        </w:tc>
      </w:tr>
      <w:tr>
        <w:trPr>
          <w:trHeight w:val="1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Acquisition of a business, net of cash acquired</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(18,261 )</w:t>
            </w:r>
          </w:p>
        </w:tc>
        <w:tc>
          <w:tcPr>
            <w:tcW w:w="24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Proceeds from sale of property and equipment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shd w:val="clear" w:color="auto" w:fill="CFF0FC"/>
          </w:tcPr>
          <w:p>
            <w:pPr>
              <w:spacing w:after="0"/>
              <w:rPr>
                <w:sz w:val="13"/>
                <w:szCs w:val="13"/>
                <w:color w:val="auto"/>
              </w:rPr>
            </w:pP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Purchase of property, plant, and equipment</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(16,312 )</w:t>
            </w:r>
          </w:p>
        </w:tc>
        <w:tc>
          <w:tcPr>
            <w:tcW w:w="24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(24,617 )</w:t>
            </w:r>
          </w:p>
        </w:tc>
      </w:tr>
      <w:tr>
        <w:trPr>
          <w:trHeight w:val="152"/>
        </w:trPr>
        <w:tc>
          <w:tcPr>
            <w:tcW w:w="8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Proceeds from sale of lost-in-hole equipment</w:t>
            </w:r>
          </w:p>
        </w:tc>
        <w:tc>
          <w:tcPr>
            <w:tcW w:w="2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7,786</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11,103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39"/>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from investing activities</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(26,728 )</w:t>
            </w:r>
          </w:p>
        </w:tc>
        <w:tc>
          <w:tcPr>
            <w:tcW w:w="24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(13,388 )</w:t>
            </w:r>
          </w:p>
        </w:tc>
      </w:tr>
      <w:tr>
        <w:trPr>
          <w:trHeight w:val="1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Proceeds from Merger and PIPE Financing, net of transaction costs</w:t>
            </w:r>
          </w:p>
        </w:tc>
        <w:tc>
          <w:tcPr>
            <w:tcW w:w="2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23,162</w:t>
            </w:r>
          </w:p>
        </w:tc>
        <w:tc>
          <w:tcPr>
            <w:tcW w:w="100" w:type="dxa"/>
            <w:vAlign w:val="bottom"/>
          </w:tcPr>
          <w:p>
            <w:pPr>
              <w:spacing w:after="0"/>
              <w:rPr>
                <w:sz w:val="12"/>
                <w:szCs w:val="12"/>
                <w:color w:val="auto"/>
              </w:rPr>
            </w:pP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Payment of deferred financing costs</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(672 )</w:t>
            </w:r>
          </w:p>
        </w:tc>
        <w:tc>
          <w:tcPr>
            <w:tcW w:w="2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(281 )</w:t>
            </w: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Proceeds from revolving line of credit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71,646</w:t>
            </w:r>
          </w:p>
        </w:tc>
        <w:tc>
          <w:tcPr>
            <w:tcW w:w="100" w:type="dxa"/>
            <w:vAlign w:val="bottom"/>
          </w:tcPr>
          <w:p>
            <w:pPr>
              <w:spacing w:after="0"/>
              <w:rPr>
                <w:sz w:val="12"/>
                <w:szCs w:val="12"/>
                <w:color w:val="auto"/>
              </w:rPr>
            </w:pP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Payments on revolving line of credit</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(1,469 )</w:t>
            </w:r>
          </w:p>
        </w:tc>
        <w:tc>
          <w:tcPr>
            <w:tcW w:w="2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(89,995 )</w:t>
            </w:r>
          </w:p>
        </w:tc>
      </w:tr>
      <w:tr>
        <w:trPr>
          <w:trHeight w:val="144"/>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Proceeds from Term Loan</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Repayment of Term Loan</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(833 )</w:t>
            </w:r>
          </w:p>
        </w:tc>
        <w:tc>
          <w:tcPr>
            <w:tcW w:w="2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Payments to holders of DTIH redeemable convertible preferred stock in connection with retiring their DTI stock upon the Merger</w:t>
            </w:r>
          </w:p>
        </w:tc>
        <w:tc>
          <w:tcPr>
            <w:tcW w:w="2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(194 )</w:t>
            </w:r>
          </w:p>
        </w:tc>
      </w:tr>
      <w:tr>
        <w:trPr>
          <w:trHeight w:val="139"/>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from financing activities</w:t>
            </w: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23,495</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4,338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Effect of changes in foreign exchange rates</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(377 )</w:t>
            </w:r>
          </w:p>
        </w:tc>
        <w:tc>
          <w:tcPr>
            <w:tcW w:w="24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(207 )</w:t>
            </w:r>
          </w:p>
        </w:tc>
      </w:tr>
      <w:tr>
        <w:trPr>
          <w:trHeight w:val="15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Net change in cash</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4,804</w:t>
            </w:r>
          </w:p>
        </w:tc>
        <w:tc>
          <w:tcPr>
            <w:tcW w:w="100" w:type="dxa"/>
            <w:vAlign w:val="bottom"/>
            <w:shd w:val="clear" w:color="auto" w:fill="CFF0FC"/>
          </w:tcPr>
          <w:p>
            <w:pPr>
              <w:spacing w:after="0"/>
              <w:rPr>
                <w:sz w:val="13"/>
                <w:szCs w:val="13"/>
                <w:color w:val="auto"/>
              </w:rPr>
            </w:pPr>
          </w:p>
        </w:tc>
      </w:tr>
      <w:tr>
        <w:trPr>
          <w:trHeight w:val="145"/>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at beginning of period</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6,003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2,352</w:t>
            </w:r>
          </w:p>
        </w:tc>
        <w:tc>
          <w:tcPr>
            <w:tcW w:w="100" w:type="dxa"/>
            <w:vAlign w:val="bottom"/>
          </w:tcPr>
          <w:p>
            <w:pPr>
              <w:spacing w:after="0"/>
              <w:rPr>
                <w:sz w:val="12"/>
                <w:szCs w:val="12"/>
                <w:color w:val="auto"/>
              </w:rPr>
            </w:pPr>
          </w:p>
        </w:tc>
      </w:tr>
      <w:tr>
        <w:trPr>
          <w:trHeight w:val="182"/>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Cash at end of period</w:t>
            </w:r>
          </w:p>
        </w:tc>
        <w:tc>
          <w:tcPr>
            <w:tcW w:w="2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6,784</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7,156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1"/>
        </w:trPr>
        <w:tc>
          <w:tcPr>
            <w:tcW w:w="8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Cash paid for interest</w:t>
            </w:r>
          </w:p>
        </w:tc>
        <w:tc>
          <w:tcPr>
            <w:tcW w:w="2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660</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29"/>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2,139</w:t>
            </w:r>
          </w:p>
        </w:tc>
        <w:tc>
          <w:tcPr>
            <w:tcW w:w="100" w:type="dxa"/>
            <w:vAlign w:val="bottom"/>
          </w:tcPr>
          <w:p>
            <w:pPr>
              <w:spacing w:after="0"/>
              <w:rPr>
                <w:sz w:val="11"/>
                <w:szCs w:val="1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Fair value of CTG liabilities assumed in CTG Acquisition</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3,162</w:t>
            </w: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ROU assets obtained in exchange for operating lease liabilities</w:t>
            </w:r>
          </w:p>
        </w:tc>
        <w:tc>
          <w:tcPr>
            <w:tcW w:w="2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5,054</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2,635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29"/>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exercise of stock options</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220" w:type="dxa"/>
            <w:vAlign w:val="bottom"/>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Shares withheld from exercise of stock options for payment of taxes</w:t>
            </w:r>
          </w:p>
        </w:tc>
        <w:tc>
          <w:tcPr>
            <w:tcW w:w="2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83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1"/>
                <w:szCs w:val="11"/>
                <w:color w:val="auto"/>
              </w:rPr>
              <w:t>Purchases of inventory included in accounts payable and accrued expenses and other current liabilities</w:t>
            </w: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220" w:type="dxa"/>
            <w:vAlign w:val="bottom"/>
            <w:tcBorders>
              <w:top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4,076</w:t>
            </w:r>
          </w:p>
        </w:tc>
        <w:tc>
          <w:tcPr>
            <w:tcW w:w="100" w:type="dxa"/>
            <w:vAlign w:val="bottom"/>
            <w:tcBorders>
              <w:top w:val="single" w:sz="8" w:color="CFF0FC"/>
            </w:tcBorders>
          </w:tcPr>
          <w:p>
            <w:pPr>
              <w:spacing w:after="0"/>
              <w:rPr>
                <w:sz w:val="11"/>
                <w:szCs w:val="1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Purchases of property and equipment included in accounts payable and accrued expenses and other current liabilities</w:t>
            </w:r>
          </w:p>
        </w:tc>
        <w:tc>
          <w:tcPr>
            <w:tcW w:w="2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1,402</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7,640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29"/>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Deferred financing fees included in accounts payable</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Non-cash directors and officers insurance</w:t>
            </w:r>
          </w:p>
        </w:tc>
        <w:tc>
          <w:tcPr>
            <w:tcW w:w="2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1,472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29"/>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Non-cash Merger financing</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100" w:type="dxa"/>
            <w:vAlign w:val="bottom"/>
          </w:tcPr>
          <w:p>
            <w:pPr>
              <w:spacing w:after="0"/>
              <w:rPr>
                <w:sz w:val="11"/>
                <w:szCs w:val="1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Exchange of DTIH redeemable convertible preferred stock for DTIC Common Stock in connection with the Merger</w:t>
            </w:r>
          </w:p>
        </w:tc>
        <w:tc>
          <w:tcPr>
            <w:tcW w:w="2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7,193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29"/>
        </w:trPr>
        <w:tc>
          <w:tcPr>
            <w:tcW w:w="8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DTIC Common Stock to former holders of DTIH redeemable convertible preferred stock in connection with Exchange Agreements</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10,805</w:t>
            </w:r>
          </w:p>
        </w:tc>
        <w:tc>
          <w:tcPr>
            <w:tcW w:w="100" w:type="dxa"/>
            <w:vAlign w:val="bottom"/>
          </w:tcPr>
          <w:p>
            <w:pPr>
              <w:spacing w:after="0"/>
              <w:rPr>
                <w:sz w:val="11"/>
                <w:szCs w:val="1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Accretion of redeemable convertible preferred stock to redemption value</w:t>
            </w:r>
          </w:p>
        </w:tc>
        <w:tc>
          <w:tcPr>
            <w:tcW w:w="2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-3835400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-3835400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-3253105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-3253105</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-2285365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-2285365</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-1891665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-1874520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-1891665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-1874520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-1677670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-1660525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-1677670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-1660525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-1223645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-1206500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-1223645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-1206500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-984250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-967105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-984250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-967105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-744220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-727075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-744220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-727075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-504825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-487680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-504825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-487680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-264795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-264795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-247650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-24765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-7620</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475615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4"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Nature of Operations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20, 2023 (the “Closing Date”), a merger transaction between Drilling Tools International Holdings, Inc. (“DTIH”), ROC Energy Acquisition Corp (“ROC”), and ROC Merger Sub, Inc., a directly, wholly owned subsidiary of ROC (“Merger Sub”), was completed (the “Merger”) pursuant to the initial merger agreement dated February 13, 2023 and subsequent amendment to the merger agreement dated June 5, 2023 collectively, (the “Merger Agreement”). In connection with the closing of the Merger, ROC changed its name to Drilling Tools International Corporation. The common stock of DTIC (“DTIC Common Stock” or the “Company’s Common Stock”) commenced trading on the Nasdaq Stock Market LLC (“Nasdaq”) under the symbol “DTI” on June 21, 2023.</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2024 (the “CTG Acquisition Date”), we entered into a Share Purchase Agreement (the “Share Purchase Agreement”) with Casing Technologies Group Limited (“CTG”), certain shareholders of CTG, and a representative of CTG. Pursuant to the terms of the Share Purchase Agreement, the Company acquired one hundred percent (100%) of the shares of CTG (the “CTG Acquisition”), which wholly owns Deep Casing Tools Limited (“Deep Casing”), an energy technology development company, for approximately £16.2 million, or $20.9 million, based on the British pound sterling to United States dollar exchange rate on the CTG Acquisition Date. For further details regarding the acquisition, refer to Note 2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58"/>
        <w:spacing w:after="0" w:line="258" w:lineRule="auto"/>
        <w:rPr>
          <w:sz w:val="20"/>
          <w:szCs w:val="20"/>
          <w:color w:val="auto"/>
        </w:rPr>
      </w:pPr>
      <w:r>
        <w:rPr>
          <w:rFonts w:ascii="Times New Roman" w:cs="Times New Roman" w:eastAsia="Times New Roman" w:hAnsi="Times New Roman"/>
          <w:sz w:val="18"/>
          <w:szCs w:val="18"/>
          <w:color w:val="auto"/>
        </w:rPr>
        <w:t>The Company’s United States (“U.S.”) operations have locations in Texas, California, Louisiana, Oklahoma, Pennsylvania, North Dakota, New Mexico, Utah, and Wyoming. The Company’s international operations are located in Canada, United Kingdom, Germany, United Arab Emirates, Saudi Arabia, Kuwait, Oman, Malaysia, and Australia.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accounting principles generally accepted in the U.S (“U.S. GAAP”) as set forth by the Financial Accounting Standards Board ("FASB") and pursuant to the rules and regulations of the U.S. Securities and Exchange Commission (“SEC”). References to US GAAP issued by the FASB in these notes to the accompanying unaudited condensed consolidated financial statements are to the FASB Accounting Standards Codification (“ASC”) and Accounting Standards Update (“ASUs”).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June 30, 2024, and its results of operations for the three and six months ended June 30, 2024 and 2023, and cash flows for the six months ended June 30, 2024 and 2023. The condensed consolidated balance sheet at December 31, 2023, was derived from the audited annual financial statements but does not contain all of the footnote disclosures from the annual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both"/>
        <w:spacing w:after="0" w:line="265" w:lineRule="auto"/>
        <w:rPr>
          <w:sz w:val="20"/>
          <w:szCs w:val="20"/>
          <w:color w:val="auto"/>
        </w:rPr>
      </w:pPr>
      <w:r>
        <w:rPr>
          <w:rFonts w:ascii="Times New Roman" w:cs="Times New Roman" w:eastAsia="Times New Roman" w:hAnsi="Times New Roman"/>
          <w:sz w:val="18"/>
          <w:szCs w:val="18"/>
          <w:color w:val="auto"/>
        </w:rPr>
        <w:t>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All intercompany accounts and transactions have been eliminated on consolidation. Further, the basis of consolidation incorporates the financial statements of our foreign entity, Casing Technologies Group Limited, which operates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condensed consolidated statements of income and comprehensive income have been translated at the average rates during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the unaudited condensed consolidated statements of income and comprehensive income. For the three and six months ended June 30, 2024, the aggregate foreign currency translation included in the unaudited condensed consolidated statements of income and comprehensive income totaled approximately $24 thousand in losses and $4.7 thousand in gains, respectively. For the three and six months ended June 30, 2023, the aggregate foreign currency translation included in the unaudited condensed consolidated statements of income and comprehensive income totaled $0.2 million and $0.2 million in losses,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 Rental Services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Revenue from tool rental services are accounted for in accordance with Topic 842.</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Company does not generally provide an option for the lessee to purchase the rented equipment at the end of the lease.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w:t>
      </w:r>
    </w:p>
    <w:p>
      <w:pPr>
        <w:spacing w:after="0" w:line="18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records the amounts billed to customers in excess of recognizable revenue as deferred revenue on its unaudited condensed consolidated balance sheet.</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does not know how much the customer will owe the Company upon return of the tool and cannot provide a maturity analysis of future lease payments. The Company’s drilling tools are generally rented for short periods of time (significantly less than a year). Lessees do not provide residual value guarantees on rented equipment.</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per geographic location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Revenue generated was concentrated within the United States. For the three and six months ended June 30, 2024, the revenue generated within the United States was $30.5 million and $62.8 million respectively, or 81% and 84% of total revenues. For the three and six months ended June 30, 2024, the revenue generated by our international operations was $7.0 million and $11.7 million, respectively, or 19% and 16% of total revenues. For the three and six months ended June 30, 2023, the revenue generated within the United States was $35.1 million and $71.6 million , respectively, or 92% and 91% of total revenues. For the three and six months ended June 30, 2023, the revenue generated by our international operations was $2.9 million and $7.1 million, respectively, or 8% and 9% of total revenues.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As of June 30, 2024 and December 31, 2023, the Company had contract assets of $3.8 million and $4.2 million, respectively. Contract assets were recorded in accounts receivable, net in the accompanying unaudited condensed consolidated balance sheets.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June 30, 2024 and December 31, 2023, the Company did not have any material contract liabilities. All deferred revenues are expected to be recognized during the following 12 months, and they were recorded in accrued expenses and other current liabilities in the accompanying unaudited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June 30,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credit losses and are classified as accounts receivable, net on the unaudited condensed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allowance for credit losses totaled $1.3 million and $1.5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applies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using the specific identification method or the first-in-first-out ("FIFO") method, depending on the type of inventory. Inventory that is obsolete or in excess of forecasted usage 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3" w:name="page14"/>
    <w:bookmarkEnd w:id="13"/>
    <w:p>
      <w:pPr>
        <w:jc w:val="both"/>
        <w:spacing w:after="0" w:line="265" w:lineRule="auto"/>
        <w:rPr>
          <w:sz w:val="20"/>
          <w:szCs w:val="20"/>
          <w:color w:val="auto"/>
        </w:rPr>
      </w:pPr>
      <w:r>
        <w:rPr>
          <w:rFonts w:ascii="Times New Roman" w:cs="Times New Roman" w:eastAsia="Times New Roman" w:hAnsi="Times New Roman"/>
          <w:sz w:val="18"/>
          <w:szCs w:val="18"/>
          <w:color w:val="auto"/>
        </w:rPr>
        <w:t>written down to its net realizable value based on assumptions regarding future demand and market conditions. Inventory write-downs are charged to cost of rental revenue and cost of product sale revenue within operating costs section of the unaudited condensed consolidated statements of income and comprehensive income and establish a new cost basis for the inventory. Inventory includes raw material and finished goods.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 with subsequent additions at cost.</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as of January 1, 2022 using the modified retrospective transition approach, with no restatement of prior periods or cumulative adjustments to retained earnings. 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unaudited condensed consolidated balance sheets and to recognize those lease payments on a straight-line basis in the unaudited condensed consolidated statements of income and comprehensive income over the lease term. The new lease accounting standard also provides practical expedients for an entity’s ongoing accounting. The Company elected the practical expedient to not separate lease and non-lease components for all leases.</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unaudited condensed consolidated statements of income and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purchase price paid over the fair value of the net assets of acquired businesses. We evaluate Goodwill at least annually for impairment. Goodwill is considered impaired if the carrying amount of the reporting unit exceeds its estimated fair value. We conduct our annual assessment of the recoverability of goodwill as of December 31 of each year.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Impairment of Long-lived Assets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three and six months ended June 30, 2024 and 2023, management determined that there were no triggering events necessitating impairment testing of property, plant, and equipment or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 Equity Securities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Equity securities are stated at fair value. Unrealized gains and losses are reflected in the unaudited condensed consolidated statements of income and comprehensive income. The Company periodically reviews the securities for other than temporary declines in fair value below cost and more frequently when events or changes in circumstances indicate that the carrying amount of an asset may not be recoverable. As of the June 30, 2024 and December 31, 2023, the Company believes the cost of the securities was recoverable in all material respects.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Prior to the closing of the Merger, there were outstanding shares of DTIH Series A redeemable convertible preferred stock ("Redeemable Convertible Preferred Stock"), which was classified outside of permanent equity in mezzanine equity on the unaudited condensed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consolidated balance sheets as it was redeemable on a fixed date.</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Upon the closing of the Merger, all of the Redeemable Convertible Preferred Stock was canceled in exchange for DTIC common stock and the right to receive cash. Accordingly, there was no Redeemable Convertible Preferred Stock outstanding as of June 30, 2024 and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the closing of the Merger, the Board of Directors (the "Board") has expressly granted authority to issue shares of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providing for the issue of such series and as may be permitted by the Delaware General Corporation Law.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Board has not issued any shares of any classes or series of preferred stock as of June 30, 2024, and through the date these financial statements were available to be issued.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recorded all operating costs associated with its product sales and tool rental revenue streams in cost of product sale revenue and cost of tool rental revenue, respectively, in the unaudited condensed consolidated statements of income and comprehensive income. All indirect operating costs, including labor, freight, contract labor and others, are included in selling, general, and administrative expense in the unaudited condensed consolidated statements of income and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stock-based compensation expenses over the requisite service period. The Company historically granted stock-based compensation awards with performance based vesting conditions. These options all vested upon the closing of the Merger with ROC. Subsequent to the closing of the merger with ROC, the Company’s stock-based compensation awards are subject only to service based vesting conditions. Pursuant to ASC 718-10-35-8, the Company recognizes compensation cost for stock awards with only service conditions that have a graded vesting schedule on a straight-line basis over the service period for each separately vesting portion of the award as if the award was, in-substance, multiple awards.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net of estimated forfeitures. The Board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the sale of the Company, given prevailing market conditions; and (vii) precedent transactions involving the Company’s shares.</w:t>
      </w:r>
    </w:p>
    <w:p>
      <w:pPr>
        <w:spacing w:after="0" w:line="1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restricted stock units, the grant date fair value is determined based on quoted market price for the Company's common stock as of the grant date and the grant date fair value of the awards are recognized as compensation cost as awards vest over the requisite service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is computed by dividing the diluted net income (loss) by the weighted-average number of common shares outstanding for the period, including potential dilutive common stock. For the purposes of this calculation, outstanding stock options and Redeemable Convertible Preferred Stock are considered potential dilutive common stock and are excluded from the computation of net loss per share if their effect is anti-dilutive.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Redeemable Convertible Preferred Stock did not contractually entitle its holders to participate in profits or losses. As such, it was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 treated as a participating security in periods of net income or net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unaudited condensed consolidated financial statement carrying amounts of existing assets and liabilities and their respective tax bases.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state income taxes in various jurisdictions.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unaudited condensed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 uncertain tax positions at June 30, 2024 and December 31, 2023. The Company believes there are no tax positions taken or expected to be taken that would significantly increase or decrease unrecognized tax benefits within twelve months of the reporting date.</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unaudited condensed consolidated statements of income and comprehensive income for the three and six months ended June 30,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enter into derivative instruments to manage exposure to interest rate fluctuations. During 2016, the Company entered into an interest swap agreement with respect to amounts outstanding under its revolving line of credit.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interest rate swap is a pay-fixed, receive-variable interest rate swap based on SOFR swap rate. The SOFR swap rate is observable at commonly quoted intervals for the full term of the swap and therefore is considered a Level 2 item. For interest rate swaps in an asset position, the credit standing of the counterparty is analyzed and factored into the fair value measurement of the asset. The impact of the Company’s creditworthiness has also been factored into the fair value measurement of the interest rate swap in a liability position. For the three and six months ended June 30, 2023, the application of valuation techniques applied to similar assets and liabilities has been consistent.</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arrangement was designed to manage exposure to interest rate fluctuations by effectively exchanging existing obligations to pay interest based on floating rates for obligations to pay interest based on a fixed rate. These derivatives are marked-to-market at the end of each quarter and the realized/unrealized gain or loss is recorded as interest expense.</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 recognized an unrealized gain due to the change in fair value of its interest rate swap of approximately $13 thousand and a loss of $0.1 million, respectively. The interest swap agreement was settled on July 10, 2023. No new interest swaps were entered into subsequently or during the six months ended June 30, 2024.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 inputs are unadjusted quoted market prices for identical assets or liabilities in active markets.</w:t>
      </w:r>
    </w:p>
    <w:p>
      <w:pPr>
        <w:spacing w:after="0" w:line="225"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 inputs are quoted prices for identical assets or liabilities in markets that are not active, quoted market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in active markets and other observable inputs directly or indirectly related to the assets or liabilities being measured.</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 inputs are unobservable and significant to the fair value measurement.</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and liabilities measured at fair value are summarized as follows (in thousands):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20" w:type="dxa"/>
            <w:vAlign w:val="bottom"/>
            <w:gridSpan w:val="7"/>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Assets at Fair Value as of June 30, 2024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86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2</w:t>
            </w:r>
          </w:p>
        </w:tc>
        <w:tc>
          <w:tcPr>
            <w:tcW w:w="4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1"/>
                <w:szCs w:val="21"/>
                <w:color w:val="auto"/>
              </w:rPr>
            </w:pPr>
          </w:p>
        </w:tc>
      </w:tr>
      <w:tr>
        <w:trPr>
          <w:trHeight w:val="238"/>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equity securities</w:t>
            </w:r>
          </w:p>
        </w:tc>
        <w:tc>
          <w:tcPr>
            <w:tcW w:w="1320" w:type="dxa"/>
            <w:vAlign w:val="bottom"/>
            <w:tcBorders>
              <w:bottom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1,617</w:t>
            </w:r>
          </w:p>
        </w:tc>
        <w:tc>
          <w:tcPr>
            <w:tcW w:w="174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1,617</w:t>
            </w:r>
          </w:p>
        </w:tc>
        <w:tc>
          <w:tcPr>
            <w:tcW w:w="100" w:type="dxa"/>
            <w:vAlign w:val="bottom"/>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8"/>
        </w:trPr>
        <w:tc>
          <w:tcPr>
            <w:tcW w:w="3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8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920" w:type="dxa"/>
            <w:vAlign w:val="bottom"/>
            <w:gridSpan w:val="7"/>
            <w:shd w:val="clear" w:color="auto" w:fill="CFF0FC"/>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Assets at Fair Value as of December 31, 2023</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86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2</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0"/>
                <w:szCs w:val="20"/>
                <w:color w:val="auto"/>
              </w:rPr>
            </w:pPr>
          </w:p>
        </w:tc>
      </w:tr>
      <w:tr>
        <w:trPr>
          <w:trHeight w:val="236"/>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equity securities</w:t>
            </w:r>
          </w:p>
        </w:tc>
        <w:tc>
          <w:tcPr>
            <w:tcW w:w="1320" w:type="dxa"/>
            <w:vAlign w:val="bottom"/>
            <w:tcBorders>
              <w:bottom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174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100" w:type="dxa"/>
            <w:vAlign w:val="bottom"/>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-1155065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-1155065</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-1155065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-1155065</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Company did not have any Level 2 or 3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accounts receivable, and accounts payable. The carrying amount of such instruments approximates fair value due to their short-term nature.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Other Risks and Uncertainties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generated approximately 25% and 29%, respectively, of its revenue from 2 customers. During the six months ended June 30, 2024 and 2023, the Company generated approximately 27% and 30%, respectively, of its revenue from 2 customers. Amounts due from these customers included in accounts receivable at June 30, 2024 and December 31, 2023 were approximately $5.7 million and $9.3 million, respectively.</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did not have any vendors that represented over 10% of total vendor purchases. During the three months ended June 30, 2023, the Company had 2 vendors that represented approximately 25% of its vendor purchases. During the six months ended June 30, 2023, the Company had 1 vendor that represented approximately 10% of its vendor purchases. Amounts due from these vendors included in accounts payable at December 31, 2023 was approximately $4.5 thousand</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and Chief Financial Officer work together as the CODM. The Company’s CODM reviews financial information presented on a consolidated basis for the purposes of making operations decisions, allocating resources and evaluating financial performance. Consequently, the Company has determined it operates in one operating and reportable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Effective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B333D"/>
        </w:rPr>
        <w:t>In December 2023, FASB issued Accounting Standard Update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is evaluating the effects of adopting this new accounting guidance on its disclosures but does not currently expect adoption will have a material impact on the Company’s consolidated financial statements. The Company does not intend to early adopt this ASU.</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2B333D"/>
        </w:rPr>
        <w:t>In November 2023, FASB issued ASU 2023-07, Segment Reporting (Topic 280) – Improvements to Reportable Segment Disclosures, which includes requirements for more robust disclosures of significant segment expenses and measures of a segment’s profit and loss used in assessing performance. This standard is effective for the Company’s annual period beginning January 1, 2024 and interim periods beginning January 1, 2025 with early adoption permitted. The Company is still evaluating the effects of adopting this new accounting guidance on its disclosures.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2 – 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CTG Acquisition Date, the Company’s wholly owned subsidiary, Drilling Tools International, Inc., entered into and consummated the Share Purchase Agreement with CTG, the shareholders of CTG, and a representative of CTG, to acquire 100% of the shares of CTG for a gross cash purchase consideration of £16.2 million, or approximately $20.9 million, based on the British pound sterling to United States dollar exchange rate on the CTG Acquisition Date. CTG is incorporated in the United Kingdom and is the holding company of its wholly owned subsidiary, Deep Casing. Deep Casing specializes in the design, engineering, and manufacturing of a range of patented and innovative products for well construction, well completion, and casing installation processes for the global oil and gas sector. The CTG Acquisition allows the Company to further expand its geographical presence globally, especially in the Middle East, provides accretive earnings to consolidated results of operations, and expands the Company’s portfolio of intellectual property rights, through the acquisition of over 60 patents.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£16.2 million, or approximately $20.9 million, gross cash purchase consideration was used on the CTG Acquisition Date to (i) settle Deep Casing’s outstanding debt of £15.3 million, or approximately $19.8 million; (ii) pay Deep Casing’s legacy shareholders £0.3 million, or approximately $0.3 million, in accordance with the Share Purchase Agreement; and (iii) pay Deep Casing’s acquisition-related costs of £0.6 million, or approximately $0.8 million.</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CTG Acquisition has been accounted for as a business combination in accordance with ASC 805, Business Combinations (“ASC 805”). Drilling Tools International, Inc. has been treated as the accounting acquirer. Accordingly, CTG’s tangible and identifiable intangible assets acquired and its liabilities assumed were recorded at their estimated fair values on the CTG Acquisition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the purchase is as follows: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Preliminary</w:t>
            </w:r>
          </w:p>
        </w:tc>
        <w:tc>
          <w:tcPr>
            <w:tcW w:w="480" w:type="dxa"/>
            <w:vAlign w:val="bottom"/>
          </w:tcPr>
          <w:p>
            <w:pPr>
              <w:spacing w:after="0"/>
              <w:rPr>
                <w:sz w:val="13"/>
                <w:szCs w:val="13"/>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Measurement</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As adjusted March 15,</w:t>
            </w:r>
          </w:p>
        </w:tc>
        <w:tc>
          <w:tcPr>
            <w:tcW w:w="0" w:type="dxa"/>
            <w:vAlign w:val="bottom"/>
          </w:tcPr>
          <w:p>
            <w:pPr>
              <w:spacing w:after="0"/>
              <w:rPr>
                <w:sz w:val="1"/>
                <w:szCs w:val="1"/>
                <w:color w:val="auto"/>
              </w:rPr>
            </w:pPr>
          </w:p>
        </w:tc>
      </w:tr>
      <w:tr>
        <w:trPr>
          <w:trHeight w:val="148"/>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40" w:type="dxa"/>
            <w:vAlign w:val="bottom"/>
            <w:gridSpan w:val="3"/>
            <w:vMerge w:val="continue"/>
          </w:tcPr>
          <w:p>
            <w:pPr>
              <w:spacing w:after="0"/>
              <w:rPr>
                <w:sz w:val="14"/>
                <w:szCs w:val="14"/>
                <w:color w:val="auto"/>
              </w:rPr>
            </w:pPr>
          </w:p>
        </w:tc>
        <w:tc>
          <w:tcPr>
            <w:tcW w:w="1060" w:type="dxa"/>
            <w:vAlign w:val="bottom"/>
            <w:gridSpan w:val="3"/>
          </w:tcPr>
          <w:p>
            <w:pPr>
              <w:ind w:left="40"/>
              <w:spacing w:after="0" w:line="157" w:lineRule="exact"/>
              <w:rPr>
                <w:sz w:val="20"/>
                <w:szCs w:val="20"/>
                <w:color w:val="auto"/>
              </w:rPr>
            </w:pPr>
            <w:r>
              <w:rPr>
                <w:rFonts w:ascii="Times New Roman" w:cs="Times New Roman" w:eastAsia="Times New Roman" w:hAnsi="Times New Roman"/>
                <w:sz w:val="14"/>
                <w:szCs w:val="14"/>
                <w:color w:val="auto"/>
              </w:rPr>
              <w:t>March 15, 2024</w:t>
            </w:r>
          </w:p>
        </w:tc>
        <w:tc>
          <w:tcPr>
            <w:tcW w:w="480" w:type="dxa"/>
            <w:vAlign w:val="bottom"/>
          </w:tcPr>
          <w:p>
            <w:pPr>
              <w:spacing w:after="0"/>
              <w:rPr>
                <w:sz w:val="14"/>
                <w:szCs w:val="14"/>
                <w:color w:val="auto"/>
              </w:rPr>
            </w:pPr>
          </w:p>
        </w:tc>
        <w:tc>
          <w:tcPr>
            <w:tcW w:w="940" w:type="dxa"/>
            <w:vAlign w:val="bottom"/>
          </w:tcPr>
          <w:p>
            <w:pPr>
              <w:jc w:val="center"/>
              <w:ind w:right="48"/>
              <w:spacing w:after="0" w:line="157" w:lineRule="exact"/>
              <w:rPr>
                <w:sz w:val="20"/>
                <w:szCs w:val="20"/>
                <w:color w:val="auto"/>
              </w:rPr>
            </w:pPr>
            <w:r>
              <w:rPr>
                <w:rFonts w:ascii="Times New Roman" w:cs="Times New Roman" w:eastAsia="Times New Roman" w:hAnsi="Times New Roman"/>
                <w:sz w:val="14"/>
                <w:szCs w:val="14"/>
                <w:color w:val="auto"/>
              </w:rPr>
              <w:t>Adjustments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jc w:val="right"/>
              <w:ind w:right="588"/>
              <w:spacing w:after="0" w:line="157"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w:t>
            </w:r>
          </w:p>
        </w:tc>
        <w:tc>
          <w:tcPr>
            <w:tcW w:w="2860" w:type="dxa"/>
            <w:vAlign w:val="bottom"/>
            <w:gridSpan w:val="2"/>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 ROU asset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23,571</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24,097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(295 )</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consideration transferred</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20,935</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-144780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-144780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-144780</wp:posOffset>
            </wp:positionV>
            <wp:extent cx="425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excess of the purchase price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CTG Acquisition is not deductible for tax purposes. During the three months ended June 30, 2024, a measurement period adjustment was identified as it relates to assumed accrued liabilities. The total measurement period adjustment was $0.5 million. The measurement period adjustment impacted the goodwill recognized on March 15, 2024. As of June 30, 2024, the Company is substantially complete with the process of allocating the purchase price and valuing the acquired assets and liabilities assumed.</w:t>
      </w:r>
    </w:p>
    <w:p>
      <w:pPr>
        <w:spacing w:after="0" w:line="18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CTG Acquisition Date, and the methodologies used to determine the fair values of those intangible assets ($ in thousands):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0" w:name="page21"/>
    <w:bookmarkEnd w:id="20"/>
    <w:tbl>
      <w:tblPr>
        <w:tblLayout w:type="fixed"/>
        <w:tblInd w:w="120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Useful</w:t>
            </w:r>
          </w:p>
        </w:tc>
        <w:tc>
          <w:tcPr>
            <w:tcW w:w="2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life</w:t>
            </w:r>
          </w:p>
        </w:tc>
        <w:tc>
          <w:tcPr>
            <w:tcW w:w="28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Fair value methodology</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2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7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9"/>
              </w:rPr>
              <w:t>15</w:t>
            </w:r>
          </w:p>
        </w:tc>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Relief from royalty method</w:t>
            </w: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70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w w:val="99"/>
              </w:rPr>
              <w:t>20</w:t>
            </w:r>
          </w:p>
        </w:tc>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Relief from royalty method</w:t>
            </w:r>
          </w:p>
        </w:tc>
        <w:tc>
          <w:tcPr>
            <w:tcW w:w="0" w:type="dxa"/>
            <w:vAlign w:val="bottom"/>
          </w:tcPr>
          <w:p>
            <w:pPr>
              <w:spacing w:after="0"/>
              <w:rPr>
                <w:sz w:val="1"/>
                <w:szCs w:val="1"/>
                <w:color w:val="auto"/>
              </w:rPr>
            </w:pPr>
          </w:p>
        </w:tc>
      </w:tr>
      <w:tr>
        <w:trPr>
          <w:trHeight w:val="139"/>
        </w:trPr>
        <w:tc>
          <w:tcPr>
            <w:tcW w:w="42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Customer relationships</w:t>
            </w: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700" w:type="dxa"/>
            <w:vAlign w:val="bottom"/>
            <w:gridSpan w:val="2"/>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w w:val="99"/>
              </w:rPr>
              <w:t>20</w:t>
            </w:r>
          </w:p>
        </w:tc>
        <w:tc>
          <w:tcPr>
            <w:tcW w:w="2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Multi-period excess earnings method of the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approach</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intangible assets</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4331335</wp:posOffset>
            </wp:positionH>
            <wp:positionV relativeFrom="page">
              <wp:posOffset>624205</wp:posOffset>
            </wp:positionV>
            <wp:extent cx="76835" cy="3422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-24765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-7620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 incurred acquisition-related costs of $0.3 million during the six months ended June 30, 2024, which are included in other income (expense), net in the condensed consolidated statement of income and comprehensive income.</w:t>
      </w:r>
    </w:p>
    <w:p>
      <w:pPr>
        <w:spacing w:after="0" w:line="16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Company’s condensed consolidated statement of income and comprehensive income for the six months ended June 30, 2024 includes CTG’s revenues of $4.8 million and net income of $0.7 million from the CTG Acquisition Date through June 30,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Pro Forma Information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unaudited supplemental pro forma financial results below for the three and six months ended June 30, 2024 and 2023, combine the consolidated results of the Company and CTG, giving effect to the CTG Acquisition as if it had been completed on January 1, 2023. This unaudited supplemental pro forma financial information is presented for informational purposes only and is not indicative of future operations or results had the acquisition been completed as of January 1, 2023, or any other date.</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6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color w:val="auto"/>
              </w:rPr>
              <w:t>Six months ended June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 forma revenue</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37,533</w:t>
            </w:r>
          </w:p>
        </w:tc>
        <w:tc>
          <w:tcPr>
            <w:tcW w:w="12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47,524</w:t>
            </w:r>
          </w:p>
        </w:tc>
        <w:tc>
          <w:tcPr>
            <w:tcW w:w="11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77,879</w:t>
            </w:r>
          </w:p>
        </w:tc>
        <w:tc>
          <w:tcPr>
            <w:tcW w:w="10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92,831</w:t>
            </w:r>
          </w:p>
        </w:tc>
        <w:tc>
          <w:tcPr>
            <w:tcW w:w="80" w:type="dxa"/>
            <w:vAlign w:val="bottom"/>
            <w:shd w:val="clear" w:color="auto" w:fill="CFF0FC"/>
          </w:tcPr>
          <w:p>
            <w:pPr>
              <w:spacing w:after="0"/>
              <w:rPr>
                <w:sz w:val="14"/>
                <w:szCs w:val="14"/>
                <w:color w:val="auto"/>
              </w:rPr>
            </w:pPr>
          </w:p>
        </w:tc>
      </w:tr>
      <w:tr>
        <w:trPr>
          <w:trHeight w:val="186"/>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2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10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104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8,468</w:t>
            </w:r>
          </w:p>
        </w:tc>
        <w:tc>
          <w:tcPr>
            <w:tcW w:w="80" w:type="dxa"/>
            <w:vAlign w:val="bottom"/>
          </w:tcPr>
          <w:p>
            <w:pPr>
              <w:spacing w:after="0"/>
              <w:rPr>
                <w:sz w:val="16"/>
                <w:szCs w:val="16"/>
                <w:color w:val="auto"/>
              </w:rPr>
            </w:pPr>
          </w:p>
        </w:tc>
      </w:tr>
    </w:tbl>
    <w:p>
      <w:pPr>
        <w:spacing w:after="0" w:line="18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in the table above contains material nonrecurring pro forma adjustments to remove interest expense on CTG's debt as it is assumed that the business combination occurred and the debt was paid off on January 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 –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cost and fair value of the Company’s investments in equity securities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June 30, 2024</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24"/>
                <w:szCs w:val="24"/>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-487680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-470535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-487680</wp:posOffset>
            </wp:positionV>
            <wp:extent cx="425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-470535</wp:posOffset>
            </wp:positionV>
            <wp:extent cx="425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-487680</wp:posOffset>
            </wp:positionV>
            <wp:extent cx="425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-470535</wp:posOffset>
            </wp:positionV>
            <wp:extent cx="425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425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425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Unrealized holding gains on equity securities for the three months ended June 30, 2024 and 2023 were approximately $0.5 million and $0.4 million, respectively. Unrealized holding gains on equity securities for the six months ended June 30, 2024 and 2023 were approximately $0.7 million and $0.4 million,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4 – BALANCE SHEET DETAILS - CURRENT ASSETS AND CURRENT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0"/>
        </w:trPr>
        <w:tc>
          <w:tcPr>
            <w:tcW w:w="17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7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2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80" w:type="dxa"/>
            <w:vAlign w:val="bottom"/>
            <w:shd w:val="clear" w:color="auto" w:fill="CFF0FC"/>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r>
      <w:tr>
        <w:trPr>
          <w:trHeight w:val="240"/>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14,734</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5,038</w:t>
            </w:r>
          </w:p>
        </w:tc>
        <w:tc>
          <w:tcPr>
            <w:tcW w:w="80" w:type="dxa"/>
            <w:vAlign w:val="bottom"/>
            <w:shd w:val="clear" w:color="auto" w:fill="CFF0FC"/>
          </w:tcPr>
          <w:p>
            <w:pPr>
              <w:spacing w:after="0"/>
              <w:rPr>
                <w:sz w:val="20"/>
                <w:szCs w:val="20"/>
                <w:color w:val="auto"/>
              </w:rPr>
            </w:pPr>
          </w:p>
        </w:tc>
      </w:tr>
      <w:tr>
        <w:trPr>
          <w:trHeight w:val="238"/>
        </w:trPr>
        <w:tc>
          <w:tcPr>
            <w:tcW w:w="1700" w:type="dxa"/>
            <w:vAlign w:val="bottom"/>
          </w:tcPr>
          <w:p>
            <w:pPr>
              <w:spacing w:after="0"/>
              <w:rPr>
                <w:sz w:val="20"/>
                <w:szCs w:val="20"/>
                <w:color w:val="auto"/>
              </w:rPr>
            </w:pPr>
          </w:p>
        </w:tc>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obsolete inventory</w:t>
            </w:r>
          </w:p>
        </w:tc>
        <w:tc>
          <w:tcPr>
            <w:tcW w:w="3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(125 )</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8"/>
        </w:trPr>
        <w:tc>
          <w:tcPr>
            <w:tcW w:w="170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14,609</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p>
      <w:pPr>
        <w:spacing w:after="0" w:line="2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380" w:type="dxa"/>
            <w:vAlign w:val="bottom"/>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on inventory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tcPr>
          <w:p>
            <w:pPr>
              <w:spacing w:after="0"/>
              <w:rPr>
                <w:sz w:val="20"/>
                <w:szCs w:val="20"/>
                <w:color w:val="auto"/>
              </w:rPr>
            </w:pPr>
          </w:p>
        </w:tc>
      </w:tr>
      <w:tr>
        <w:trPr>
          <w:trHeight w:val="247"/>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FF0FC"/>
          </w:tcPr>
          <w:p>
            <w:pPr>
              <w:spacing w:after="0"/>
              <w:rPr>
                <w:sz w:val="21"/>
                <w:szCs w:val="21"/>
                <w:color w:val="auto"/>
              </w:rPr>
            </w:pPr>
          </w:p>
        </w:tc>
      </w:tr>
      <w:tr>
        <w:trPr>
          <w:trHeight w:val="238"/>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20"/>
                <w:szCs w:val="20"/>
                <w:color w:val="auto"/>
              </w:rPr>
            </w:pPr>
          </w:p>
        </w:tc>
      </w:tr>
      <w:tr>
        <w:trPr>
          <w:trHeight w:val="247"/>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rent</w:t>
            </w: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FF0FC"/>
          </w:tcPr>
          <w:p>
            <w:pPr>
              <w:spacing w:after="0"/>
              <w:rPr>
                <w:sz w:val="21"/>
                <w:szCs w:val="21"/>
                <w:color w:val="auto"/>
              </w:rPr>
            </w:pPr>
          </w:p>
        </w:tc>
      </w:tr>
      <w:tr>
        <w:trPr>
          <w:trHeight w:val="238"/>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equipment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20"/>
                <w:szCs w:val="20"/>
                <w:color w:val="auto"/>
              </w:rPr>
            </w:pPr>
          </w:p>
        </w:tc>
      </w:tr>
      <w:tr>
        <w:trPr>
          <w:trHeight w:val="247"/>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other</w:t>
            </w: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FF0FC"/>
          </w:tcPr>
          <w:p>
            <w:pPr>
              <w:spacing w:after="0"/>
              <w:rPr>
                <w:sz w:val="21"/>
                <w:szCs w:val="21"/>
                <w:color w:val="auto"/>
              </w:rPr>
            </w:pPr>
          </w:p>
        </w:tc>
      </w:tr>
      <w:tr>
        <w:trPr>
          <w:trHeight w:val="24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21"/>
                <w:szCs w:val="21"/>
                <w:color w:val="auto"/>
              </w:rPr>
            </w:pPr>
          </w:p>
        </w:tc>
      </w:tr>
      <w:tr>
        <w:trPr>
          <w:trHeight w:val="24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2,702</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4,553</w:t>
            </w:r>
          </w:p>
        </w:tc>
        <w:tc>
          <w:tcPr>
            <w:tcW w:w="8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80" w:type="dxa"/>
            <w:vAlign w:val="bottom"/>
          </w:tcPr>
          <w:p>
            <w:pPr>
              <w:spacing w:after="0"/>
              <w:rPr>
                <w:sz w:val="18"/>
                <w:szCs w:val="18"/>
                <w:color w:val="auto"/>
              </w:rPr>
            </w:pPr>
          </w:p>
        </w:tc>
      </w:tr>
      <w:tr>
        <w:trPr>
          <w:trHeight w:val="245"/>
        </w:trPr>
        <w:tc>
          <w:tcPr>
            <w:tcW w:w="170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40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insurance</w:t>
            </w: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transaction advisory fees</w:t>
            </w:r>
          </w:p>
        </w:tc>
        <w:tc>
          <w:tcPr>
            <w:tcW w:w="4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property taxes</w:t>
            </w: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monitoring fees</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40"/>
        </w:trPr>
        <w:tc>
          <w:tcPr>
            <w:tcW w:w="17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5"/>
        </w:trPr>
        <w:tc>
          <w:tcPr>
            <w:tcW w:w="1700" w:type="dxa"/>
            <w:vAlign w:val="bottom"/>
          </w:tcPr>
          <w:p>
            <w:pPr>
              <w:spacing w:after="0"/>
              <w:rPr>
                <w:sz w:val="21"/>
                <w:szCs w:val="21"/>
                <w:color w:val="auto"/>
              </w:rPr>
            </w:pPr>
          </w:p>
        </w:tc>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tax payable</w:t>
            </w:r>
          </w:p>
        </w:tc>
        <w:tc>
          <w:tcPr>
            <w:tcW w:w="4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lost-in-hole revenue</w:t>
            </w: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8"/>
        </w:trPr>
        <w:tc>
          <w:tcPr>
            <w:tcW w:w="1700" w:type="dxa"/>
            <w:vAlign w:val="bottom"/>
          </w:tcPr>
          <w:p>
            <w:pPr>
              <w:spacing w:after="0"/>
              <w:rPr>
                <w:sz w:val="24"/>
                <w:szCs w:val="24"/>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7,719</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10,579</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836"/>
        </w:trPr>
        <w:tc>
          <w:tcPr>
            <w:tcW w:w="1700" w:type="dxa"/>
            <w:vAlign w:val="bottom"/>
          </w:tcPr>
          <w:p>
            <w:pPr>
              <w:spacing w:after="0"/>
              <w:rPr>
                <w:sz w:val="24"/>
                <w:szCs w:val="24"/>
                <w:color w:val="auto"/>
              </w:rPr>
            </w:pPr>
          </w:p>
        </w:tc>
        <w:tc>
          <w:tcPr>
            <w:tcW w:w="5380" w:type="dxa"/>
            <w:vAlign w:val="bottom"/>
          </w:tcPr>
          <w:p>
            <w:pPr>
              <w:ind w:left="382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45"/>
        </w:trPr>
        <w:tc>
          <w:tcPr>
            <w:tcW w:w="17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-1052830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-1035685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-1052830</wp:posOffset>
            </wp:positionV>
            <wp:extent cx="425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-1035685</wp:posOffset>
            </wp:positionV>
            <wp:extent cx="425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56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shows the component of property, plant and equipment, net (in thousands):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0"/>
        </w:trPr>
        <w:tc>
          <w:tcPr>
            <w:tcW w:w="10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w:t>
            </w:r>
          </w:p>
        </w:tc>
      </w:tr>
      <w:tr>
        <w:trPr>
          <w:trHeight w:val="245"/>
        </w:trPr>
        <w:tc>
          <w:tcPr>
            <w:tcW w:w="10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Lives (in Years)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80" w:type="dxa"/>
            <w:vAlign w:val="bottom"/>
          </w:tcPr>
          <w:p>
            <w:pPr>
              <w:spacing w:after="0"/>
              <w:rPr>
                <w:sz w:val="21"/>
                <w:szCs w:val="21"/>
                <w:color w:val="auto"/>
              </w:rPr>
            </w:pPr>
          </w:p>
        </w:tc>
      </w:tr>
      <w:tr>
        <w:trPr>
          <w:trHeight w:val="243"/>
        </w:trPr>
        <w:tc>
          <w:tcPr>
            <w:tcW w:w="1020" w:type="dxa"/>
            <w:vAlign w:val="bottom"/>
          </w:tcPr>
          <w:p>
            <w:pPr>
              <w:spacing w:after="0"/>
              <w:rPr>
                <w:sz w:val="21"/>
                <w:szCs w:val="21"/>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tools and equipment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198,349</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188,949</w:t>
            </w:r>
          </w:p>
        </w:tc>
        <w:tc>
          <w:tcPr>
            <w:tcW w:w="80" w:type="dxa"/>
            <w:vAlign w:val="bottom"/>
            <w:shd w:val="clear" w:color="auto" w:fill="CFF0FC"/>
          </w:tcPr>
          <w:p>
            <w:pPr>
              <w:spacing w:after="0"/>
              <w:rPr>
                <w:sz w:val="21"/>
                <w:szCs w:val="21"/>
                <w:color w:val="auto"/>
              </w:rPr>
            </w:pPr>
          </w:p>
        </w:tc>
      </w:tr>
      <w:tr>
        <w:trPr>
          <w:trHeight w:val="238"/>
        </w:trPr>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80" w:type="dxa"/>
            <w:vAlign w:val="bottom"/>
          </w:tcPr>
          <w:p>
            <w:pPr>
              <w:spacing w:after="0"/>
              <w:rPr>
                <w:sz w:val="20"/>
                <w:szCs w:val="20"/>
                <w:color w:val="auto"/>
              </w:rPr>
            </w:pPr>
          </w:p>
        </w:tc>
      </w:tr>
      <w:tr>
        <w:trPr>
          <w:trHeight w:val="247"/>
        </w:trPr>
        <w:tc>
          <w:tcPr>
            <w:tcW w:w="1020" w:type="dxa"/>
            <w:vAlign w:val="bottom"/>
          </w:tcPr>
          <w:p>
            <w:pPr>
              <w:spacing w:after="0"/>
              <w:rPr>
                <w:sz w:val="21"/>
                <w:szCs w:val="21"/>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furniture, fixtures and equipment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80" w:type="dxa"/>
            <w:vAlign w:val="bottom"/>
            <w:shd w:val="clear" w:color="auto" w:fill="CFF0FC"/>
          </w:tcPr>
          <w:p>
            <w:pPr>
              <w:spacing w:after="0"/>
              <w:rPr>
                <w:sz w:val="21"/>
                <w:szCs w:val="21"/>
                <w:color w:val="auto"/>
              </w:rPr>
            </w:pPr>
          </w:p>
        </w:tc>
      </w:tr>
      <w:tr>
        <w:trPr>
          <w:trHeight w:val="243"/>
        </w:trPr>
        <w:tc>
          <w:tcPr>
            <w:tcW w:w="10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and equipment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1"/>
                <w:szCs w:val="21"/>
                <w:color w:val="auto"/>
              </w:rPr>
            </w:pPr>
          </w:p>
        </w:tc>
      </w:tr>
      <w:tr>
        <w:trPr>
          <w:trHeight w:val="236"/>
        </w:trPr>
        <w:tc>
          <w:tcPr>
            <w:tcW w:w="1020" w:type="dxa"/>
            <w:vAlign w:val="bottom"/>
          </w:tcPr>
          <w:p>
            <w:pPr>
              <w:spacing w:after="0"/>
              <w:rPr>
                <w:sz w:val="20"/>
                <w:szCs w:val="20"/>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w:t>
            </w:r>
          </w:p>
        </w:tc>
        <w:tc>
          <w:tcPr>
            <w:tcW w:w="1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208,190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198,803</w:t>
            </w:r>
          </w:p>
        </w:tc>
        <w:tc>
          <w:tcPr>
            <w:tcW w:w="80" w:type="dxa"/>
            <w:vAlign w:val="bottom"/>
            <w:shd w:val="clear" w:color="auto" w:fill="CFF0FC"/>
          </w:tcPr>
          <w:p>
            <w:pPr>
              <w:spacing w:after="0"/>
              <w:rPr>
                <w:sz w:val="20"/>
                <w:szCs w:val="20"/>
                <w:color w:val="auto"/>
              </w:rPr>
            </w:pPr>
          </w:p>
        </w:tc>
      </w:tr>
      <w:tr>
        <w:trPr>
          <w:trHeight w:val="238"/>
        </w:trPr>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deprecation</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(136,976 )</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(133,003 )</w:t>
            </w:r>
          </w:p>
        </w:tc>
      </w:tr>
      <w:tr>
        <w:trPr>
          <w:trHeight w:val="205"/>
        </w:trPr>
        <w:tc>
          <w:tcPr>
            <w:tcW w:w="1020" w:type="dxa"/>
            <w:vAlign w:val="bottom"/>
          </w:tcPr>
          <w:p>
            <w:pPr>
              <w:spacing w:after="0"/>
              <w:rPr>
                <w:sz w:val="17"/>
                <w:szCs w:val="17"/>
                <w:color w:val="auto"/>
              </w:rPr>
            </w:pPr>
          </w:p>
        </w:tc>
        <w:tc>
          <w:tcPr>
            <w:tcW w:w="42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Property, plant and equipment, net (excluding</w:t>
            </w: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52"/>
        </w:trPr>
        <w:tc>
          <w:tcPr>
            <w:tcW w:w="1020" w:type="dxa"/>
            <w:vAlign w:val="bottom"/>
          </w:tcPr>
          <w:p>
            <w:pPr>
              <w:spacing w:after="0"/>
              <w:rPr>
                <w:sz w:val="21"/>
                <w:szCs w:val="21"/>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 in progress)</w:t>
            </w: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71,214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65,800</w:t>
            </w:r>
          </w:p>
        </w:tc>
        <w:tc>
          <w:tcPr>
            <w:tcW w:w="80" w:type="dxa"/>
            <w:vAlign w:val="bottom"/>
            <w:shd w:val="clear" w:color="auto" w:fill="CFF0FC"/>
          </w:tcPr>
          <w:p>
            <w:pPr>
              <w:spacing w:after="0"/>
              <w:rPr>
                <w:sz w:val="21"/>
                <w:szCs w:val="21"/>
                <w:color w:val="auto"/>
              </w:rPr>
            </w:pPr>
          </w:p>
        </w:tc>
      </w:tr>
      <w:tr>
        <w:trPr>
          <w:trHeight w:val="238"/>
        </w:trPr>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78"/>
        </w:trPr>
        <w:tc>
          <w:tcPr>
            <w:tcW w:w="1020" w:type="dxa"/>
            <w:vAlign w:val="bottom"/>
          </w:tcPr>
          <w:p>
            <w:pPr>
              <w:spacing w:after="0"/>
              <w:rPr>
                <w:sz w:val="24"/>
                <w:szCs w:val="24"/>
                <w:color w:val="auto"/>
              </w:rPr>
            </w:pPr>
          </w:p>
        </w:tc>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71,223</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65,800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-24765</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-24765</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-7620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Total depreciation expense for the three months ended June 30, 2024 and 2023 was approximately $5.6 million and $4.7 million, respectively. Total depreciation expense for the six months ended June 30, 2024 and 2023 was approximately $10.9 million and $9.7 million, respectively. The Company has not acquired any property, plant and equipment under capital leases.</w:t>
      </w:r>
    </w:p>
    <w:p>
      <w:pPr>
        <w:spacing w:after="0" w:line="177"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Property, plant and equipment, net, were concentrated within the U.S. As of June 30, 2024 and December 31, 2023, property, plant and equipment, net held within the U.S was $66.3 million and $63.0 million, respectively, or 93% and 96%, respectively, of total property, plant and equipment, net. As of June 30, 2024 and December 31, 2023 property, plant and equipment, net held outside of the United States was $4.9 million and $2.8 million, or 7% and 4%, respectively, of total property, plant and equipment, net for both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w:t>
            </w:r>
          </w:p>
        </w:tc>
      </w:tr>
      <w:tr>
        <w:trPr>
          <w:trHeight w:val="216"/>
        </w:trPr>
        <w:tc>
          <w:tcPr>
            <w:tcW w:w="37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 (in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 31,</w:t>
            </w:r>
          </w:p>
        </w:tc>
      </w:tr>
      <w:tr>
        <w:trPr>
          <w:trHeight w:val="245"/>
        </w:trPr>
        <w:tc>
          <w:tcPr>
            <w:tcW w:w="374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10-15</w:t>
            </w: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shd w:val="clear" w:color="auto" w:fill="CFF0FC"/>
          </w:tcPr>
          <w:p>
            <w:pPr>
              <w:spacing w:after="0"/>
              <w:rPr>
                <w:sz w:val="21"/>
                <w:szCs w:val="2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0"/>
                <w:szCs w:val="20"/>
                <w:color w:val="auto"/>
              </w:rPr>
            </w:pPr>
          </w:p>
        </w:tc>
      </w:tr>
      <w:tr>
        <w:trPr>
          <w:trHeight w:val="251"/>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2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9,439</w:t>
            </w: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w:t>
            </w:r>
          </w:p>
        </w:tc>
        <w:tc>
          <w:tcPr>
            <w:tcW w:w="80" w:type="dxa"/>
            <w:vAlign w:val="bottom"/>
            <w:tcBorders>
              <w:top w:val="single" w:sz="8" w:color="CFF0FC"/>
            </w:tcBorders>
          </w:tcPr>
          <w:p>
            <w:pPr>
              <w:spacing w:after="0"/>
              <w:rPr>
                <w:sz w:val="20"/>
                <w:szCs w:val="20"/>
                <w:color w:val="auto"/>
              </w:rPr>
            </w:pPr>
          </w:p>
        </w:tc>
      </w:tr>
      <w:tr>
        <w:trPr>
          <w:trHeight w:val="24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(1,477 )</w:t>
            </w:r>
          </w:p>
        </w:tc>
        <w:tc>
          <w:tcPr>
            <w:tcW w:w="1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(1,334 )</w:t>
            </w:r>
          </w:p>
        </w:tc>
      </w:tr>
      <w:tr>
        <w:trPr>
          <w:trHeight w:val="238"/>
        </w:trPr>
        <w:tc>
          <w:tcPr>
            <w:tcW w:w="3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2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7,962</w:t>
            </w: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80" w:type="dxa"/>
            <w:vAlign w:val="bottom"/>
            <w:tcBorders>
              <w:top w:val="single" w:sz="8" w:color="CFF0FC"/>
            </w:tcBorders>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-504825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-187960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Total amortization expense for the three months ended June 30, 2024 and 2023 was approximately $112 thousand and $12 thousand, respectively. Total amortization expense for the six months ended June 30, 2024 and 2023 was approximately $143 thousand and $24 thousand,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REVOLVING CREDIT FACILITY AND TERM LOAN</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December 2015, the Company entered into a credit facility with PNC Bank, National Association (the "Existing Credit Facility"). The facility provided for a revolving line of credit with a maximum borrowing amount totaling $60.0 million.</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(the “Refinancing”) by entering into a Second Amended and Restated Revolving Credit, Term Loan and Security and Guaranty Agreement (the “Credit Facility”) with certain of the Company’s subsidiaries and PNC Bank, National Association as lender and as agent. Pursuant to the terms of the Credit Facility, the Company will be provided a revolving line of credit in a principal amount up to $80.0 million and a single draw term loan (the "Term Loan") in a principal amount of $25.0 million. The Credit Facility and the Term Loan mature in March 2029. The Credit Facility amends and restates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3" w:name="page24"/>
    <w:bookmarkEnd w:id="23"/>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Existing Credit Facility under that certain Amended and Restated Revolving Credit, Term Loan, and Security Agreement, dated as of June 20, 2023, by and among the Company, certain of its subsidiaries, and PNC Bank National Association.</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three and six months ended June 30, 2024, the interest on the amount drawn on the Credit Facility and the outstanding Term Loan balance are based on the Secured Overnight Financing Rate ("SOFR") or the bank’s base lending rate plus applicable margin (approximately 7.82% and 9.32%, respectively, at June 30, 2024). The Credit Facility is collateralized by substantially all the assets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there were no amounts drawn against the line of credit.</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is subject to various restrictive covenants associated with these borrowings including, but not limited to, a fixed charge ratio and a minimum amount of undrawn availability. As of June 30, 2024, the Company was in compliance with all restrictive covenants.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 Embedded Derivative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June 30, 2024 and December 31, 2023 and therefore no amounts were recorded as of June 30, 2024 or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recorded an income tax benefit and expense on the unaudited condensed consolidated statements of income and comprehensive income of $0.1 million and $1.4 million for the three months ended June 30, 2024 and 2023, respectively. The Company recorded income tax expense on the unaudited condensed consolidated statements of income and comprehensive income of $0.9 million and $3.1 million for the six months ended June 30, 2024 and 2023, respectively.</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income tax expense for the six months ended June 30, 2024 was calculated using a discrete approach. This methodology was used because changes in the Company's results of operations and acquisitions can materially impact the estimated annual effective tax rate. The Company’s effective tax rate for the six months ended June 30, 2024 and 2023 were provisions of 19.6% and 31.8%, respectively. Such rates differed from the Federal Statutory rate of 21.0% primarily due to the state taxes, foreign income taxes on the Company’s international operations, and permanent differences.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 change to the valuation allowance during the three and six months ended June 30, 2024 and 2023.</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is still evaluating the tax impact of the CTG Acquisition, including the impact of the transaction costs. Additionally, the Company continues to evaluate the deferred tax assets and liabilities and corresponding valuation allowance in connection with the CTG Acquisition.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255"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The 2023 Plan provides for the issuance of shares of Common Stock up to ten percent (10%) of the shares of outstanding Common Stock as of the closing of the Merger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June 30, 2024, there were 1,126,910 shares of Common Stock available for issuance under the 2023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Merger, all outstanding options to purchase shares of DTIH common stock were canceled and exchanged for options to purchase shares of DTIC Common Stock ("Company Options"). The number of Company Options issued and the associated exercise prices were adjusted using the Common Exchange Ratio used for the Merger. As a result of the Merger, the Company issued options to purchase a total of 2,361,722 shares of the Company's Common Stock to former holders of the DTIH stock options. The vesting schedules, remaining term, and provisions (other than the adjusted number of underlying shares and exercise prices) of the Company Options issued, are identical to the vesting schedules, remaining term, and other provisions of the DTIH stock options that were exchanged. Per a post-closing amendment, Company Options currently held by former holders of DTIH stock options are no longer subject to employment considerations.</w:t>
      </w:r>
    </w:p>
    <w:p>
      <w:pPr>
        <w:spacing w:after="0" w:line="187"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a Black-Scholes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For any grants of stock options subsequent to the Company being publicly traded, the Company will use the quoted market price as of the grant date as an input into the Black-Scholes model.</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and six months ended June 30, 2023, there were no options granted, exercised or forfeited.</w:t>
      </w:r>
    </w:p>
    <w:p>
      <w:pPr>
        <w:spacing w:after="0" w:line="2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2023, the Company recognized $1.7 million of stock-based compensation expense within selling, general, and administrative expense on the unaudited condensed consolidated statements of income and comprehensive income related to the accelerated vesting of an executive's 534,063 performance-based stock options. The performance conditions were satisfied upon completion of the Merger and all 534,063 performance-based stock options vested on June 20, 2023 .</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three and six months ended June 30, 2023, the Company recognized $2.3 million of stock-based compensation expense within other expense on the unaudited condensed consolidated statements of income and comprehensive income as a result of the issuance of shares in accordance with the Transaction Service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six months ended June 30, 2024: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5" w:name="page26"/>
    <w:bookmarkEnd w:id="25"/>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2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 Life (in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2,361,722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68,470</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June 30,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4,893,252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UNVESTED, June 30, 2024</w:t>
            </w: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2,600,000</w:t>
            </w:r>
          </w:p>
        </w:tc>
        <w:tc>
          <w:tcPr>
            <w:tcW w:w="32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3.02</w:t>
            </w:r>
          </w:p>
        </w:tc>
        <w:tc>
          <w:tcPr>
            <w:tcW w:w="9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9.63</w:t>
            </w:r>
          </w:p>
        </w:tc>
        <w:tc>
          <w:tcPr>
            <w:tcW w:w="3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6,765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EXERCISABLE, June 30, 2024</w:t>
            </w: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2,293,252</w:t>
            </w:r>
          </w:p>
        </w:tc>
        <w:tc>
          <w:tcPr>
            <w:tcW w:w="32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4.03</w:t>
            </w:r>
          </w:p>
        </w:tc>
        <w:tc>
          <w:tcPr>
            <w:tcW w:w="9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2.74</w:t>
            </w:r>
          </w:p>
        </w:tc>
        <w:tc>
          <w:tcPr>
            <w:tcW w:w="34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4,082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-299085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-281940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-299085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-281940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-299085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-281940</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-299085</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-281940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-24765</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-7620</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Company recognized $0.4 million of stock-based compensation expense related to stock options within selling, general, and administrative expenses on the unaudited condensed consolidated statements of income and comprehensive income. During the six months ended June 30, 2024, the Company recognized $0.6 million of stock-based compensation expense within selling, general, and administrative expenses on the unaudited condensed consolidated statements of income and comprehensive income. As of June 30, 2024, total unrecognized compensation expense related to the stock options totaled $4.0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May 2024, the Company issued an aggregate 143,000 restricted stock units (“RSUs”) to five members of the Board (the “Directors”). Of the awards, 74,440 RSUs were deemed to be related to services performed during the year ended December 31, 2023, and were to vest immediately, while the remaining 68,560 RSUs are subject to a vesting term of one year. The Directors are considered to be employees of the Company under ASC 718.</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$0.4 million of stock based compensation related to RSUs within selling, general, and administrative expenses on the unaudited condensed consolidated statements of income and comprehensive income related to the RSUs. As of June 30, 2024, unrecognized compensation expense related to the RSUs totaled $0.3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OTHER EXPENSES,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expenses, net for the three months ended June 30, 2024 and 2023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10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(2,019 )</w:t>
            </w: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HHLLC stock-based compensation</w:t>
            </w:r>
          </w:p>
        </w:tc>
        <w:tc>
          <w:tcPr>
            <w:tcW w:w="100" w:type="dxa"/>
            <w:vAlign w:val="bottom"/>
          </w:tcPr>
          <w:p>
            <w:pPr>
              <w:spacing w:after="0"/>
              <w:rPr>
                <w:sz w:val="20"/>
                <w:szCs w:val="20"/>
                <w:color w:val="auto"/>
              </w:rPr>
            </w:pPr>
          </w:p>
        </w:tc>
        <w:tc>
          <w:tcPr>
            <w:tcW w:w="2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(1,672 )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(4,382 )</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-24765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expenses, net for the six months ended June 30, 2024 and 2023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w:t>
            </w:r>
          </w:p>
        </w:tc>
      </w:tr>
      <w:tr>
        <w:trPr>
          <w:trHeight w:val="245"/>
        </w:trPr>
        <w:tc>
          <w:tcPr>
            <w:tcW w:w="17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(2,909 )</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(3,499 )</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HHLLC stock-based compensation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(2,339 )</w:t>
            </w:r>
          </w:p>
        </w:tc>
        <w:tc>
          <w:tcPr>
            <w:tcW w:w="1680" w:type="dxa"/>
            <w:vAlign w:val="bottom"/>
          </w:tcPr>
          <w:p>
            <w:pPr>
              <w:spacing w:after="0"/>
              <w:rPr>
                <w:sz w:val="20"/>
                <w:szCs w:val="20"/>
                <w:color w:val="auto"/>
              </w:rPr>
            </w:pPr>
          </w:p>
        </w:tc>
      </w:tr>
      <w:tr>
        <w:trPr>
          <w:trHeight w:val="251"/>
        </w:trPr>
        <w:tc>
          <w:tcPr>
            <w:tcW w:w="170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8"/>
        </w:trPr>
        <w:tc>
          <w:tcPr>
            <w:tcW w:w="1700" w:type="dxa"/>
            <w:vAlign w:val="bottom"/>
          </w:tcPr>
          <w:p>
            <w:pPr>
              <w:spacing w:after="0"/>
              <w:rPr>
                <w:sz w:val="22"/>
                <w:szCs w:val="22"/>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7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(2,798 )</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(6,035 )</w:t>
            </w:r>
          </w:p>
        </w:tc>
        <w:tc>
          <w:tcPr>
            <w:tcW w:w="1680" w:type="dxa"/>
            <w:vAlign w:val="bottom"/>
          </w:tcPr>
          <w:p>
            <w:pPr>
              <w:spacing w:after="0"/>
              <w:rPr>
                <w:sz w:val="22"/>
                <w:szCs w:val="22"/>
                <w:color w:val="auto"/>
              </w:rPr>
            </w:pPr>
          </w:p>
        </w:tc>
      </w:tr>
      <w:tr>
        <w:trPr>
          <w:trHeight w:val="20"/>
        </w:trPr>
        <w:tc>
          <w:tcPr>
            <w:tcW w:w="1700" w:type="dxa"/>
            <w:vAlign w:val="bottom"/>
          </w:tcPr>
          <w:p>
            <w:pPr>
              <w:spacing w:after="0" w:line="20" w:lineRule="exact"/>
              <w:rPr>
                <w:sz w:val="1"/>
                <w:szCs w:val="1"/>
                <w:color w:val="auto"/>
              </w:rPr>
            </w:pPr>
          </w:p>
        </w:tc>
        <w:tc>
          <w:tcPr>
            <w:tcW w:w="3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1"/>
        </w:trPr>
        <w:tc>
          <w:tcPr>
            <w:tcW w:w="1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45"/>
        </w:trPr>
        <w:tc>
          <w:tcPr>
            <w:tcW w:w="17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-915670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-898525</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-915670</wp:posOffset>
            </wp:positionV>
            <wp:extent cx="425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-898525</wp:posOffset>
            </wp:positionV>
            <wp:extent cx="425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2024 and 2023, management fees paid to Hicks Holdings Operating LLC ("HHLLC"), a shareholder of the Company, were approximately $0.2 million and $0.3 million, respectively. For the six months ended June 30, 2024 and 2023, management fees paid to Hicks Holdings Operating LLC were approximately $0.4 million and $0.5 million, respectively. Management fees paid to a shareholder are included in selling, general and administrative expense in the accompanying unaudited condensed consolidated statements of income and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Director fees For the three months ended June 30, 2024 and 2023, director fees paid to Board were approximately $0.2 million and $0.1 million , respectively. Director fees For the six months ended June 30, 2024 and 2023, director fees paid to Board members were approximately $0.3 million and $0.1 million, respectively. Director fees are included in selling, general and administrative expense in the accompanying unaudited condensed consolidated statements of income and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the three months ended June 30, 2024 and 2023, the Company paid rent to Cree Investments, LLC, a shareholder of the Company, of approximately $13 thousand and $13 thousand, respectively, relating to the lease of a building. For the six months ended June 30, 2024 and 2023, the Company paid rent expense to Cree Investments, LLC of approximately $26 thousand and $26 thousand, respectively, relating to the lease of a building. Future minimum lease payments related to this lease are included in the future minimum lease schedule in Note 12 -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consummation of the Merger, the Company issued shares of DTIC Common Stock in connection with the PIPE Financing to payoff convertible promissory notes which were issued to an affiliate of the ROC Sponsor on December 6, 2022 and March 2, 2023. The notes did not bear interest and were in the amounts of $2.1 million and $2.1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Prior to the Merger, ROC paid the remaining outstanding principal amount owed to an affiliate of the ROC Sponsor in the amount of $0.4 million for a loan to fund working capital deficiencies or finance transaction costs in connection with the Merger. The loan did not bear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w:t>
      </w:r>
    </w:p>
    <w:p>
      <w:pPr>
        <w:spacing w:after="0" w:line="22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June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the components of the Company’s lease expense were as follows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2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2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340" w:type="dxa"/>
            <w:vAlign w:val="bottom"/>
          </w:tcPr>
          <w:p>
            <w:pPr>
              <w:spacing w:after="0"/>
              <w:rPr>
                <w:sz w:val="18"/>
                <w:szCs w:val="18"/>
                <w:color w:val="auto"/>
              </w:rPr>
            </w:pPr>
          </w:p>
        </w:tc>
      </w:tr>
      <w:tr>
        <w:trPr>
          <w:trHeight w:val="245"/>
        </w:trPr>
        <w:tc>
          <w:tcPr>
            <w:tcW w:w="13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4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shd w:val="clear" w:color="auto" w:fill="CFF0FC"/>
          </w:tcPr>
          <w:p>
            <w:pPr>
              <w:spacing w:after="0"/>
              <w:rPr>
                <w:sz w:val="21"/>
                <w:szCs w:val="21"/>
                <w:color w:val="auto"/>
              </w:rPr>
            </w:pPr>
          </w:p>
        </w:tc>
        <w:tc>
          <w:tcPr>
            <w:tcW w:w="1340" w:type="dxa"/>
            <w:vAlign w:val="bottom"/>
          </w:tcPr>
          <w:p>
            <w:pPr>
              <w:spacing w:after="0"/>
              <w:rPr>
                <w:sz w:val="21"/>
                <w:szCs w:val="21"/>
                <w:color w:val="auto"/>
              </w:rPr>
            </w:pPr>
          </w:p>
        </w:tc>
      </w:tr>
      <w:tr>
        <w:trPr>
          <w:trHeight w:val="238"/>
        </w:trPr>
        <w:tc>
          <w:tcPr>
            <w:tcW w:w="136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7"/>
        </w:trPr>
        <w:tc>
          <w:tcPr>
            <w:tcW w:w="1360" w:type="dxa"/>
            <w:vAlign w:val="bottom"/>
          </w:tcPr>
          <w:p>
            <w:pPr>
              <w:spacing w:after="0"/>
              <w:rPr>
                <w:sz w:val="21"/>
                <w:szCs w:val="21"/>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21"/>
                <w:szCs w:val="21"/>
                <w:color w:val="auto"/>
              </w:rPr>
            </w:pPr>
          </w:p>
        </w:tc>
        <w:tc>
          <w:tcPr>
            <w:tcW w:w="1340" w:type="dxa"/>
            <w:vAlign w:val="bottom"/>
          </w:tcPr>
          <w:p>
            <w:pPr>
              <w:spacing w:after="0"/>
              <w:rPr>
                <w:sz w:val="21"/>
                <w:szCs w:val="21"/>
                <w:color w:val="auto"/>
              </w:rPr>
            </w:pPr>
          </w:p>
        </w:tc>
      </w:tr>
      <w:tr>
        <w:trPr>
          <w:trHeight w:val="238"/>
        </w:trPr>
        <w:tc>
          <w:tcPr>
            <w:tcW w:w="136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340" w:type="dxa"/>
            <w:vAlign w:val="bottom"/>
          </w:tcPr>
          <w:p>
            <w:pPr>
              <w:spacing w:after="0"/>
              <w:rPr>
                <w:sz w:val="20"/>
                <w:szCs w:val="20"/>
                <w:color w:val="auto"/>
              </w:rPr>
            </w:pPr>
          </w:p>
        </w:tc>
      </w:tr>
      <w:tr>
        <w:trPr>
          <w:trHeight w:val="278"/>
        </w:trPr>
        <w:tc>
          <w:tcPr>
            <w:tcW w:w="1360" w:type="dxa"/>
            <w:vAlign w:val="bottom"/>
          </w:tcPr>
          <w:p>
            <w:pPr>
              <w:spacing w:after="0"/>
              <w:rPr>
                <w:sz w:val="24"/>
                <w:szCs w:val="24"/>
                <w:color w:val="auto"/>
              </w:rPr>
            </w:pPr>
          </w:p>
        </w:tc>
        <w:tc>
          <w:tcPr>
            <w:tcW w:w="2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8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1,697</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1,616</w:t>
            </w:r>
          </w:p>
        </w:tc>
        <w:tc>
          <w:tcPr>
            <w:tcW w:w="80" w:type="dxa"/>
            <w:vAlign w:val="bottom"/>
            <w:tcBorders>
              <w:bottom w:val="single" w:sz="8" w:color="CFF0FC"/>
            </w:tcBorders>
            <w:shd w:val="clear" w:color="auto" w:fill="CFF0FC"/>
          </w:tcPr>
          <w:p>
            <w:pPr>
              <w:spacing w:after="0"/>
              <w:rPr>
                <w:sz w:val="24"/>
                <w:szCs w:val="24"/>
                <w:color w:val="auto"/>
              </w:rPr>
            </w:pPr>
          </w:p>
        </w:tc>
        <w:tc>
          <w:tcPr>
            <w:tcW w:w="1340" w:type="dxa"/>
            <w:vAlign w:val="bottom"/>
          </w:tcPr>
          <w:p>
            <w:pPr>
              <w:spacing w:after="0"/>
              <w:rPr>
                <w:sz w:val="24"/>
                <w:szCs w:val="24"/>
                <w:color w:val="auto"/>
              </w:rPr>
            </w:pPr>
          </w:p>
        </w:tc>
      </w:tr>
      <w:tr>
        <w:trPr>
          <w:trHeight w:val="621"/>
        </w:trPr>
        <w:tc>
          <w:tcPr>
            <w:tcW w:w="1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40" w:type="dxa"/>
            <w:vAlign w:val="bottom"/>
          </w:tcPr>
          <w:p>
            <w:pPr>
              <w:jc w:val="right"/>
              <w:ind w:right="129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45"/>
        </w:trPr>
        <w:tc>
          <w:tcPr>
            <w:tcW w:w="13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-915670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-898525</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-915670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-898525</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45"/>
        </w:trPr>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8"/>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3,273</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3,202</w:t>
            </w: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0"/>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256"/>
        </w:trPr>
        <w:tc>
          <w:tcPr>
            <w:tcW w:w="1140" w:type="dxa"/>
            <w:vAlign w:val="bottom"/>
          </w:tcPr>
          <w:p>
            <w:pPr>
              <w:spacing w:after="0"/>
              <w:rPr>
                <w:sz w:val="22"/>
                <w:szCs w:val="22"/>
                <w:color w:val="auto"/>
              </w:rPr>
            </w:pPr>
          </w:p>
        </w:tc>
        <w:tc>
          <w:tcPr>
            <w:tcW w:w="56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6"/>
        </w:trPr>
        <w:tc>
          <w:tcPr>
            <w:tcW w:w="1140" w:type="dxa"/>
            <w:vAlign w:val="bottom"/>
          </w:tcPr>
          <w:p>
            <w:pPr>
              <w:spacing w:after="0"/>
              <w:rPr>
                <w:sz w:val="20"/>
                <w:szCs w:val="20"/>
                <w:color w:val="auto"/>
              </w:rPr>
            </w:pPr>
          </w:p>
        </w:tc>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11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7.35 %</w:t>
            </w:r>
          </w:p>
        </w:tc>
      </w:tr>
      <w:tr>
        <w:trPr>
          <w:trHeight w:val="481"/>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50"/>
        </w:trPr>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243"/>
        </w:trPr>
        <w:tc>
          <w:tcPr>
            <w:tcW w:w="1140" w:type="dxa"/>
            <w:vAlign w:val="bottom"/>
          </w:tcPr>
          <w:p>
            <w:pPr>
              <w:spacing w:after="0"/>
              <w:rPr>
                <w:sz w:val="21"/>
                <w:szCs w:val="21"/>
                <w:color w:val="auto"/>
              </w:rPr>
            </w:pPr>
          </w:p>
        </w:tc>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2,981</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-1857375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-1840230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-1857375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-1840230</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unaudited condensed consolidated balance sheet as of June 30, 2024 were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80" w:type="dxa"/>
            <w:vAlign w:val="bottom"/>
            <w:shd w:val="clear" w:color="auto" w:fill="CFF0FC"/>
          </w:tcPr>
          <w:p>
            <w:pPr>
              <w:spacing w:after="0"/>
              <w:rPr>
                <w:sz w:val="21"/>
                <w:szCs w:val="2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tcPr>
          <w:p>
            <w:pPr>
              <w:spacing w:after="0"/>
              <w:rPr>
                <w:sz w:val="20"/>
                <w:szCs w:val="20"/>
                <w:color w:val="auto"/>
              </w:rPr>
            </w:pPr>
          </w:p>
        </w:tc>
      </w:tr>
      <w:tr>
        <w:trPr>
          <w:trHeight w:val="24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80" w:type="dxa"/>
            <w:vAlign w:val="bottom"/>
            <w:shd w:val="clear" w:color="auto" w:fill="CFF0FC"/>
          </w:tcPr>
          <w:p>
            <w:pPr>
              <w:spacing w:after="0"/>
              <w:rPr>
                <w:sz w:val="21"/>
                <w:szCs w:val="2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80" w:type="dxa"/>
            <w:vAlign w:val="bottom"/>
          </w:tcPr>
          <w:p>
            <w:pPr>
              <w:spacing w:after="0"/>
              <w:rPr>
                <w:sz w:val="20"/>
                <w:szCs w:val="20"/>
                <w:color w:val="auto"/>
              </w:rPr>
            </w:pPr>
          </w:p>
        </w:tc>
      </w:tr>
      <w:tr>
        <w:trPr>
          <w:trHeight w:val="24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shd w:val="clear" w:color="auto" w:fill="CFF0FC"/>
          </w:tcPr>
          <w:p>
            <w:pPr>
              <w:spacing w:after="0"/>
              <w:rPr>
                <w:sz w:val="21"/>
                <w:szCs w:val="2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80" w:type="dxa"/>
            <w:vAlign w:val="bottom"/>
          </w:tcPr>
          <w:p>
            <w:pPr>
              <w:spacing w:after="0"/>
              <w:rPr>
                <w:sz w:val="20"/>
                <w:szCs w:val="20"/>
                <w:color w:val="auto"/>
              </w:rPr>
            </w:pPr>
          </w:p>
        </w:tc>
      </w:tr>
      <w:tr>
        <w:trPr>
          <w:trHeight w:val="24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27,943</w:t>
            </w:r>
          </w:p>
        </w:tc>
        <w:tc>
          <w:tcPr>
            <w:tcW w:w="80" w:type="dxa"/>
            <w:vAlign w:val="bottom"/>
            <w:shd w:val="clear" w:color="auto" w:fill="CFF0FC"/>
          </w:tcPr>
          <w:p>
            <w:pPr>
              <w:spacing w:after="0"/>
              <w:rPr>
                <w:sz w:val="20"/>
                <w:szCs w:val="20"/>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(5,996 )</w:t>
            </w:r>
          </w:p>
        </w:tc>
      </w:tr>
      <w:tr>
        <w:trPr>
          <w:trHeight w:val="278"/>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21,947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leases downhole drilling tools to companies in the oil and natural gas industry. Such leases are accounted for in accordance with ASC 842. For the three and six months ended June 30, 2024, tool rental revenue was approximately $28.3 million and $58.3 million, respectively. Our lease contract periods are short-term in nature and are typically daily, monthly, per well, or footage based. Due to the short term nature of the contracts, no maturity table is presented.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13 – EMPLOYEE BENEFITS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plan that complies with Section 401(k) of the Internal Revenue Code. All employees are auto enrolled at a 3% contribution, unless they opt out, beginning on the first plan entry date following six months of service. Plan entry dates are the first day of January and July. In March of 2020, the Company suspended any employee contribution match effective immediately and through the end of 2021. The match was reinstated on January 1, 2022. For 2022, the Company matched 150% of the first 3% of employee contributions, not to exceed $2 thousand per participant per calendar year. Employees vest in employer contributions over six years. The contribution is limited to the maximum contribution allowed under the Internal Revenue Service Regulations. The total expense for the three months ended June 30, 2024 and 2023 was approximately $0.2 million and $0.2 million, respectively. The total expense for the six months ended June 30, 2024 and 2023 was approximately $0.4 million and $0.4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12 -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w:t>
      </w:r>
    </w:p>
    <w:p>
      <w:pPr>
        <w:spacing w:after="0" w:line="20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required to pay a monthly management fee to a shareholder. The fee is based upon a percentage of the Company’s trailing twelve months, earnings before interest, taxes and accumulated depreciation amount, as defined in the management agreement (refer to Note 11 –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Transactions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9" w:name="page30"/>
    <w:bookmarkEnd w:id="29"/>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earnings per share for the three and six months ended June 30, 2024 and 2023 (in thousands except share and per share data):</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40"/>
        </w:trPr>
        <w:tc>
          <w:tcPr>
            <w:tcW w:w="5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Redeemable Convertible Preferred Stock dividends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36"/>
        </w:trPr>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 — basic</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Redeemable Convertible Preferred Stock dividends</w:t>
            </w: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used in computing</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29,816,202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13,910,670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29,792,385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effect of potentially dilutive securities: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time-based stock options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873,348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436,674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potentially dilutive performance-based stock options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164,132</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110,514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82,066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restricted stock units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potentially dilutive redeemable convertible</w:t>
            </w:r>
          </w:p>
        </w:tc>
        <w:tc>
          <w:tcPr>
            <w:tcW w:w="1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5,981,219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6,350,430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30,873,436</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20,746,976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30,321,002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20,217,648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-2422525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-2422525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-2422525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-2422525</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-2080260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-2080260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-2080260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-2080260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-547370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-547370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-547370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-547370</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-205105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-187960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-205105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-205105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-205105</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-187960</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June 30, 2024, the Company’s potentially dilutive securities consisted of options to purchase common stock. Based on the amounts outstanding as of the three and six months ended June 30, 2024 and 2023, the Company excluded the following potential common shares from the computation of diluted net income per share because including them would have had an anti-dilutive effect:</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0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w:t>
            </w:r>
          </w:p>
        </w:tc>
      </w:tr>
      <w:tr>
        <w:trPr>
          <w:trHeight w:val="245"/>
        </w:trPr>
        <w:tc>
          <w:tcPr>
            <w:tcW w:w="4460" w:type="dxa"/>
            <w:vAlign w:val="bottom"/>
          </w:tcPr>
          <w:p>
            <w:pPr>
              <w:spacing w:after="0"/>
              <w:rPr>
                <w:sz w:val="21"/>
                <w:szCs w:val="21"/>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80" w:type="dxa"/>
            <w:vAlign w:val="bottom"/>
          </w:tcPr>
          <w:p>
            <w:pPr>
              <w:spacing w:after="0"/>
              <w:rPr>
                <w:sz w:val="21"/>
                <w:szCs w:val="21"/>
                <w:color w:val="auto"/>
              </w:rPr>
            </w:pPr>
          </w:p>
        </w:tc>
      </w:tr>
      <w:tr>
        <w:trPr>
          <w:trHeight w:val="240"/>
        </w:trPr>
        <w:tc>
          <w:tcPr>
            <w:tcW w:w="446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4"/>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Time-based options outstanding</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2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2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8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-187960</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-187960</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-187960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Superior Drilling Products, Inc.</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 2024, the Company announced the closing (the “SDPI Closing”) of the acquisition of Superior Drilling Products, Inc. (“SDPI”) pursuant to the Agreement and Plan of Merger, dated March 6, 2024 (the “Merger Agreement”), by and among the Company, SDPI, DTI Merger Sub I, Inc., a Delaware corporation and direct wholly owned subsidiary of the Company, and Merger DTI Merger Sub II, LLC, a Delaware limited liability company and wholly owned subsidiary of the Company (“Merger Sub II”), pursuant to which Merger Sub I merged with and into SDPI (the “First Merger”), with SDPI surviving as a wholly owned subsidiary of DTI and upon the effective time of the First Merger (the “First Effective Time”), SDPI, as the surviving corporation of the First Merger, merged with and into Merger Sub II (the “Second Merger,” and together with the First Merger, the “Merger”), with Merger Sub II surviving as a wholly owned subsidiary of the Company. In connection with the Closing, the Company issued (i) $14.9 million and (ii) 4,845,132 shares of DTI common stock to former shareholders of SDPI as merger consideration. The initial accounting for this business combination is in process, which includes a valuation analysis to value the assets and liabilities assumed as a result of the transaction. As such, the impact on the consolidated financial statements cannot be estimated at this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June 30, 2024, and for the three months ended June 30, 2024 and 2023, included elsewhere herein. For additional information pertaining to our business, including risk factors which should be considered before investing in our common stock, refer to our Annual Report on Form 10-K for the fiscal year ended December 31, 2023. Our historical results are not necessarily indicative of the results that may be expected for any period in the future. All dollar amounts are expressed in thousands of United States (“U.S.”) dollars (“$”), unless otherwise indicated. Capitalized terms used in this section, but not otherwise defined, have the meanings ascribed to them in the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now operate from 16 service and support centers across North America and maintains 10 international service and support centers across the Europe, Middle East, and Africa ("EMEA") regions and Asia-Pacific ("APAC") regions.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model primarily centers on revenue generated from tool rentals and product sales. We generated revenue from total tool rentals and product sales of $37.5 million and $37.9 million for the three months ended June 30, 2024 and 2023, respectively, and had net income of $0.4 million and $0.9 million for those same periods. Additionally, we generated revenue from tool rentals and product sales of $74.5 million and $78.7 million for the six months ended June 30, 2024 and 2023, respectively, and had net income of $3.5 million and $6.6 million for those same periods, respectively. As of June 30, 2024, we had cash and cash equivalents of $6.8 million, and an accumulated deficit of $3.1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future financial performance will be driven by continued investment in oil and gas drilling following years of industry underinvestment.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tool rental revenues are primarily dependent on drilling activity and our ability to gain or maintain market share with a sustainable pricing model.</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with a specific customer.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Update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half of 2024, the oil and gas market witnessed a dynamic interplay of geopolitical tensions, supply concerns, and global demand fluctuations. Crude oil prices remained volatile, with benchmarks such as Brent and WTI experiencing fluctuations driven by a multitude of factors. Geopolitical tensions in key oil-producing regions, such as the Middle East, continued to influence market sentiment, leading to sporadic spikes in prices. Additionally, concerns over supply disruptions, particularly amidst conflicts and geopolitical uncertainties, added to the market’s unease. As the global market for crude oil has continued its recovery, technical recessions, specifically in China, have slowed progress and created fluctuations in global demand. As of June 30, 2024, the WTI oil price was approximately $83.29 per barrel.</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Despite the high volatility in spot oil prices described above, our customers tend to be more focused on medium-term and long term commodity prices when making investment decisions due to the longer lead times for offshore projects. These forward prices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experienced far less volatility in 2022 and 2023 and have maintained levels in 2024 which are highly constructive for offshore project demand.</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Prices for natural gas have decreased somewhat throughout the first half of 2024 relative to the fourth quarter of 2023 in the U.S. due to several factors, including a mild winter in key consuming regions and increased production and availability, both of which led to an oversupply in the market. Additionally, constrained storage capacity and delivery delays resulted in uncertainty around liquified natural gas exports in the U.S.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Henry Hub natural gas spot prices have increased from an average of $2.18 per one million British Thermal Units (“MMBtu”) in June 2023 to $2.53 per MMBtu in June 2024.</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ongoing conflict in Ukraine and the evolving Israel-Hamas conflict have caused uncertainty in the oil and natural gas markets, and the financial markets, both globally and in the U.S. Such uncertainty already has and could continue to cause stock price volatility and supply chain disruptions as well as higher oil and natural gas prices. These could result in higher inflation worldwide, impact consumer spending and negatively impact demand for our goods and services. Moreover, additional interest rate increases by the U.S. Federal Reserve to combat inflation could further increase the probability of a recession.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Notwithstanding the significant commodity price volatility over the past several years, we have seen decreases in U.S. onshore drilling activity. During the three and six months ended June 30, 2024, the weekly average U.S. onshore rig count as reported by Baker Hughes was 583 and 592 rigs, respectively, compared to 698 and 720 rigs for the three and six months ended June 30, 2023, respectively. Current rig activity remains significantly improved from 2020 levels when the weekly average rig count for the year ended December 31, 2020 was 417.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Increased Costs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Our Operations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use a number of financial and operational measures to routinely analyze and evaluate the performance of our business, including revenue, net and non-GAAP measures Adjusted EBITDA and Free Cash Flow.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net</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analyze our performance by comparing actual monthly revenue to revenue trends and revenue forecasts by product line as well as tool activity trends for each month. Our revenue is primarily derived from tool rental and product sales.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regularly evaluate our financial performance using Adjusted EBITDA. Our management believes Adjusted EBITDA is a useful financial performance measure as it excludes non-cash charges and other transactions not related to our core operating activities and allows more meaningful analysis of the trends and performance of our core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the first quarter of fiscal year 2024, we revised our presentation of non-GAAP measures to exclude the presentation of free cash flow in alignment with industry practices and to enhance comparability with our peers. The Company has determined that GAAP disclosures regarding the Company’s liquidity and capital resources, in the form provided in the Company’s recent periodic reports and without further enhancement through the inclusion of non-GAAP free cash flow information, provide investors with sufficient information on the Company’s cash available for investments, acquisitions, and working capital requirements.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Please refer to the section titled “Non-GAAP Financial Measures” for a reconciliation of Adjusted EBITDA to net income, the most directly comparable financial performance measure calculated and presented in accordance with GAAP and a reconciliation of free cash flow to net cash provided by (used in) operating activities, the most directly comparable liquidity measure calculated and presented in accordance with U.S GAAP.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discussion below relating to significant line items from our interim unaudited consolidated statements of income and comprehensive income are based on available information and represent our analysis of significant changes or events that impact the comparability of the reported amount. Where appropriate, we have identified specific events and changes that affect comparability or trends and, where reasonably practicable, we have quantified the impact of such items.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generate our revenue, net from tool rental services and product sales. Tool rental services consist of rental services, inspection services, and repair services is accounted for in accordance Topic 842. We recognize revenues from renting tools on a straight-line basis. Our rental contract periods are daily, monthly, per well, or based on footage. As part of this straight-line methodology, when the equipment is returned, we recognize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rental tool recovery component of product sales revenue is recognized when a tool is deemed to be lost-in-hole, damaged-beyond-repair, or lost-in-transit while in the care, custody, or control of the customer. Other made to order product sales revenue is recognized when the product is made available to the customer for pickup at our shipping dock.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tool rental services revenue to increase over time as a function of an increase in drilling activity, customer pricing, and market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product sales revenue will increase as aged and consumable products will continue to be replaced in order to maintain or increase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product sale focused acquisitions are expected to further increase product sale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costs and expenses consist of cost of revenue, selling, general, and administrative expense, and depreciation and amortization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cost of revenue consists primarily of all direct and indirect expenses related to providing our tool rental services offering and delivering our product sales, including personnel-related expenses and costs associated with maintaining the facilities.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expect our total cost of tool rental revenue and our total cost of product sale revenue to increase in absolute dollars in future periods, corresponding to our anticipated growth in revenue and employee headcount to support our customers and to maintain the manufacturing, operations and field service team with some expected cost inflation.</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expect that gross margins will continue to improve slightly as we leverage our existing cost structure to support an increase in our business activity. In addition, we expect that customer price increases will help offset cost inflation.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benefits and stock-based compensation for personnel and outside professional services expenses including legal, audit and accounting services, insurance, other administrative expenses and allocated facility costs for our administrative functions.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operating expenses to increase in absolute dollars for the foreseeable future as a result of operating as a public company. In particular, we expect our legal, accounting, tax, personnel-related expenses and directors’ and officers’ insurance costs reported within general and administrative expense to increase as we establish more comprehensive compliance and governance functions, increased security and IT compliance, review internal controls over financial reporting in accordance with the Sarbanes-Oxley Act of 2002, as amended, and prepare and distribute periodic reports as required by the rules and regulations of the U.S. Securities and Exchange Commission. As a result, our historical results of operations may not be indicative of our results of operations in future periods.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Selling expenses consist primarily of personnel-related expenses, including salaries, benefits and stock-based compensation for personnel, direct advertising, marketing and promotional material costs, sales commission expense, consulting fees and allocated facility costs for our sales and marketing functions.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3" w:name="page34"/>
    <w:bookmarkEnd w:id="33"/>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We intend to increase investments in our sales and marketing organization to drive additional revenue, expand our global customer base, and broaden our brand awareness. We expect our sales and marketing expenses to continue to increase in absolute dollars for the foreseeable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 relates to the consumption of our property and equipment, which consists of rental tools, shop equipment, computer equipment, furniture and fixtures and leasehold improvements, and the amortization of our intangible assets mainly related to customer relationships, software and partnerships.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Our other income (expense), net is primarily comprised of interest income (expense), gain on sale of property, unrealized gain (loss) on securities, and other miscellaneous income and expense unrelated to our core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 forth our results of operations for the periods presented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9"/>
                <w:szCs w:val="19"/>
                <w:color w:val="auto"/>
              </w:rPr>
            </w:pPr>
          </w:p>
        </w:tc>
        <w:tc>
          <w:tcPr>
            <w:tcW w:w="260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5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 net:</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Tool rental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28,328</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29,002</w:t>
            </w:r>
          </w:p>
        </w:tc>
        <w:tc>
          <w:tcPr>
            <w:tcW w:w="240" w:type="dxa"/>
            <w:vAlign w:val="bottom"/>
          </w:tcPr>
          <w:p>
            <w:pPr>
              <w:spacing w:after="0"/>
              <w:rPr>
                <w:sz w:val="19"/>
                <w:szCs w:val="19"/>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58,294</w:t>
            </w:r>
          </w:p>
        </w:tc>
        <w:tc>
          <w:tcPr>
            <w:tcW w:w="2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61,278</w:t>
            </w:r>
          </w:p>
        </w:tc>
        <w:tc>
          <w:tcPr>
            <w:tcW w:w="100" w:type="dxa"/>
            <w:vAlign w:val="bottom"/>
          </w:tcPr>
          <w:p>
            <w:pPr>
              <w:spacing w:after="0"/>
              <w:rPr>
                <w:sz w:val="19"/>
                <w:szCs w:val="19"/>
                <w:color w:val="auto"/>
              </w:rPr>
            </w:pPr>
          </w:p>
        </w:tc>
      </w:tr>
      <w:tr>
        <w:trPr>
          <w:trHeight w:val="232"/>
        </w:trPr>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sale</w:t>
            </w: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9,205</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16,213</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37,533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37,908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74,507</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78,707</w:t>
            </w:r>
          </w:p>
        </w:tc>
        <w:tc>
          <w:tcPr>
            <w:tcW w:w="100" w:type="dxa"/>
            <w:vAlign w:val="bottom"/>
          </w:tcPr>
          <w:p>
            <w:pPr>
              <w:spacing w:after="0"/>
              <w:rPr>
                <w:sz w:val="19"/>
                <w:szCs w:val="19"/>
                <w:color w:val="auto"/>
              </w:rPr>
            </w:pPr>
          </w:p>
        </w:tc>
      </w:tr>
      <w:tr>
        <w:trPr>
          <w:trHeight w:val="22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Cost and expenses: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tool rental revenue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15,829</w:t>
            </w:r>
          </w:p>
        </w:tc>
        <w:tc>
          <w:tcPr>
            <w:tcW w:w="100" w:type="dxa"/>
            <w:vAlign w:val="bottom"/>
          </w:tcPr>
          <w:p>
            <w:pPr>
              <w:spacing w:after="0"/>
              <w:rPr>
                <w:sz w:val="19"/>
                <w:szCs w:val="19"/>
                <w:color w:val="auto"/>
              </w:rPr>
            </w:pPr>
          </w:p>
        </w:tc>
      </w:tr>
      <w:tr>
        <w:trPr>
          <w:trHeight w:val="23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product sale revenue</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34,447</w:t>
            </w:r>
          </w:p>
        </w:tc>
        <w:tc>
          <w:tcPr>
            <w:tcW w:w="100" w:type="dxa"/>
            <w:vAlign w:val="bottom"/>
          </w:tcPr>
          <w:p>
            <w:pPr>
              <w:spacing w:after="0"/>
              <w:rPr>
                <w:sz w:val="19"/>
                <w:szCs w:val="19"/>
                <w:color w:val="auto"/>
              </w:rPr>
            </w:pPr>
          </w:p>
        </w:tc>
      </w:tr>
      <w:tr>
        <w:trPr>
          <w:trHeight w:val="232"/>
        </w:trPr>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35,298</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31,284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67,142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62,468</w:t>
            </w:r>
          </w:p>
        </w:tc>
        <w:tc>
          <w:tcPr>
            <w:tcW w:w="100" w:type="dxa"/>
            <w:vAlign w:val="bottom"/>
          </w:tcPr>
          <w:p>
            <w:pPr>
              <w:spacing w:after="0"/>
              <w:rPr>
                <w:sz w:val="19"/>
                <w:szCs w:val="19"/>
                <w:color w:val="auto"/>
              </w:rPr>
            </w:pPr>
          </w:p>
        </w:tc>
      </w:tr>
      <w:tr>
        <w:trPr>
          <w:trHeight w:val="22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100" w:type="dxa"/>
            <w:vAlign w:val="bottom"/>
            <w:shd w:val="clear" w:color="auto" w:fill="CFF0FC"/>
          </w:tcPr>
          <w:p>
            <w:pPr>
              <w:spacing w:after="0"/>
              <w:rPr>
                <w:sz w:val="19"/>
                <w:szCs w:val="19"/>
                <w:color w:val="auto"/>
              </w:rPr>
            </w:pPr>
          </w:p>
        </w:tc>
      </w:tr>
      <w:tr>
        <w:trPr>
          <w:trHeight w:val="22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(811 )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(348 )</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(992 )</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(922 )</w:t>
            </w: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(loss) on sale of property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r>
      <w:tr>
        <w:trPr>
          <w:trHeight w:val="23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 (loss) on equity securities</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(1,672 )</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(4,382 )</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(2,798 )</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(6,035 )</w:t>
            </w:r>
          </w:p>
        </w:tc>
      </w:tr>
      <w:tr>
        <w:trPr>
          <w:trHeight w:val="2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(1,952 )</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(4,311 )</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(3,019 )</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(6,502 )</w:t>
            </w:r>
          </w:p>
        </w:tc>
      </w:tr>
      <w:tr>
        <w:trPr>
          <w:trHeight w:val="220"/>
        </w:trPr>
        <w:tc>
          <w:tcPr>
            <w:tcW w:w="5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4,346</w:t>
            </w: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9,737</w:t>
            </w:r>
          </w:p>
        </w:tc>
        <w:tc>
          <w:tcPr>
            <w:tcW w:w="100" w:type="dxa"/>
            <w:vAlign w:val="bottom"/>
            <w:tcBorders>
              <w:top w:val="single" w:sz="8" w:color="CFF0FC"/>
            </w:tcBorders>
          </w:tcPr>
          <w:p>
            <w:pPr>
              <w:spacing w:after="0"/>
              <w:rPr>
                <w:sz w:val="19"/>
                <w:szCs w:val="19"/>
                <w:color w:val="auto"/>
              </w:rPr>
            </w:pPr>
          </w:p>
        </w:tc>
      </w:tr>
      <w:tr>
        <w:trPr>
          <w:trHeight w:val="232"/>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(1,376 )</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(854 )</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(3,099 )</w:t>
            </w:r>
          </w:p>
        </w:tc>
      </w:tr>
      <w:tr>
        <w:trPr>
          <w:trHeight w:val="223"/>
        </w:trPr>
        <w:tc>
          <w:tcPr>
            <w:tcW w:w="5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100" w:type="dxa"/>
            <w:vAlign w:val="bottom"/>
            <w:tcBorders>
              <w:top w:val="single" w:sz="8" w:color="CFF0FC"/>
            </w:tcBorders>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-2559685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-2559685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-2559685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-1668780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-1668780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-1668780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-478790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-478790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-478790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-179070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-179070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-179070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net consists of tool rental and product sale 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(674 )</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Tool rental revenue decreased $0.7 million, or (2)%, to $28.3 million for the three months ended June 30, 2024 as compared to $29.0 million for the three months ended June 30, 2023. The decrease was primarily driven by decreased market activity in relation to our Directional Tool Rentals (“DTR”) division, the revenue of which decreased $2.5 million. The decrease was partially offset by an increase in our Premium Tools Division ("PTD"), the revenue of which increased $1.0 million, our Wellbore Optimization Tools ("WOT") Division, the revenue of which increased $0.5 million, and the addition of Deep Casing, which added rental revenue of $0.3 million for the three months ended June 30, 2024.</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4" w:name="page35"/>
    <w:bookmarkEnd w:id="34"/>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Product sale revenue increased $0.3 million, or 3%, to $9.2 million for the three months ended June 30, 2024 as compared to $8.9 million for the three months ended June 30, 2023. The increase by additional product sales as it relates to Deep Casing which was acquired in March 2024. This increase was partially offset by lower tool recovery revenue for the three months ended June 30, 2024 as compared to the three months ended June 30,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revenue consists of cost of tool rental revenue and cost of product sale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7,454</w:t>
            </w:r>
          </w:p>
        </w:tc>
        <w:tc>
          <w:tcPr>
            <w:tcW w:w="9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7,692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(238 )</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2,544</w:t>
            </w:r>
          </w:p>
        </w:tc>
        <w:tc>
          <w:tcPr>
            <w:tcW w:w="9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1,157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Cost of tool rental revenue decreased $0.2 million, or (3)%, to $7.5 million for the three months ended June 30, 2024 as compared to $7.7 million for the for the three months ended June 30, 2023. The decrease in cost of tool rental revenue was primarily driven by a decrease in labor cost and repairs cost due to the decrease in rental activity.</w:t>
      </w:r>
    </w:p>
    <w:p>
      <w:pPr>
        <w:spacing w:after="0" w:line="17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Cost of product sale revenue increased $1.4 million, or 120%, to $2.5 million for the three months ended June 30, 2024 as compared to $1.2 million for the for the three months ended June 30, 2023. The increase in cost of product sale revenue was primarily driven by additional cost of product sales from Deep Casing, offset by a decrease in cost of product sales associated with tool recovery.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 increased $1.9 million, or 11%, to $19.6 million for the three months ended June 30, 2024 as compared to $17.7 million for the three months ended June 30, 2023. This increase was primarily driven by an increase in personnel related fees and other costs associated with the public company transition. No other driver of this increase was significant.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40" w:type="dxa"/>
            <w:vAlign w:val="bottom"/>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5,681</w:t>
            </w:r>
          </w:p>
        </w:tc>
        <w:tc>
          <w:tcPr>
            <w:tcW w:w="9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4,717</w:t>
            </w:r>
          </w:p>
        </w:tc>
        <w:tc>
          <w:tcPr>
            <w:tcW w:w="10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964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expenses increased $1.0 million, or 20%, to $5.7 million for the three months ended June 30, 2024 as compared to $4.7 million for the three months ended June 30, 2023. The increase was primarily due an increase in depreciation expense resulting from a higher property, plant and equipment balance as of June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608"/>
              <w:spacing w:after="0"/>
              <w:rPr>
                <w:sz w:val="20"/>
                <w:szCs w:val="20"/>
                <w:color w:val="auto"/>
              </w:rPr>
            </w:pPr>
            <w:r>
              <w:rPr>
                <w:rFonts w:ascii="Times New Roman" w:cs="Times New Roman" w:eastAsia="Times New Roman" w:hAnsi="Times New Roman"/>
                <w:sz w:val="18"/>
                <w:szCs w:val="18"/>
                <w:color w:val="auto"/>
              </w:rPr>
              <w:t>(811 )  $</w:t>
            </w:r>
          </w:p>
        </w:tc>
        <w:tc>
          <w:tcPr>
            <w:tcW w:w="1480" w:type="dxa"/>
            <w:vAlign w:val="bottom"/>
            <w:gridSpan w:val="3"/>
          </w:tcPr>
          <w:p>
            <w:pPr>
              <w:jc w:val="right"/>
              <w:ind w:right="688"/>
              <w:spacing w:after="0"/>
              <w:rPr>
                <w:sz w:val="20"/>
                <w:szCs w:val="20"/>
                <w:color w:val="auto"/>
              </w:rPr>
            </w:pPr>
            <w:r>
              <w:rPr>
                <w:rFonts w:ascii="Times New Roman" w:cs="Times New Roman" w:eastAsia="Times New Roman" w:hAnsi="Times New Roman"/>
                <w:sz w:val="18"/>
                <w:szCs w:val="18"/>
                <w:color w:val="auto"/>
              </w:rPr>
              <w:t>(348 )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-147955</wp:posOffset>
            </wp:positionV>
            <wp:extent cx="7055485"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55485"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Interest expense increased $463 thousand, or 133%, to $0.8 million for the three months ended June 30, 2024 as compared to $0.3 million for the three months ended June 30, 2023. The increase was primarily due to an increase in interest expense on the term loan entered into in March 2024.</w:t>
      </w:r>
    </w:p>
    <w:p>
      <w:pPr>
        <w:spacing w:after="0" w:line="1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Unrealized Gain on Equity Securities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equity securities</w:t>
            </w: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Unrealized gain on equity securities increased by $0.1 million, or 14%, to $0.5 million for the three months ended June 30, 2024 as compared to $0.4 million for the three months ended June 30, 2023 primarily due to favorable market valuations in the second quarter of 2024 as compared to the second quarter of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(1,672 )   $</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(4,382 )  $</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(2,710 )</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Other expense for the three months ended June 30, 2024 was $1.7 million, a decrease of $2.7 million, or (62)%, compared to the three months ended June 30, 2023. The decrease was primarily due to increased transaction costs related to the completion of the merger with ROC Energy Acquisition in June 2023.</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net consists of tool rental and product sale 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11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(2,984 )</w:t>
            </w:r>
          </w:p>
        </w:tc>
        <w:tc>
          <w:tcPr>
            <w:tcW w:w="1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11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(1,216 )</w:t>
            </w:r>
          </w:p>
        </w:tc>
        <w:tc>
          <w:tcPr>
            <w:tcW w:w="1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Tool rental revenue decreased $3.0 million, or (5)%, to $58.3 million for the six months ended June 30, 2024 as compared to $61.3 million for the six months ended June 30, 2023. The decrease was primarily driven by decreased market activity across certain divisions, especially in relation to our DTR division, the revenue of which decreased $4.0 million and our PTD division, the revenue of which decreased $1.0 million. These decreases were offset by increases at our WOT division, the revenue of which increased by $2.0 million.</w:t>
      </w:r>
    </w:p>
    <w:p>
      <w:pPr>
        <w:spacing w:after="0" w:line="18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Product sale revenue decreased $1.2 million, or (7)%, to $16.2 million for the six months ended June 30, 2024 as compared to $17.4 million for the six months ended June 30, 2023. The decrease was primarily driven by higher than average rental tool recovery events in the six months ended June 30, 2023, partially offset by additional product sales at Deep Casing for the six months ended June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revenue consists of cost of tool rental revenue and cost of product sale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14,455</w:t>
            </w:r>
          </w:p>
        </w:tc>
        <w:tc>
          <w:tcPr>
            <w:tcW w:w="11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(1,374 )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1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2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Cost of tool rental revenue decreased $1.4 million, or (9)%, to $14.5 million for the six months ended June 30, 2024 as compared to $15.8 million for the for the six months ended June 30, 2023. The decrease in cost of tool rental revenue was primarily driven by a decrease in labor cost and repairs cost due to the decrease in rental activity.</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8" w:right="239" w:bottom="1440" w:gutter="0" w:footer="0" w:header="0"/>
        </w:sectPr>
      </w:pPr>
    </w:p>
    <w:bookmarkStart w:id="36" w:name="page37"/>
    <w:bookmarkEnd w:id="36"/>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Cost of product sale revenue increased $1.6 million, or 66%, to $4.1 million for the six months ended June 30, 2024 as compared to $2.5 million for the for the six months ended June 30, 2023. The increase in cost of product sale revenue was primarily driven by additional cost of product sales from Deep Casing, offset by a decrease in cost of product sales associated with tool recovery.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37,560</w:t>
            </w:r>
          </w:p>
        </w:tc>
        <w:tc>
          <w:tcPr>
            <w:tcW w:w="11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 increased $3.1 million, or 9%, to $37.6 million for the six months ended June 30, 2024 as compared to $34.4 million for the six months ended June 30, 2023. This increase was primarily driven by an increase in personnel related fees and other costs associated with the public company transition. No other driver of this increase was significant.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expenses increased $1.3 million, or 14%, to $11.0 million for the six months ended June 30, 2024 as compared to $9.7 million for the six months ended June 30, 2023. The increase was primarily due to an increase in depreciation expense resulting from a higher property, plant and equipment balance as of June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27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60" w:type="dxa"/>
            <w:vAlign w:val="bottom"/>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jc w:val="right"/>
              <w:ind w:right="608"/>
              <w:spacing w:after="0"/>
              <w:rPr>
                <w:sz w:val="20"/>
                <w:szCs w:val="20"/>
                <w:color w:val="auto"/>
              </w:rPr>
            </w:pPr>
            <w:r>
              <w:rPr>
                <w:rFonts w:ascii="Times New Roman" w:cs="Times New Roman" w:eastAsia="Times New Roman" w:hAnsi="Times New Roman"/>
                <w:sz w:val="18"/>
                <w:szCs w:val="18"/>
                <w:color w:val="auto"/>
              </w:rPr>
              <w:t>(992 )  $</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(922 )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3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For the six months ended June 30, 2024 we had interest expense of $1.0 million as compared to interest expense of $0.9 million for the six months ended June 30, 2023. This change of $0.1 million or 8% was primarily due to additional interest charges on the Term Loan entered into during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 on Equity Securities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equity securities</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Unrealized gain on equity securities increased by $342 thousand, or 88%, to $729 thousand for the six months ended June 30, 2024 as compared to $387 thousand for the six months ended June 30, 2023 primarily due to favorable market valuations through the first two quarters of 2024 as compared to the first two quarters of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(2,798 )  $</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(6,035 )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Other expense for the six months ended June 30, 2024 was $2.8 million, a decrease of $3.2 million, or (54)%, compared to the six months ended June 30, 2023. The decrease was primarily due to increased transaction costs related to the completion of the merger with ROC Energy Acquisition in June 2023.</w:t>
      </w:r>
    </w:p>
    <w:p>
      <w:pPr>
        <w:spacing w:after="0" w:line="1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unaudited interim consolidated financial statements, which are prepared and presented in accordance with U.S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U.S. GAAP.</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income (expense),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non-GAAP financial measures should not be considered in isolation from, or as substitutes for, financial information prepared in accordance with U.S. GAAP. There are a number of limitations related to the use of this non-GAAP financial measures compared to the closest comparable U.S.GAAP measure. Some of these limitations are that:</w:t>
      </w:r>
    </w:p>
    <w:p>
      <w:pPr>
        <w:spacing w:after="0" w:line="177" w:lineRule="exact"/>
        <w:rPr>
          <w:sz w:val="20"/>
          <w:szCs w:val="20"/>
          <w:color w:val="auto"/>
        </w:rPr>
      </w:pPr>
    </w:p>
    <w:p>
      <w:pPr>
        <w:ind w:left="76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benefit (expense).</w:t>
      </w:r>
    </w:p>
    <w:p>
      <w:pPr>
        <w:spacing w:after="0" w:line="25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net income (loss) for the three and six months ended June 30, 2024 and 2023 (non-recurring transaction expenses recorded to other (income) expense are presented separately within Adjusted EBITDA):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 expense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fees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(420 )</w:t>
            </w: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expense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(341 )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100" w:type="dxa"/>
            <w:vAlign w:val="bottom"/>
            <w:tcBorders>
              <w:top w:val="single" w:sz="8" w:color="CFF0FC"/>
            </w:tcBorders>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4"/>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 expense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fees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(387 )</w:t>
            </w: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expense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28,110</w:t>
            </w:r>
          </w:p>
        </w:tc>
        <w:tc>
          <w:tcPr>
            <w:tcW w:w="100" w:type="dxa"/>
            <w:vAlign w:val="bottom"/>
            <w:tcBorders>
              <w:top w:val="single" w:sz="8" w:color="CFF0FC"/>
            </w:tcBorders>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-2550795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-2550795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June 30, 2024, we had $6.8 million of cash and cash equivalents. Our primary sources of liquidity and capital resources are cash on hand, cash flows generated by operating activities and, if necessary, borrowings under the Credit Facility Agreement. We may use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8" w:name="page39"/>
    <w:bookmarkEnd w:id="38"/>
    <w:p>
      <w:pPr>
        <w:jc w:val="both"/>
        <w:spacing w:after="0" w:line="265" w:lineRule="auto"/>
        <w:rPr>
          <w:sz w:val="20"/>
          <w:szCs w:val="20"/>
          <w:color w:val="auto"/>
        </w:rPr>
      </w:pPr>
      <w:r>
        <w:rPr>
          <w:rFonts w:ascii="Times New Roman" w:cs="Times New Roman" w:eastAsia="Times New Roman" w:hAnsi="Times New Roman"/>
          <w:sz w:val="18"/>
          <w:szCs w:val="18"/>
          <w:color w:val="auto"/>
        </w:rPr>
        <w:t>additional cash generated to execute strategic acquisitions or for general corporate purposes. We believe that our existing cash on hand, cash generated from operations and available borrowings under the Credit Facility Agreement will be sufficient for at least the next 12 months to meet working capital requirements and anticipated capital expenditures.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Agreement</w:t>
      </w:r>
    </w:p>
    <w:p>
      <w:pPr>
        <w:spacing w:after="0" w:line="2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Reference is made to the disclosure set forth under the heading “Revolving Credit Facility” in Note 7 – </w:t>
      </w: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of the notes to the unaudited condensed consolidated financial statements included elsewhere in this Report (the ”Interim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 xml:space="preserve">Our material contractual obligations arise from leases of facilities and vehicles under noncancelable operating leases agreements. See Note 14,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the Interim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Obligations</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Interim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(26,728 )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(13,388 )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r>
      <w:tr>
        <w:trPr>
          <w:trHeight w:val="236"/>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Borders>
              <w:top w:val="single" w:sz="8" w:color="CFF0FC"/>
            </w:tcBorders>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Operating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$4.4 million resulting from our net income of $3.5 million, adjusted for non-cash charges of $13.5 million in depreciation and amortization, including amortization of right of use assets and deferred financing costs, $1.0 million of stock-based compensation expense, and $0.2 million in provisions for excess and obsolete property, plant, and equipment. This was partially offset by a $5.0 million gain on rental tool recovery sales, $0.4 million in deferred tax expense, and $7.7 million in net changes from operating assets and liabilities. The $7.7 million in cash used in operating assets and liabilities is primarily due to a $1.5 million cash outflow in accounts receivable, $2.2 million cash outflows related to operating lease liabilities, and $5.9 million cash outflows related to accounts payable and accrued liabilities due to the timing of disbursements. These outflows were offset by a $2.0 million cash inflow related to prepaid expenses.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2023 was $14.1 million resulting from our net income of $8.2 million, adjusted for non-cash charges of $12.0 million in depreciation and amortization, including amortization of right of use assets and deferred financing costs, $4.0 million of stock-based compensation expense as a result of the Business Combination, $0.4 million of bad debt expense and $0.5 million in deferred tax expense. This was partially offset by a $9.1 million gain on rental tool recovery sales and $1.8 million in net changes from operating assets and liabilities. The $1.8 million in cash used in operating assets and liabilities is primarily due to a $1.8 million cash outflow in accounts receivable associated with an increase in sales and higher revenues during the first six months of 2023 compared to the first six months of 2022, a $2.2 million cash outflow from operating lease liabilities as we increase right-of-use assets on hand and a $1.5 million cash outflow from prepaid expenses due to differences in timing of prepayments. This was partially offset by a $2.3 million cash inflow in accounts payable and accrued expenses due to differences in the timing of disbursements and a $1.4 million cash flow from inventory as a result of increased sales and revenues during the first six months of 2023.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Investing Activities</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$26.7 million. Purchases of property, plant, and equipment of $16.3 million and the acquisition of CTG for $18.2 million were partially offset by proceeds from rental tool recovery sales of $7.7 million.</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2023 was $13.4 million. Purchases of property, plant, and equipment of $24.6 million were partially offset by proceeds from rental tool recovery sales of $11.1 million and proceeds from the sale of property of $0.1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$23.5 million resulting from proceeds from the term loan of $25 million offset by $0.6 million in payments of deferred financing costs and $0.8 million in repayments of the Term Loan.</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2023 was $4.3 million resulting from proceeds from the Business Combination and PIPE Financing, net of transaction costs, of $23.1 million, partially offset by a net decrease in amounts outstanding under the Credit Facility Agreement of $18.3 million, payments of deferred financing costs of $0.3 million and payments to holders of DTIH convertible preferred stock in connection with the Business Combination of $0.2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Financial Statements included in this Report have been prepared in accordance with U.S. GAAP. The preparation of these Interim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2023 (the "Annual Report"). In addition to the critical accounting policies and estimates disclosed in our Annual Report, accounting for Business Combinations was identified as a new critical accounting policy and estimate in the six months ended June,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in accordance with ASC 805, Business Combinations. On the acquisition date for a business combination, we allocate the total purchase consideration for the acquisition to the assets acquired and liabilities assumed based on their respective estimated fair values on the acquisition date. Additionally, we identify and attribute fair values and estimated lives to acquired intangible assets. We identify an acquired intangible asset apart from goodwill whenever the intangible asset arises from contractual or other legal rights, or when it can be separately sold, transferred, licensed, rented, or exchanged.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0" w:name="page41"/>
    <w:bookmarkEnd w:id="40"/>
    <w:p>
      <w:pPr>
        <w:jc w:val="both"/>
        <w:spacing w:after="0" w:line="281" w:lineRule="auto"/>
        <w:rPr>
          <w:sz w:val="20"/>
          <w:szCs w:val="20"/>
          <w:color w:val="auto"/>
        </w:rPr>
      </w:pPr>
      <w:r>
        <w:rPr>
          <w:rFonts w:ascii="Times New Roman" w:cs="Times New Roman" w:eastAsia="Times New Roman" w:hAnsi="Times New Roman"/>
          <w:sz w:val="18"/>
          <w:szCs w:val="18"/>
          <w:color w:val="auto"/>
        </w:rPr>
        <w:t>We recognize goodwill, if any, in the amount by which the aggregate fair value of the total purchase consideration exceeds the aggregate fair value of the net assets (including intangible assets) acquired.</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fair values of assets acquired (including intangible assets) and liabilities assumed, we utilize a variety of methods. Each asset acquired and liability assumed is measured at fair value from the perspective of a market participant. The methods used to estimate the fair values of intangible assets incorporate significant estimates and assumptions regarding the estimates a market participant would make in order to evaluate an asset, including, but not limited to, a market participant’s use of the asset as well as forecasts for cash flows, revenue growth, asset lives, customer attrition rates, royalty rates, income tax rates, and discount rates.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 participant would use. While we use our best estimates and assumptions to value assets acquired and liabilities assumed at the acquisition date, our estimates are inherently uncertain and subject to refinement. The use of different assumptions related to these uncertain factors at acquisition could result in material changes to the amounts initially recorded at acquisition, which could have a material impact on our condensed consolidated financial statements. When appropriate, we engage third-party valuation specialists to assist in determining the fair values of assets acquired and liabilities assumed.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 initial accounting for a business combination has not been completed by the end of the reporting period in which the business combination occurs, provisional amounts are reported to present information about facts and circumstances that existed as of the acquisition date. We must complete the accounting for each business combination during its measurement period, which cannot exceed one year from the acquisition date. Adjustments made during the measurement period could have a material impact on our condensed consolidated financial statements.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Costs that are directly attributable to business combinations are expensed as incurred within other expenses, net, on the condensed consolidated statements of income and comprehensive income. The results of operations of acquisitions are included in the consolidated financial statements from the date of acquisition.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Interim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this offering; (ii) the last day of the fiscal year in 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cash equivalents and accounts receivable. We maintain cash and cash equivalents with major and reputable financial institutions. Deposits held with the financial institutions may exceed the amount of insurance provided by the Canadian Deposit Insurance Corporation and the Federal Deposit Insurance Corporation on such deposits but may be redeemed upon demand. We perform periodic evaluations of the relative credit standing of the financial institutions. With respect to accounts receivable, we monitor the credit quality of our customers as well as maintain an allowance for doubtful accounts for estimated losses resulting from the inability of customers to make required payments.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1" w:name="page42"/>
    <w:bookmarkEnd w:id="41"/>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A discussion of concentration risk is included in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Interim Financial Statements included elsewhere in this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are primarily located in the United States and Canada. Therefore, foreign exchange risk exposures arise from transactions denominated in currencies other than the United States dollar, which is our functional and reporting currency. To date, a majority of our sales have been denominated in United States and Canadian dollars.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we will continue to experience inflationary pressures on our cost structure for the foreseeable future. However, tightness in overseas freight and transit times have eased. Additionally, raw material and component costs are moderating due in part to a strengthening U.S. dollar and weakening steel demand. Nonetheless, we cannot be confident that transit times or input prices will return to the lower levels experienced in prior years. Continued inflation and looming concerns regarding a possible recession weigh on the outlook for oil demand which could in turn negatively impact demand for our goods and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suite of controls including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reputational risks. There is no assurance that these efforts will fully mitigate cybersecurity risk and mitigation efforts are not an assurance that no cybersecurity incidents will occur.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and principal financial officers, to allow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required by Rule 13a-15 under the Exchange Act, management has evaluated, with the participation of our Chief Executive Officer and Chief Financial Officer, the effectiveness of our disclosure controls and procedures in effect as of June 30, 2024, as such term is defined in Rules 13a-15(e) and 15d-15(e) under the Exchange Act. As a result of management’s evaluation, our Chief Executive Officer and Chief Financial Officer concluded that our disclosure controls and procedures were not effective at a reasonable assurance level as of June 30, 2024, or as of the date of the filing of this Report.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were not effective as of June 30, 2024, or as of the date of filing of this Report, because all findings in connection with our preparation and the audit of our consolidated financial statements as of and for the year ended December 31, 2023 have not been fully remediated despite ongoing projects and improvements made in the current quarter. As a result, we were not able to rely upon the disclosure controls and procedures that were in place as of June 30, 2024, or as of the date of this filing, and we continue to have a material weakness in our internal control over financial reporting. This material weakness is described in more detail below.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42" w:name="page43"/>
    <w:bookmarkEnd w:id="42"/>
    <w:p>
      <w:pPr>
        <w:jc w:val="both"/>
        <w:spacing w:after="0" w:line="265" w:lineRule="auto"/>
        <w:rPr>
          <w:sz w:val="20"/>
          <w:szCs w:val="20"/>
          <w:color w:val="auto"/>
        </w:rPr>
      </w:pPr>
      <w:r>
        <w:rPr>
          <w:rFonts w:ascii="Times New Roman" w:cs="Times New Roman" w:eastAsia="Times New Roman" w:hAnsi="Times New Roman"/>
          <w:sz w:val="18"/>
          <w:szCs w:val="18"/>
          <w:color w:val="auto"/>
        </w:rPr>
        <w:t>Prior to the Merger, we had been a private company with limited accounting personnel and other resources with which to address our internal control over financial reporting. In connection with our preparation and the audit of our consolidated financial statements as of and for the year ended December 31, 2023, we identified the following deficiencies in the design or operation of our internal controls to be a material weakness:</w:t>
      </w:r>
    </w:p>
    <w:p>
      <w:pPr>
        <w:spacing w:after="0" w:line="285"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promote effective internal control over financial reporting throughout the Company’s management structure;</w:t>
      </w:r>
    </w:p>
    <w:p>
      <w:pPr>
        <w:spacing w:after="0" w:line="33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effective risk assessment controls to identify financial reporting risks and reacting to changes in the operating environment that could have a material effect on financial reporting;</w:t>
      </w:r>
    </w:p>
    <w:p>
      <w:pPr>
        <w:spacing w:after="0" w:line="27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monitoring activities to assess the operation of internal control over financial reporting; and</w:t>
      </w:r>
    </w:p>
    <w:p>
      <w:pPr>
        <w:spacing w:after="0" w:line="33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documentation and monitoring of information technology (“IT”) general controls and cybersecurity processes within the Company’s IT environment, including access controls and segregation of duties between key IT functions.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 the process of implementing a risk assessment process and measures designed to improve our internal control over financial reporting and remediate the control deficiencies that led to the material weakness, including (1) hiring more qualified staff and increasing resources with sufficient knowledge and experience to strengthen financial reporting, (2) implementing software and procedures to enhance our Company’s IT environment and (3) devoting proper time by senior management to perform comprehensive review of procedures to assess risks and enforce effective accountability.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elements of our remediation plan can only be accomplished over time, and we can offer no assurance that these initiatives will ultimately have the intended effects.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See Part I, Item 1, Note 14 to our consolidated financial statements entitled “Commitments and Contingencies,” which is incorporated in this item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Report filed with the SEC on March 28, 2024, describes important risk factors that could cause our business, financial condition, results of operations and growth prospects to differ materially from those indicated or suggested by forward-looking statements made in this Report or presented elsewhere by management from time to time. There have been no material changes to the risk factors that appear in the Annual Report as of the date of this Quarterly Report. Additional risks and uncertainties not currently known to us or that we currently deem to be immaterial may also materially and adversely affect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officers (as defined in Rule 16a-1(f) of the Exchange Act) adopted, terminated or modified a Rule 10b5-1 trading arrangement or non-Rule 10b5-1 trading arrangement (as such terms are defined in Item 408 of Regulation S-K).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6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8"/>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Agreement and Plan of Merger, dated as of February 13, 2023, by and among ROC Energy Acquisition Corp., ROC Merger Sub, Inc. and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Drilling Tools International Holdings, Inc. (incorporated by reference to Exhibit 2.1 to ROC Energy Acquisition Corp.’s Current Report 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Form 8-K (File No. 001-41103), filed with the Securities and Exchange Commission on February 13,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First Amendment to the Agreement and Plan of Merger, by and among ROC Energy Acquisition Corp., ROC Merger Sub, Inc. and Drilling</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Tools International Holdings, Inc. (incorporated by reference to Exhibit 2.1 to ROC Energy Acquisition Corp.’s Current Report on Form 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K (File No. 001-41103), filed with the Securities and Exchange Commission on June 9,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Second Amended and Restated Certificate of Incorporation of Drilling Tools International Corporation (incorporated by reference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Exhibit 3.1 to Drilling Tools International Corporation’s Current Report on Form 8-K (File No. 001-41103), filed with the Securities and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Exchange Commission on June 27,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Amended and Restated Bylaws of Drilling Tools International Corporation (incorporated by reference to Exhibit 3.2 to Drilling Tools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International Corporation’s Current Report on Form 8-K (File No. 001-41103), filed with the Securities and Exchange Commission on June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60" w:type="dxa"/>
            <w:vAlign w:val="bottom"/>
            <w:gridSpan w:val="3"/>
          </w:tcPr>
          <w:p>
            <w:pPr>
              <w:ind w:left="120"/>
              <w:spacing w:after="0" w:line="195" w:lineRule="exact"/>
              <w:rPr>
                <w:rFonts w:ascii="Times New Roman" w:cs="Times New Roman" w:eastAsia="Times New Roman" w:hAnsi="Times New Roman"/>
                <w:sz w:val="18"/>
                <w:szCs w:val="18"/>
                <w:color w:val="0000FF"/>
                <w:w w:val="95"/>
              </w:rPr>
            </w:pPr>
            <w:hyperlink r:id="rId334">
              <w:r>
                <w:rPr>
                  <w:rFonts w:ascii="Times New Roman" w:cs="Times New Roman" w:eastAsia="Times New Roman" w:hAnsi="Times New Roman"/>
                  <w:sz w:val="18"/>
                  <w:szCs w:val="18"/>
                  <w:color w:val="0000FF"/>
                  <w:w w:val="95"/>
                </w:rPr>
                <w:t>27, 2023).</w:t>
              </w:r>
            </w:hyperlink>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5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51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91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9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9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firstLine="8"/>
        <w:spacing w:after="0" w:line="250" w:lineRule="auto"/>
        <w:tabs>
          <w:tab w:leader="none" w:pos="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Drilling Tools International Corporation</w:t>
      </w:r>
    </w:p>
    <w:p>
      <w:pPr>
        <w:spacing w:after="0" w:line="251"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By: /s/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33134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R. Johnson</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R. Wayne Prejean, certify that:</w:t>
      </w:r>
    </w:p>
    <w:p>
      <w:pPr>
        <w:spacing w:after="0" w:line="211"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right="20" w:hanging="512"/>
        <w:spacing w:after="0" w:line="252"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hanging="504"/>
        <w:spacing w:after="0" w:line="271"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17780</wp:posOffset>
            </wp:positionV>
            <wp:extent cx="32448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3244850" cy="8255"/>
                    </a:xfrm>
                    <a:prstGeom prst="rect">
                      <a:avLst/>
                    </a:prstGeom>
                    <a:noFill/>
                  </pic:spPr>
                </pic:pic>
              </a:graphicData>
            </a:graphic>
          </wp:anchor>
        </w:drawing>
      </w:r>
    </w:p>
    <w:p>
      <w:pPr>
        <w:spacing w:after="0" w:line="2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R. Wayne Prejean</w:t>
      </w:r>
    </w:p>
    <w:p>
      <w:pPr>
        <w:spacing w:after="0" w:line="3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R. Johnson, certify that:</w:t>
      </w:r>
    </w:p>
    <w:p>
      <w:pPr>
        <w:spacing w:after="0" w:line="21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right="20" w:hanging="512"/>
        <w:spacing w:after="0" w:line="25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hanging="504"/>
        <w:spacing w:after="0" w:line="271"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17780</wp:posOffset>
            </wp:positionV>
            <wp:extent cx="32448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3244850" cy="8255"/>
                    </a:xfrm>
                    <a:prstGeom prst="rect">
                      <a:avLst/>
                    </a:prstGeom>
                    <a:noFill/>
                  </pic:spPr>
                </pic:pic>
              </a:graphicData>
            </a:graphic>
          </wp:anchor>
        </w:drawing>
      </w:r>
    </w:p>
    <w:p>
      <w:pPr>
        <w:spacing w:after="0" w:line="2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David R. Johnson</w:t>
      </w:r>
    </w:p>
    <w:p>
      <w:pPr>
        <w:spacing w:after="0" w:line="3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0"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33134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 Wayne Prejean</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0" w:lineRule="exact"/>
        <w:rPr>
          <w:sz w:val="20"/>
          <w:szCs w:val="20"/>
          <w:color w:val="auto"/>
        </w:rPr>
      </w:pPr>
    </w:p>
    <w:p>
      <w:pPr>
        <w:ind w:left="20"/>
        <w:spacing w:after="0"/>
        <w:tabs>
          <w:tab w:leader="none" w:pos="5680" w:val="left"/>
          <w:tab w:leader="none" w:pos="778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33134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R. Johnson</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31" Type="http://schemas.openxmlformats.org/officeDocument/2006/relationships/hyperlink" Target="https://www.sec.gov/Archives/edgar/data/1884516/000110465923020480/tm236420d1_ex2-1.htm" TargetMode="External"/><Relationship Id="rId332" Type="http://schemas.openxmlformats.org/officeDocument/2006/relationships/hyperlink" Target="https://www.sec.gov/Archives/edgar/data/1884516/000110465923069995/tm2317528d1_ex2-1.htm" TargetMode="External"/><Relationship Id="rId333" Type="http://schemas.openxmlformats.org/officeDocument/2006/relationships/hyperlink" Target="https://www.sec.gov/Archives/edgar/data/1884516/000119312523175331/d498600dex31.htm" TargetMode="External"/><Relationship Id="rId334" Type="http://schemas.openxmlformats.org/officeDocument/2006/relationships/hyperlink" Target="https://www.sec.gov/Archives/edgar/data/1884516/000119312523175331/d49860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2024-08-09T16:25:37Z</dcterms:created>
  <dcterms:modified xsi:type="dcterms:W3CDTF">2024-08-09T16:25:37Z</dcterms:modified>
</cp:coreProperties>
</file>