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Domino Michael Wayne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DRILLING TOOLS INTERNATIONAL CORP.</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10370 RICHMOND AVENUE, SUITE 1000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Drilling Tools International Corp</w:t>
              </w:r>
            </w:hyperlink>
            <w:r>
              <w:rPr/>
              <w:t xml:space="preserve"> [ </w:t>
            </w:r>
            <w:r>
              <w:rPr>
                <w:rFonts w:ascii="Times;serif" w:hAnsi="Times;serif"/>
                <w:color w:val="0000FF"/>
                <w:sz w:val="24"/>
                <w:shd w:fill="FFFFFF" w:val="clear"/>
              </w:rPr>
              <w:t>DTI</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DTR Division</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18"/>
        <w:gridCol w:w="906"/>
        <w:gridCol w:w="775"/>
        <w:gridCol w:w="602"/>
        <w:gridCol w:w="351"/>
        <w:gridCol w:w="853"/>
        <w:gridCol w:w="459"/>
        <w:gridCol w:w="622"/>
        <w:gridCol w:w="1288"/>
        <w:gridCol w:w="1005"/>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2,083</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w:t>
            </w:r>
          </w:p>
        </w:tc>
        <w:tc>
          <w:tcPr>
            <w:tcW w:w="12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1,430,006</w:t>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3"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400"/>
        <w:gridCol w:w="401"/>
        <w:gridCol w:w="906"/>
        <w:gridCol w:w="801"/>
        <w:gridCol w:w="891"/>
        <w:gridCol w:w="636"/>
        <w:gridCol w:w="801"/>
        <w:gridCol w:w="936"/>
        <w:gridCol w:w="831"/>
        <w:gridCol w:w="846"/>
      </w:tblGrid>
      <w:tr>
        <w:trPr>
          <w:tblHeader w:val="true"/>
        </w:trPr>
        <w:tc>
          <w:tcPr>
            <w:tcW w:w="1202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75,829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22,859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68,577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370,264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completed pursuant to a Rule 10b5-1 trading plan adopted by the reporting person on November 17,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("RSU") represents a contingent right to receive one share of Drilling Tools International Corp's (the "Company")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vest in substantially equal installments on each of the first four (4) anniversaries of the grant date, February 28,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February 27, 2026, the reporting person was granted 22,859 RSUs under the Company's 2023 Omnibus Incentive Plan, as may be amended from time to time (the "Plan"), pursuant to the 2026 long-term incentive program approved by the Board of Directors (the "2026 LTIP"). The RSUs vest in substantially equal installments on each of the first three (3) anniversaries of the grant date, subject to continued service.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performance stock unit ("PSU") represents a contingent right to receive one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On February 27, 2026, the reporting person was granted 68,577 PSUs under the Plan, pursuant to the 2026 LTIP. The PSUs are subject to the achievement of performance conditions based on EBITDA, weighted at 100%, with annual reset over a three-year performance vesting period. Achievement at threshold results in a 50% payout opportunity, while achievement at maximum results in a 200% payout opportunity.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Two-thirds (2/3) of the stock options have vested in substantially equal installments on each of the first two (2) anniversaries of the grant date, with the remaining one-third (1/3) scheduled to vest on the third (3rd) anniversary of the grant date, February 14,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All shares of common stock subject to the stock options are vested.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Wayne Domino Jr.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81953" TargetMode="External"/><Relationship Id="rId5" Type="http://schemas.openxmlformats.org/officeDocument/2006/relationships/hyperlink" Target="http://www.sec.gov/cgi-bin/browse-edgar?action=getcompany&amp;CIK=00018845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907</Words>
  <Characters>4819</Characters>
  <CharactersWithSpaces>5611</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