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92075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114935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3" w:lineRule="exact"/>
        <w:rPr>
          <w:sz w:val="24"/>
          <w:szCs w:val="24"/>
          <w:color w:val="auto"/>
        </w:rPr>
      </w:pPr>
    </w:p>
    <w:p>
      <w:pPr>
        <w:ind w:left="3720" w:right="1540" w:hanging="3699"/>
        <w:spacing w:after="0" w:line="389"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215" w:lineRule="exact"/>
        <w:rPr>
          <w:sz w:val="24"/>
          <w:szCs w:val="24"/>
          <w:color w:val="auto"/>
        </w:rPr>
      </w:pPr>
    </w:p>
    <w:p>
      <w:pPr>
        <w:ind w:left="3800" w:right="1540" w:hanging="3779"/>
        <w:spacing w:after="0" w:line="367" w:lineRule="auto"/>
        <w:tabs>
          <w:tab w:leader="none" w:pos="47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w:t>
      </w: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DRILLING TOOLS INTERNATIONAL CORPORATION</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83185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tbl>
      <w:tblPr>
        <w:tblLayout w:type="fixed"/>
        <w:tblInd w:w="1640" w:type="dxa"/>
        <w:tblCellMar>
          <w:top w:w="0" w:type="dxa"/>
          <w:left w:w="0" w:type="dxa"/>
          <w:bottom w:w="0" w:type="dxa"/>
          <w:right w:w="0" w:type="dxa"/>
        </w:tblCellMar>
      </w:tblPr>
      <w:tr>
        <w:trPr>
          <w:trHeight w:val="230"/>
        </w:trPr>
        <w:tc>
          <w:tcPr>
            <w:tcW w:w="4300" w:type="dxa"/>
            <w:vAlign w:val="bottom"/>
          </w:tcPr>
          <w:p>
            <w:pPr>
              <w:jc w:val="center"/>
              <w:ind w:right="1862"/>
              <w:spacing w:after="0"/>
              <w:rPr>
                <w:sz w:val="20"/>
                <w:szCs w:val="20"/>
                <w:color w:val="auto"/>
              </w:rPr>
            </w:pPr>
            <w:r>
              <w:rPr>
                <w:rFonts w:ascii="Arial" w:cs="Arial" w:eastAsia="Arial" w:hAnsi="Arial"/>
                <w:sz w:val="18"/>
                <w:szCs w:val="18"/>
                <w:b w:val="1"/>
                <w:bCs w:val="1"/>
                <w:color w:val="auto"/>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87-2488708</w:t>
            </w:r>
          </w:p>
        </w:tc>
      </w:tr>
      <w:tr>
        <w:trPr>
          <w:trHeight w:val="143"/>
        </w:trPr>
        <w:tc>
          <w:tcPr>
            <w:tcW w:w="4300" w:type="dxa"/>
            <w:vAlign w:val="bottom"/>
          </w:tcPr>
          <w:p>
            <w:pPr>
              <w:jc w:val="center"/>
              <w:ind w:right="1862"/>
              <w:spacing w:after="0" w:line="144" w:lineRule="exact"/>
              <w:rPr>
                <w:sz w:val="20"/>
                <w:szCs w:val="20"/>
                <w:color w:val="auto"/>
              </w:rPr>
            </w:pPr>
            <w:r>
              <w:rPr>
                <w:rFonts w:ascii="Arial" w:cs="Arial" w:eastAsia="Arial" w:hAnsi="Arial"/>
                <w:sz w:val="13"/>
                <w:szCs w:val="13"/>
                <w:b w:val="1"/>
                <w:bCs w:val="1"/>
                <w:color w:val="auto"/>
                <w:w w:val="96"/>
              </w:rPr>
              <w:t>( State or other jurisdiction of</w:t>
            </w:r>
          </w:p>
        </w:tc>
        <w:tc>
          <w:tcPr>
            <w:tcW w:w="3020" w:type="dxa"/>
            <w:vAlign w:val="bottom"/>
          </w:tcPr>
          <w:p>
            <w:pPr>
              <w:jc w:val="center"/>
              <w:ind w:left="1906"/>
              <w:spacing w:after="0" w:line="144" w:lineRule="exact"/>
              <w:rPr>
                <w:sz w:val="20"/>
                <w:szCs w:val="20"/>
                <w:color w:val="auto"/>
              </w:rPr>
            </w:pPr>
            <w:r>
              <w:rPr>
                <w:rFonts w:ascii="Arial" w:cs="Arial" w:eastAsia="Arial" w:hAnsi="Arial"/>
                <w:sz w:val="13"/>
                <w:szCs w:val="13"/>
                <w:b w:val="1"/>
                <w:bCs w:val="1"/>
                <w:color w:val="auto"/>
                <w:w w:val="96"/>
              </w:rPr>
              <w:t>(I.R.S. Employer</w:t>
            </w:r>
          </w:p>
        </w:tc>
      </w:tr>
      <w:tr>
        <w:trPr>
          <w:trHeight w:val="166"/>
        </w:trPr>
        <w:tc>
          <w:tcPr>
            <w:tcW w:w="4300" w:type="dxa"/>
            <w:vAlign w:val="bottom"/>
          </w:tcPr>
          <w:p>
            <w:pPr>
              <w:jc w:val="center"/>
              <w:ind w:right="1862"/>
              <w:spacing w:after="0"/>
              <w:rPr>
                <w:sz w:val="20"/>
                <w:szCs w:val="20"/>
                <w:color w:val="auto"/>
              </w:rPr>
            </w:pPr>
            <w:r>
              <w:rPr>
                <w:rFonts w:ascii="Arial" w:cs="Arial" w:eastAsia="Arial" w:hAnsi="Arial"/>
                <w:sz w:val="13"/>
                <w:szCs w:val="13"/>
                <w:b w:val="1"/>
                <w:bCs w:val="1"/>
                <w:color w:val="auto"/>
                <w:w w:val="96"/>
              </w:rPr>
              <w:t>incorporation or organization)</w:t>
            </w:r>
          </w:p>
        </w:tc>
        <w:tc>
          <w:tcPr>
            <w:tcW w:w="3020" w:type="dxa"/>
            <w:vAlign w:val="bottom"/>
          </w:tcPr>
          <w:p>
            <w:pPr>
              <w:jc w:val="center"/>
              <w:ind w:left="1886"/>
              <w:spacing w:after="0"/>
              <w:rPr>
                <w:sz w:val="20"/>
                <w:szCs w:val="20"/>
                <w:color w:val="auto"/>
              </w:rPr>
            </w:pPr>
            <w:r>
              <w:rPr>
                <w:rFonts w:ascii="Arial" w:cs="Arial" w:eastAsia="Arial" w:hAnsi="Arial"/>
                <w:sz w:val="13"/>
                <w:szCs w:val="13"/>
                <w:b w:val="1"/>
                <w:bCs w:val="1"/>
                <w:color w:val="auto"/>
                <w:w w:val="96"/>
              </w:rPr>
              <w:t>Identification No.)</w:t>
            </w:r>
          </w:p>
        </w:tc>
      </w:tr>
      <w:tr>
        <w:trPr>
          <w:trHeight w:val="216"/>
        </w:trPr>
        <w:tc>
          <w:tcPr>
            <w:tcW w:w="4300" w:type="dxa"/>
            <w:vAlign w:val="bottom"/>
          </w:tcPr>
          <w:p>
            <w:pPr>
              <w:jc w:val="center"/>
              <w:ind w:right="1862"/>
              <w:spacing w:after="0"/>
              <w:rPr>
                <w:sz w:val="20"/>
                <w:szCs w:val="20"/>
                <w:color w:val="auto"/>
              </w:rPr>
            </w:pPr>
            <w:r>
              <w:rPr>
                <w:rFonts w:ascii="Arial" w:cs="Arial" w:eastAsia="Arial" w:hAnsi="Arial"/>
                <w:sz w:val="18"/>
                <w:szCs w:val="18"/>
                <w:b w:val="1"/>
                <w:bCs w:val="1"/>
                <w:color w:val="auto"/>
              </w:rPr>
              <w:t>3701 Briarpark Drive</w:t>
            </w:r>
          </w:p>
        </w:tc>
        <w:tc>
          <w:tcPr>
            <w:tcW w:w="3020" w:type="dxa"/>
            <w:vAlign w:val="bottom"/>
          </w:tcPr>
          <w:p>
            <w:pPr>
              <w:spacing w:after="0"/>
              <w:rPr>
                <w:sz w:val="18"/>
                <w:szCs w:val="18"/>
                <w:color w:val="auto"/>
              </w:rPr>
            </w:pPr>
          </w:p>
        </w:tc>
      </w:tr>
      <w:tr>
        <w:trPr>
          <w:trHeight w:val="216"/>
        </w:trPr>
        <w:tc>
          <w:tcPr>
            <w:tcW w:w="4300" w:type="dxa"/>
            <w:vAlign w:val="bottom"/>
          </w:tcPr>
          <w:p>
            <w:pPr>
              <w:jc w:val="center"/>
              <w:ind w:right="1862"/>
              <w:spacing w:after="0"/>
              <w:rPr>
                <w:sz w:val="20"/>
                <w:szCs w:val="20"/>
                <w:color w:val="auto"/>
              </w:rPr>
            </w:pPr>
            <w:r>
              <w:rPr>
                <w:rFonts w:ascii="Arial" w:cs="Arial" w:eastAsia="Arial" w:hAnsi="Arial"/>
                <w:sz w:val="18"/>
                <w:szCs w:val="18"/>
                <w:b w:val="1"/>
                <w:bCs w:val="1"/>
                <w:color w:val="auto"/>
              </w:rPr>
              <w:t>Suite 150</w:t>
            </w:r>
          </w:p>
        </w:tc>
        <w:tc>
          <w:tcPr>
            <w:tcW w:w="3020" w:type="dxa"/>
            <w:vAlign w:val="bottom"/>
          </w:tcPr>
          <w:p>
            <w:pPr>
              <w:spacing w:after="0"/>
              <w:rPr>
                <w:sz w:val="18"/>
                <w:szCs w:val="18"/>
                <w:color w:val="auto"/>
              </w:rPr>
            </w:pPr>
          </w:p>
        </w:tc>
      </w:tr>
      <w:tr>
        <w:trPr>
          <w:trHeight w:val="244"/>
        </w:trPr>
        <w:tc>
          <w:tcPr>
            <w:tcW w:w="4300" w:type="dxa"/>
            <w:vAlign w:val="bottom"/>
          </w:tcPr>
          <w:p>
            <w:pPr>
              <w:jc w:val="center"/>
              <w:ind w:right="1862"/>
              <w:spacing w:after="0"/>
              <w:rPr>
                <w:sz w:val="20"/>
                <w:szCs w:val="20"/>
                <w:color w:val="auto"/>
              </w:rPr>
            </w:pPr>
            <w:r>
              <w:rPr>
                <w:rFonts w:ascii="Arial" w:cs="Arial" w:eastAsia="Arial" w:hAnsi="Arial"/>
                <w:sz w:val="18"/>
                <w:szCs w:val="18"/>
                <w:b w:val="1"/>
                <w:bCs w:val="1"/>
                <w:color w:val="auto"/>
                <w:w w:val="98"/>
              </w:rPr>
              <w:t>Houston, Texas</w:t>
            </w:r>
          </w:p>
        </w:tc>
        <w:tc>
          <w:tcPr>
            <w:tcW w:w="3020" w:type="dxa"/>
            <w:vAlign w:val="bottom"/>
          </w:tcPr>
          <w:p>
            <w:pPr>
              <w:jc w:val="right"/>
              <w:ind w:right="206"/>
              <w:spacing w:after="0"/>
              <w:rPr>
                <w:sz w:val="20"/>
                <w:szCs w:val="20"/>
                <w:color w:val="auto"/>
              </w:rPr>
            </w:pPr>
            <w:r>
              <w:rPr>
                <w:rFonts w:ascii="Arial" w:cs="Arial" w:eastAsia="Arial" w:hAnsi="Arial"/>
                <w:sz w:val="18"/>
                <w:szCs w:val="18"/>
                <w:b w:val="1"/>
                <w:bCs w:val="1"/>
                <w:color w:val="auto"/>
              </w:rPr>
              <w:t>77042</w:t>
            </w:r>
          </w:p>
        </w:tc>
      </w:tr>
      <w:tr>
        <w:trPr>
          <w:trHeight w:val="176"/>
        </w:trPr>
        <w:tc>
          <w:tcPr>
            <w:tcW w:w="4300" w:type="dxa"/>
            <w:vAlign w:val="bottom"/>
          </w:tcPr>
          <w:p>
            <w:pPr>
              <w:jc w:val="center"/>
              <w:ind w:right="1862"/>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20" w:type="dxa"/>
            <w:vAlign w:val="bottom"/>
          </w:tcPr>
          <w:p>
            <w:pPr>
              <w:jc w:val="center"/>
              <w:ind w:left="1886"/>
              <w:spacing w:after="0"/>
              <w:rPr>
                <w:sz w:val="20"/>
                <w:szCs w:val="20"/>
                <w:color w:val="auto"/>
              </w:rPr>
            </w:pPr>
            <w:r>
              <w:rPr>
                <w:rFonts w:ascii="Arial" w:cs="Arial" w:eastAsia="Arial" w:hAnsi="Arial"/>
                <w:sz w:val="13"/>
                <w:szCs w:val="13"/>
                <w:b w:val="1"/>
                <w:bCs w:val="1"/>
                <w:color w:val="auto"/>
                <w:w w:val="96"/>
              </w:rPr>
              <w:t>(Zip Code)</w:t>
            </w:r>
          </w:p>
        </w:tc>
      </w:tr>
    </w:tbl>
    <w:p>
      <w:pPr>
        <w:spacing w:after="0" w:line="39"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89"/>
        </w:trPr>
        <w:tc>
          <w:tcPr>
            <w:tcW w:w="46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Common stock, par value $0.0001 per share</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DTI</w:t>
            </w:r>
          </w:p>
        </w:tc>
        <w:tc>
          <w:tcPr>
            <w:tcW w:w="10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7" w:lineRule="exact"/>
        <w:rPr>
          <w:sz w:val="24"/>
          <w:szCs w:val="24"/>
          <w:color w:val="auto"/>
        </w:rPr>
      </w:pPr>
    </w:p>
    <w:p>
      <w:pPr>
        <w:ind w:right="100" w:firstLine="509"/>
        <w:spacing w:after="0" w:line="23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73" w:lineRule="exact"/>
        <w:tabs>
          <w:tab w:leader="none" w:pos="1100" w:val="left"/>
          <w:tab w:leader="none" w:pos="1740" w:val="left"/>
        </w:tabs>
        <w:rPr>
          <w:sz w:val="20"/>
          <w:szCs w:val="20"/>
          <w:color w:val="auto"/>
        </w:rPr>
      </w:pPr>
      <w:r>
        <w:rPr>
          <w:rFonts w:ascii="Arial" w:cs="Arial" w:eastAsia="Arial" w:hAnsi="Arial"/>
          <w:sz w:val="15"/>
          <w:szCs w:val="15"/>
          <w:color w:val="auto"/>
        </w:rPr>
        <w:t>past 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4" w:lineRule="exact"/>
        <w:rPr>
          <w:sz w:val="24"/>
          <w:szCs w:val="24"/>
          <w:color w:val="auto"/>
        </w:rPr>
      </w:pPr>
    </w:p>
    <w:p>
      <w:pPr>
        <w:ind w:right="180" w:firstLine="509"/>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right="300" w:firstLine="509"/>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21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8"/>
        </w:trPr>
        <w:tc>
          <w:tcPr>
            <w:tcW w:w="2160" w:type="dxa"/>
            <w:vAlign w:val="bottom"/>
          </w:tcPr>
          <w:p>
            <w:pPr>
              <w:spacing w:after="0"/>
              <w:rPr>
                <w:sz w:val="20"/>
                <w:szCs w:val="20"/>
                <w:color w:val="auto"/>
              </w:rPr>
            </w:pPr>
            <w:r>
              <w:rPr>
                <w:rFonts w:ascii="Arial" w:cs="Arial" w:eastAsia="Arial" w:hAnsi="Arial"/>
                <w:sz w:val="15"/>
                <w:szCs w:val="15"/>
                <w:color w:val="auto"/>
              </w:rPr>
              <w:t>Non-accelerated filer</w:t>
            </w:r>
          </w:p>
        </w:tc>
        <w:tc>
          <w:tcPr>
            <w:tcW w:w="3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02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1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51" w:lineRule="exact"/>
        <w:rPr>
          <w:sz w:val="24"/>
          <w:szCs w:val="24"/>
          <w:color w:val="auto"/>
        </w:rPr>
      </w:pPr>
    </w:p>
    <w:p>
      <w:pPr>
        <w:ind w:right="260" w:firstLine="509"/>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left="520"/>
        <w:spacing w:after="0" w:line="173" w:lineRule="exact"/>
        <w:tabs>
          <w:tab w:leader="none" w:pos="8340" w:val="left"/>
          <w:tab w:leader="none" w:pos="89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10" w:lineRule="exact"/>
        <w:rPr>
          <w:sz w:val="24"/>
          <w:szCs w:val="24"/>
          <w:color w:val="auto"/>
        </w:rPr>
      </w:pPr>
    </w:p>
    <w:p>
      <w:pPr>
        <w:ind w:right="180" w:firstLine="509"/>
        <w:spacing w:after="0" w:line="197" w:lineRule="exact"/>
        <w:rPr>
          <w:sz w:val="20"/>
          <w:szCs w:val="20"/>
          <w:color w:val="auto"/>
        </w:rPr>
      </w:pPr>
      <w:r>
        <w:rPr>
          <w:rFonts w:ascii="Arial" w:cs="Arial" w:eastAsia="Arial" w:hAnsi="Arial"/>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August 14, 2023, the registrant had 29,768,568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195" w:lineRule="exact"/>
              <w:rPr>
                <w:sz w:val="20"/>
                <w:szCs w:val="20"/>
                <w:color w:val="auto"/>
              </w:rPr>
            </w:pPr>
            <w:r>
              <w:rPr>
                <w:rFonts w:ascii="Arial" w:cs="Arial" w:eastAsia="Arial" w:hAnsi="Arial"/>
                <w:sz w:val="18"/>
                <w:szCs w:val="18"/>
                <w:color w:val="0000FF"/>
              </w:rPr>
              <w:t>Condensed Consolidated Financial Statements (Unaudited)</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10"/>
          </w:tcPr>
          <w:p>
            <w:pPr>
              <w:spacing w:after="0" w:line="195"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1380" w:type="dxa"/>
            <w:vAlign w:val="bottom"/>
            <w:tcBorders>
              <w:top w:val="single" w:sz="8" w:color="0000FF"/>
            </w:tcBorders>
            <w:gridSpan w:val="4"/>
          </w:tcPr>
          <w:p>
            <w:pPr>
              <w:spacing w:after="0"/>
              <w:rPr>
                <w:sz w:val="17"/>
                <w:szCs w:val="17"/>
                <w:color w:val="auto"/>
              </w:rPr>
            </w:pPr>
          </w:p>
        </w:tc>
        <w:tc>
          <w:tcPr>
            <w:tcW w:w="4560" w:type="dxa"/>
            <w:vAlign w:val="bottom"/>
            <w:gridSpan w:val="6"/>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21"/>
          </w:tcPr>
          <w:p>
            <w:pPr>
              <w:spacing w:after="0" w:line="195" w:lineRule="exact"/>
              <w:rPr>
                <w:sz w:val="20"/>
                <w:szCs w:val="20"/>
                <w:color w:val="auto"/>
              </w:rPr>
            </w:pPr>
            <w:r>
              <w:rPr>
                <w:rFonts w:ascii="Arial" w:cs="Arial" w:eastAsia="Arial" w:hAnsi="Arial"/>
                <w:sz w:val="18"/>
                <w:szCs w:val="18"/>
                <w:color w:val="0000FF"/>
              </w:rPr>
              <w:t>Condensed Consolidated Statements of Income and Comprehensive Income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20" w:type="dxa"/>
            <w:vAlign w:val="bottom"/>
            <w:tcBorders>
              <w:bottom w:val="single" w:sz="8" w:color="0000FF"/>
            </w:tcBorders>
            <w:gridSpan w:val="20"/>
          </w:tcPr>
          <w:p>
            <w:pPr>
              <w:spacing w:after="0" w:line="195" w:lineRule="exact"/>
              <w:rPr>
                <w:sz w:val="20"/>
                <w:szCs w:val="20"/>
                <w:color w:val="auto"/>
              </w:rPr>
            </w:pPr>
            <w:r>
              <w:rPr>
                <w:rFonts w:ascii="Arial" w:cs="Arial" w:eastAsia="Arial" w:hAnsi="Arial"/>
                <w:sz w:val="18"/>
                <w:szCs w:val="18"/>
                <w:color w:val="0000FF"/>
              </w:rPr>
              <w:t>Condensed Consolidated Statements of Changes in Redeemable Convertible Preferred Stock and Shareholders'</w:t>
            </w:r>
          </w:p>
        </w:tc>
        <w:tc>
          <w:tcPr>
            <w:tcW w:w="2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000FF"/>
              </w:rPr>
              <w:t>Equity</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tcBorders>
              <w:bottom w:val="single" w:sz="8" w:color="0000FF"/>
            </w:tcBorders>
            <w:gridSpan w:val="12"/>
          </w:tcPr>
          <w:p>
            <w:pPr>
              <w:spacing w:after="0" w:line="195"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100" w:type="dxa"/>
            <w:vAlign w:val="bottom"/>
            <w:gridSpan w:val="8"/>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21"/>
          </w:tcPr>
          <w:p>
            <w:pPr>
              <w:spacing w:after="0" w:line="195" w:lineRule="exact"/>
              <w:rPr>
                <w:sz w:val="20"/>
                <w:szCs w:val="20"/>
                <w:color w:val="auto"/>
              </w:rPr>
            </w:pPr>
            <w:r>
              <w:rPr>
                <w:rFonts w:ascii="Arial" w:cs="Arial" w:eastAsia="Arial" w:hAnsi="Arial"/>
                <w:sz w:val="18"/>
                <w:szCs w:val="18"/>
                <w:color w:val="0000FF"/>
              </w:rPr>
              <w:t>Notes to Condensed Unaudited Consolidated Financial Statements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9"/>
          </w:tcPr>
          <w:p>
            <w:pPr>
              <w:spacing w:after="0" w:line="195"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4"/>
          </w:tcPr>
          <w:p>
            <w:pPr>
              <w:spacing w:after="0" w:line="195"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580" w:type="dxa"/>
            <w:vAlign w:val="bottom"/>
            <w:gridSpan w:val="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4"/>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8"/>
              </w:rPr>
              <w:t>OTHER INFORMATION</w:t>
            </w:r>
          </w:p>
        </w:tc>
        <w:tc>
          <w:tcPr>
            <w:tcW w:w="736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800" w:type="dxa"/>
            <w:vAlign w:val="bottom"/>
            <w:gridSpan w:val="16"/>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9300" w:type="dxa"/>
            <w:vAlign w:val="bottom"/>
            <w:gridSpan w:val="21"/>
          </w:tcPr>
          <w:p>
            <w:pPr>
              <w:spacing w:after="0" w:line="195"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6"/>
          </w:tcPr>
          <w:p>
            <w:pPr>
              <w:spacing w:after="0" w:line="195"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9"/>
          </w:tcPr>
          <w:p>
            <w:pPr>
              <w:spacing w:after="0" w:line="195"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5"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4"/>
          </w:tcPr>
          <w:p>
            <w:pPr>
              <w:spacing w:after="0" w:line="195" w:lineRule="exact"/>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0000FF"/>
              </w:rPr>
              <w:t>Signatures</w:t>
            </w:r>
          </w:p>
        </w:tc>
        <w:tc>
          <w:tcPr>
            <w:tcW w:w="5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594"/>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1"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Certain statements in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r>
      <w:r>
        <w:rPr>
          <w:rFonts w:ascii="MS PGothic" w:cs="MS PGothic" w:eastAsia="MS PGothic" w:hAnsi="MS PGothic"/>
          <w:sz w:val="18"/>
          <w:szCs w:val="18"/>
          <w:color w:val="auto"/>
        </w:rPr>
        <w:t>‑</w:t>
      </w:r>
      <w:r>
        <w:rPr>
          <w:rFonts w:ascii="Arial" w:cs="Arial" w:eastAsia="Arial" w:hAnsi="Arial"/>
          <w:sz w:val="18"/>
          <w:szCs w:val="18"/>
          <w:color w:val="auto"/>
        </w:rPr>
        <w:t>looking. Forward-looking statements in this Report may include, for example, statements about:</w:t>
      </w:r>
    </w:p>
    <w:p>
      <w:pPr>
        <w:spacing w:after="0" w:line="195"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products and services, which is influenced by the general level activity in the oil and gas industry;</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customers, particularly those that contribute to a large portion of our revenue;</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the sole North American distributor of the Drill-N-Ream;</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employ and retain a sufficient number of skilled and qualified workers, including our key personnel;</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status as an emerging growth company and smaller reporting company;</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source tools at reasonable cost;</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ability to obtain required permits or authorizations from applicable governmental agencies and other third parties;</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our services in a competitive industry;</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integrate and realize the benefits of acquisitions, and manage the resulting growth of our business;</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new technology that may become prevalent in the oilfield services industry;</w:t>
      </w:r>
    </w:p>
    <w:p>
      <w:pPr>
        <w:spacing w:after="0" w:line="224"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claims arising from damage or harm caused by the operation of our tools, or otherwise arising from the dangerous activities that are inherent in the oil and gas industry;</w:t>
      </w:r>
    </w:p>
    <w:p>
      <w:pPr>
        <w:spacing w:after="0" w:line="17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application of oilfield anti-indemnity limitations enacted by certain states;</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restrictive covenants in the Credit Facility Agreement;</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indebtedness incurred to execute our long-term growth strategy;</w:t>
      </w:r>
    </w:p>
    <w:p>
      <w:pPr>
        <w:spacing w:after="0" w:line="224"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political, regulatory, economic and social disruptions in the countries in which we conduct business, including changes in tax laws or tax rates;</w:t>
      </w:r>
    </w:p>
    <w:p>
      <w:pPr>
        <w:spacing w:after="0" w:line="173"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particular Customer Order Management Portal and Support System, for the efficient operation of our business;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 w:name="page4"/>
    <w:bookmarkEnd w:id="3"/>
    <w:p>
      <w:pPr>
        <w:ind w:left="1020" w:right="20" w:hanging="504"/>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173"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adverse and unusual weather conditions on our operations;</w:t>
      </w:r>
    </w:p>
    <w:p>
      <w:pPr>
        <w:spacing w:after="0" w:line="224"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applicable laws, regulations and rules, including those related to the environment, greenhouse gases and climate change;</w:t>
      </w:r>
    </w:p>
    <w:p>
      <w:pPr>
        <w:spacing w:after="0" w:line="173"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or trade secrets;</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disclosure controls and internal control over financial reporting;</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volatility in the market price of the DTIC Common Stock;</w:t>
      </w:r>
    </w:p>
    <w:p>
      <w:pPr>
        <w:spacing w:after="0" w:line="224"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increased legal, accounting, administrative and other costs incurred as a public company, including the impact of possible shareholder litigation;</w:t>
      </w:r>
    </w:p>
    <w:p>
      <w:pPr>
        <w:spacing w:after="0" w:line="173"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issuance of additional shares of DTIC Common Stock or other equity securities;</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listing of the DTIC Common Stock on Nasdaq;</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industry or securities analysts changing their recommendation, or failing to cover, the DTIC Common Stock;</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status as a “controlled company;” and</w:t>
      </w:r>
    </w:p>
    <w:p>
      <w:pPr>
        <w:spacing w:after="0" w:line="218"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this Report, including those under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forward-looking statements contained in this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this Report under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forward-looking statements made by us in this Report speak only as of the date of this Report.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share data)</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82"/>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(Audited)</w:t>
            </w:r>
          </w:p>
        </w:tc>
      </w:tr>
      <w:tr>
        <w:trPr>
          <w:trHeight w:val="189"/>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7,156</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2,352</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30,357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28,998</w:t>
            </w: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 net</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5,929</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3,281</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6,804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4,381</w:t>
            </w:r>
          </w:p>
        </w:tc>
        <w:tc>
          <w:tcPr>
            <w:tcW w:w="100" w:type="dxa"/>
            <w:vAlign w:val="bottom"/>
          </w:tcPr>
          <w:p>
            <w:pPr>
              <w:spacing w:after="0"/>
              <w:rPr>
                <w:sz w:val="16"/>
                <w:szCs w:val="16"/>
                <w:color w:val="auto"/>
              </w:rPr>
            </w:pP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Investments - equity securities, at fair value</w:t>
            </w: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1,530</w:t>
            </w: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51,776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40,155</w:t>
            </w:r>
          </w:p>
        </w:tc>
        <w:tc>
          <w:tcPr>
            <w:tcW w:w="100" w:type="dxa"/>
            <w:vAlign w:val="bottom"/>
          </w:tcPr>
          <w:p>
            <w:pPr>
              <w:spacing w:after="0"/>
              <w:rPr>
                <w:sz w:val="15"/>
                <w:szCs w:val="15"/>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64,450</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44,154</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Operating lease right-of-use asset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20,397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20,037</w:t>
            </w: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Deferred financing costs, net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Deposits and other long-term assets</w:t>
            </w: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963</w:t>
            </w: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138,297</w:t>
            </w:r>
          </w:p>
        </w:tc>
        <w:tc>
          <w:tcPr>
            <w:tcW w:w="28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105,218</w:t>
            </w:r>
          </w:p>
        </w:tc>
        <w:tc>
          <w:tcPr>
            <w:tcW w:w="100" w:type="dxa"/>
            <w:vAlign w:val="bottom"/>
          </w:tcPr>
          <w:p>
            <w:pPr>
              <w:spacing w:after="0"/>
              <w:rPr>
                <w:sz w:val="15"/>
                <w:szCs w:val="15"/>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b w:val="1"/>
                <w:bCs w:val="1"/>
                <w:color w:val="auto"/>
              </w:rPr>
              <w:t>LIABILITIES, REDEEMABLE CONVERTIBLE PREFERRED STOCK AND</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9"/>
        </w:trPr>
        <w:tc>
          <w:tcPr>
            <w:tcW w:w="7760" w:type="dxa"/>
            <w:vAlign w:val="bottom"/>
            <w:shd w:val="clear" w:color="auto" w:fill="CFF0FC"/>
          </w:tcPr>
          <w:p>
            <w:pPr>
              <w:ind w:left="140"/>
              <w:spacing w:after="0"/>
              <w:rPr>
                <w:sz w:val="20"/>
                <w:szCs w:val="20"/>
                <w:color w:val="auto"/>
              </w:rPr>
            </w:pPr>
            <w:r>
              <w:rPr>
                <w:rFonts w:ascii="Arial" w:cs="Arial" w:eastAsia="Arial" w:hAnsi="Arial"/>
                <w:sz w:val="14"/>
                <w:szCs w:val="14"/>
                <w:b w:val="1"/>
                <w:bCs w:val="1"/>
                <w:color w:val="auto"/>
              </w:rPr>
              <w:t>SHAREHOLDERS' EQUITY</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19,530</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7,281</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12,629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7,299</w:t>
            </w: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3,836</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3,311</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Revolving line of credit</w:t>
            </w:r>
          </w:p>
        </w:tc>
        <w:tc>
          <w:tcPr>
            <w:tcW w:w="240" w:type="dxa"/>
            <w:vAlign w:val="bottom"/>
          </w:tcPr>
          <w:p>
            <w:pPr>
              <w:spacing w:after="0"/>
              <w:rPr>
                <w:sz w:val="16"/>
                <w:szCs w:val="16"/>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18,349</w:t>
            </w:r>
          </w:p>
        </w:tc>
        <w:tc>
          <w:tcPr>
            <w:tcW w:w="100" w:type="dxa"/>
            <w:vAlign w:val="bottom"/>
          </w:tcPr>
          <w:p>
            <w:pPr>
              <w:spacing w:after="0"/>
              <w:rPr>
                <w:sz w:val="16"/>
                <w:szCs w:val="16"/>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2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35,995</w:t>
            </w:r>
          </w:p>
        </w:tc>
        <w:tc>
          <w:tcPr>
            <w:tcW w:w="2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36,240</w:t>
            </w:r>
          </w:p>
        </w:tc>
        <w:tc>
          <w:tcPr>
            <w:tcW w:w="100" w:type="dxa"/>
            <w:vAlign w:val="bottom"/>
            <w:shd w:val="clear" w:color="auto" w:fill="CFF0FC"/>
          </w:tcPr>
          <w:p>
            <w:pPr>
              <w:spacing w:after="0"/>
              <w:rPr>
                <w:sz w:val="15"/>
                <w:szCs w:val="15"/>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Operating lease liabilities, less current portion</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16,622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16,691</w:t>
            </w:r>
          </w:p>
        </w:tc>
        <w:tc>
          <w:tcPr>
            <w:tcW w:w="100" w:type="dxa"/>
            <w:vAlign w:val="bottom"/>
          </w:tcPr>
          <w:p>
            <w:pPr>
              <w:spacing w:after="0"/>
              <w:rPr>
                <w:sz w:val="16"/>
                <w:szCs w:val="16"/>
                <w:color w:val="auto"/>
              </w:rPr>
            </w:pP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Deferred tax liabilities, net</w:t>
            </w: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5,193</w:t>
            </w: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3,185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57,810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56,116</w:t>
            </w:r>
          </w:p>
        </w:tc>
        <w:tc>
          <w:tcPr>
            <w:tcW w:w="100" w:type="dxa"/>
            <w:vAlign w:val="bottom"/>
          </w:tcPr>
          <w:p>
            <w:pPr>
              <w:spacing w:after="0"/>
              <w:rPr>
                <w:sz w:val="15"/>
                <w:szCs w:val="15"/>
                <w:color w:val="auto"/>
              </w:rPr>
            </w:pPr>
          </w:p>
        </w:tc>
      </w:tr>
      <w:tr>
        <w:trPr>
          <w:trHeight w:val="189"/>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Commitments and contingencies (See Note 14)</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A redeemable convertible preferred stock*, par value $0.01;</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nil shares and 30,000,000 shares authorized at June 30, 2023 and December 31, 2022, respectively; nil shares and</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1"/>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6,719,641 shares issued and outstanding at June 30, 2023 and December 31, 2022, respectively</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17,878</w:t>
            </w:r>
          </w:p>
        </w:tc>
        <w:tc>
          <w:tcPr>
            <w:tcW w:w="100" w:type="dxa"/>
            <w:vAlign w:val="bottom"/>
            <w:shd w:val="clear" w:color="auto" w:fill="CFF0FC"/>
          </w:tcPr>
          <w:p>
            <w:pPr>
              <w:spacing w:after="0"/>
              <w:rPr>
                <w:sz w:val="15"/>
                <w:szCs w:val="15"/>
                <w:color w:val="auto"/>
              </w:rPr>
            </w:pPr>
          </w:p>
        </w:tc>
      </w:tr>
      <w:tr>
        <w:trPr>
          <w:trHeight w:val="378"/>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 par value $0.0001; 500,000,000 shares and 65,000,000 shares authorized at June 30, 2023 and</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December 31, 2022, respectively;</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29,768,568 shares and 11,951,137 shares issued and outstanding at June 30, 2023 and December 31, 2022,</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1"/>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r>
      <w:tr>
        <w:trPr>
          <w:trHeight w:val="170"/>
        </w:trPr>
        <w:tc>
          <w:tcPr>
            <w:tcW w:w="7760" w:type="dxa"/>
            <w:vAlign w:val="bottom"/>
          </w:tcPr>
          <w:p>
            <w:pPr>
              <w:ind w:left="20"/>
              <w:spacing w:after="0"/>
              <w:rPr>
                <w:sz w:val="20"/>
                <w:szCs w:val="20"/>
                <w:color w:val="auto"/>
              </w:rPr>
            </w:pPr>
            <w:r>
              <w:rPr>
                <w:rFonts w:ascii="Arial" w:cs="Arial" w:eastAsia="Arial" w:hAnsi="Arial"/>
                <w:sz w:val="14"/>
                <w:szCs w:val="14"/>
                <w:color w:val="auto"/>
              </w:rPr>
              <w:t>Preferred stock, par value $0.0001; 10,000,000 and nil shares authorized at June 30, 2023 and December 31, 2022,</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7760" w:type="dxa"/>
            <w:vAlign w:val="bottom"/>
          </w:tcPr>
          <w:p>
            <w:pPr>
              <w:ind w:left="20"/>
              <w:spacing w:after="0"/>
              <w:rPr>
                <w:sz w:val="20"/>
                <w:szCs w:val="20"/>
                <w:color w:val="auto"/>
              </w:rPr>
            </w:pPr>
            <w:r>
              <w:rPr>
                <w:rFonts w:ascii="Arial" w:cs="Arial" w:eastAsia="Arial" w:hAnsi="Arial"/>
                <w:sz w:val="14"/>
                <w:szCs w:val="14"/>
                <w:color w:val="auto"/>
              </w:rPr>
              <w:t>respectively; nil shares issued and outstanding at June 30, 2023 and December 31, 2022, respectively</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paid-in-capital</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95,218</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52,388</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(14,416 )</w:t>
            </w:r>
          </w:p>
        </w:tc>
        <w:tc>
          <w:tcPr>
            <w:tcW w:w="20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(21,054 )</w:t>
            </w: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Less treasury stock, at cost; nil shares at June 30, 2023 and December 31, 2022</w:t>
            </w:r>
          </w:p>
        </w:tc>
        <w:tc>
          <w:tcPr>
            <w:tcW w:w="24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(318 )</w:t>
            </w:r>
          </w:p>
        </w:tc>
        <w:tc>
          <w:tcPr>
            <w:tcW w:w="20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(111 )</w:t>
            </w:r>
          </w:p>
        </w:tc>
      </w:tr>
      <w:tr>
        <w:trPr>
          <w:trHeight w:val="182"/>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80,487</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31,224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138,297</w:t>
            </w:r>
          </w:p>
        </w:tc>
        <w:tc>
          <w:tcPr>
            <w:tcW w:w="28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105,218</w:t>
            </w:r>
          </w:p>
        </w:tc>
        <w:tc>
          <w:tcPr>
            <w:tcW w:w="100" w:type="dxa"/>
            <w:vAlign w:val="bottom"/>
          </w:tcPr>
          <w:p>
            <w:pPr>
              <w:spacing w:after="0"/>
              <w:rPr>
                <w:sz w:val="15"/>
                <w:szCs w:val="15"/>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-4417695</wp:posOffset>
            </wp:positionV>
            <wp:extent cx="68580"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-4417695</wp:posOffset>
            </wp:positionV>
            <wp:extent cx="68580"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-3689985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-3689985</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-2345690</wp:posOffset>
            </wp:positionV>
            <wp:extent cx="6858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-153670</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83" w:lineRule="exact"/>
        <w:rPr>
          <w:sz w:val="20"/>
          <w:szCs w:val="20"/>
          <w:color w:val="auto"/>
        </w:rPr>
      </w:pPr>
    </w:p>
    <w:p>
      <w:pPr>
        <w:ind w:firstLine="8"/>
        <w:spacing w:after="0" w:line="259"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of legacy redeemable convertible preferred stock and legacy common stock have been retroactively restated to give effect to the Merger.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 net: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Tool rental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29,002</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23,024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61,278</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sale</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17,429</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Total revenue, net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30,372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Cost of tool rental revenue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sale revenue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31,284</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62,468</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(348 )</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(213 )</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(922 )</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Gain (loss) on sale of property</w:t>
            </w:r>
          </w:p>
        </w:tc>
        <w:tc>
          <w:tcPr>
            <w:tcW w:w="2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(loss) on equity securities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(87 )</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(4,382 )</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(23 )</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(6,035 )</w:t>
            </w: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other (expense) income, net</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(4,311 )</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(323 )</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(6,502 )</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income tax (expense) benefit</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(1,376 )</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(1,791 )</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(3,099 )</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(2,220 )</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Accumulated dividends on redeemable convertible preferred</w:t>
            </w:r>
          </w:p>
        </w:tc>
        <w:tc>
          <w:tcPr>
            <w:tcW w:w="280" w:type="dxa"/>
            <w:vAlign w:val="bottom"/>
            <w:shd w:val="clear" w:color="auto" w:fill="CFF0FC"/>
          </w:tcPr>
          <w:p>
            <w:pPr>
              <w:spacing w:after="0"/>
              <w:rPr>
                <w:sz w:val="17"/>
                <w:szCs w:val="17"/>
                <w:color w:val="auto"/>
              </w:rPr>
            </w:pPr>
          </w:p>
        </w:tc>
        <w:tc>
          <w:tcPr>
            <w:tcW w:w="13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w:t>
            </w:r>
          </w:p>
        </w:tc>
        <w:tc>
          <w:tcPr>
            <w:tcW w:w="280" w:type="dxa"/>
            <w:vAlign w:val="bottom"/>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6,324</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13,910,670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11,951,123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12,936,310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11,951,123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20,746,976</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19,677,493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20,217,648</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19,677,493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5,934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6,638</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 net of tax</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(207 )</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(207 )</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Net 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-4203700</wp:posOffset>
            </wp:positionV>
            <wp:extent cx="7683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-4203700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-4203700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-4203700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-3321685</wp:posOffset>
            </wp:positionV>
            <wp:extent cx="7683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-3321685</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-3321685</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-3321685</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-2131695</wp:posOffset>
            </wp:positionV>
            <wp:extent cx="7683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-2131695</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-2131695</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-1831975</wp:posOffset>
            </wp:positionV>
            <wp:extent cx="7683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-1831975</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-1831975</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-1412240</wp:posOffset>
            </wp:positionV>
            <wp:extent cx="7683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-1412240</wp:posOffset>
            </wp:positionV>
            <wp:extent cx="6858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-1412240</wp:posOffset>
            </wp:positionV>
            <wp:extent cx="6858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-1103630</wp:posOffset>
            </wp:positionV>
            <wp:extent cx="299656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96565" cy="19685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DRILLING TOOLS INTERNATIONAL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jc w:val="center"/>
        <w:spacing w:after="0" w:line="234" w:lineRule="auto"/>
        <w:rPr>
          <w:sz w:val="20"/>
          <w:szCs w:val="20"/>
          <w:color w:val="auto"/>
        </w:rPr>
      </w:pPr>
      <w:r>
        <w:rPr>
          <w:rFonts w:ascii="Arial" w:cs="Arial" w:eastAsia="Arial" w:hAnsi="Arial"/>
          <w:sz w:val="18"/>
          <w:szCs w:val="18"/>
          <w:b w:val="1"/>
          <w:bCs w:val="1"/>
          <w:color w:val="auto"/>
        </w:rPr>
        <w:t>SHAREHOLDERS’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540" w:type="dxa"/>
            <w:vAlign w:val="bottom"/>
            <w:gridSpan w:val="4"/>
          </w:tcPr>
          <w:p>
            <w:pPr>
              <w:jc w:val="right"/>
              <w:spacing w:after="0"/>
              <w:rPr>
                <w:sz w:val="20"/>
                <w:szCs w:val="20"/>
                <w:color w:val="auto"/>
              </w:rPr>
            </w:pPr>
            <w:r>
              <w:rPr>
                <w:rFonts w:ascii="Arial" w:cs="Arial" w:eastAsia="Arial" w:hAnsi="Arial"/>
                <w:sz w:val="13"/>
                <w:szCs w:val="13"/>
                <w:b w:val="1"/>
                <w:bCs w:val="1"/>
                <w:color w:val="auto"/>
                <w:w w:val="97"/>
              </w:rPr>
              <w:t>Redeemable Convertible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vMerge w:val="restart"/>
          </w:tcPr>
          <w:p>
            <w:pPr>
              <w:jc w:val="right"/>
              <w:ind w:right="440"/>
              <w:spacing w:after="0"/>
              <w:rPr>
                <w:sz w:val="20"/>
                <w:szCs w:val="20"/>
                <w:color w:val="auto"/>
              </w:rPr>
            </w:pPr>
            <w:r>
              <w:rPr>
                <w:rFonts w:ascii="Arial" w:cs="Arial" w:eastAsia="Arial" w:hAnsi="Arial"/>
                <w:sz w:val="13"/>
                <w:szCs w:val="13"/>
                <w:b w:val="1"/>
                <w:bCs w:val="1"/>
                <w:color w:val="auto"/>
              </w:rPr>
              <w:t>Common Stock</w:t>
            </w:r>
          </w:p>
        </w:tc>
        <w:tc>
          <w:tcPr>
            <w:tcW w:w="1520" w:type="dxa"/>
            <w:vAlign w:val="bottom"/>
            <w:gridSpan w:val="5"/>
            <w:vMerge w:val="restart"/>
          </w:tcPr>
          <w:p>
            <w:pPr>
              <w:jc w:val="right"/>
              <w:ind w:right="42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54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rPr>
              <w:t>Preferred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ted</w:t>
            </w:r>
          </w:p>
        </w:tc>
        <w:tc>
          <w:tcPr>
            <w:tcW w:w="120" w:type="dxa"/>
            <w:vAlign w:val="bottom"/>
          </w:tcPr>
          <w:p>
            <w:pPr>
              <w:spacing w:after="0"/>
              <w:rPr>
                <w:sz w:val="11"/>
                <w:szCs w:val="11"/>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w:t>
            </w: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Shareholde</w:t>
            </w:r>
          </w:p>
        </w:tc>
        <w:tc>
          <w:tcPr>
            <w:tcW w:w="0" w:type="dxa"/>
            <w:vAlign w:val="bottom"/>
          </w:tcPr>
          <w:p>
            <w:pPr>
              <w:spacing w:after="0"/>
              <w:rPr>
                <w:sz w:val="1"/>
                <w:szCs w:val="1"/>
                <w:color w:val="auto"/>
              </w:rPr>
            </w:pPr>
          </w:p>
        </w:tc>
      </w:tr>
      <w:tr>
        <w:trPr>
          <w:trHeight w:val="143"/>
        </w:trPr>
        <w:tc>
          <w:tcPr>
            <w:tcW w:w="276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(In thousands, except share and per share</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jc w:val="right"/>
              <w:ind w:right="280"/>
              <w:spacing w:after="0" w:line="144" w:lineRule="exact"/>
              <w:rPr>
                <w:sz w:val="20"/>
                <w:szCs w:val="20"/>
                <w:color w:val="auto"/>
              </w:rPr>
            </w:pPr>
            <w:r>
              <w:rPr>
                <w:rFonts w:ascii="Arial" w:cs="Arial" w:eastAsia="Arial" w:hAnsi="Arial"/>
                <w:sz w:val="13"/>
                <w:szCs w:val="13"/>
                <w:b w:val="1"/>
                <w:bCs w:val="1"/>
                <w:color w:val="auto"/>
              </w:rPr>
              <w:t>Amo</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Amou</w:t>
            </w:r>
          </w:p>
        </w:tc>
        <w:tc>
          <w:tcPr>
            <w:tcW w:w="100" w:type="dxa"/>
            <w:vAlign w:val="bottom"/>
          </w:tcPr>
          <w:p>
            <w:pPr>
              <w:spacing w:after="0"/>
              <w:rPr>
                <w:sz w:val="12"/>
                <w:szCs w:val="12"/>
                <w:color w:val="auto"/>
              </w:rPr>
            </w:pPr>
          </w:p>
        </w:tc>
        <w:tc>
          <w:tcPr>
            <w:tcW w:w="78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2"/>
                <w:szCs w:val="12"/>
                <w:color w:val="auto"/>
              </w:rPr>
            </w:pPr>
          </w:p>
        </w:tc>
        <w:tc>
          <w:tcPr>
            <w:tcW w:w="780" w:type="dxa"/>
            <w:vAlign w:val="bottom"/>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ted</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6"/>
              </w:rPr>
              <w:t>nsive</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rs'</w:t>
            </w: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i w:val="1"/>
                <w:iCs w:val="1"/>
                <w:color w:val="auto"/>
              </w:rPr>
              <w:t>data)</w:t>
            </w:r>
          </w:p>
        </w:tc>
        <w:tc>
          <w:tcPr>
            <w:tcW w:w="9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8"/>
              </w:rPr>
              <w:t>unt</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nt</w:t>
            </w: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0"/>
        </w:trPr>
        <w:tc>
          <w:tcPr>
            <w:tcW w:w="2760" w:type="dxa"/>
            <w:vAlign w:val="bottom"/>
            <w:shd w:val="clear" w:color="auto" w:fill="CFF0FC"/>
          </w:tcPr>
          <w:p>
            <w:pPr>
              <w:ind w:left="20"/>
              <w:spacing w:after="0" w:line="120" w:lineRule="exact"/>
              <w:rPr>
                <w:sz w:val="20"/>
                <w:szCs w:val="20"/>
                <w:color w:val="auto"/>
              </w:rPr>
            </w:pPr>
            <w:r>
              <w:rPr>
                <w:rFonts w:ascii="Arial" w:cs="Arial" w:eastAsia="Arial" w:hAnsi="Arial"/>
                <w:sz w:val="13"/>
                <w:szCs w:val="13"/>
                <w:b w:val="1"/>
                <w:bCs w:val="1"/>
                <w:color w:val="auto"/>
              </w:rPr>
              <w:t>BALANCE, December 31,</w:t>
            </w:r>
          </w:p>
        </w:tc>
        <w:tc>
          <w:tcPr>
            <w:tcW w:w="720" w:type="dxa"/>
            <w:vAlign w:val="bottom"/>
            <w:tcBorders>
              <w:top w:val="single" w:sz="8" w:color="auto"/>
            </w:tcBorders>
            <w:shd w:val="clear" w:color="auto" w:fill="CFF0FC"/>
          </w:tcPr>
          <w:p>
            <w:pPr>
              <w:jc w:val="right"/>
              <w:spacing w:after="0" w:line="120" w:lineRule="exact"/>
              <w:rPr>
                <w:sz w:val="20"/>
                <w:szCs w:val="20"/>
                <w:color w:val="auto"/>
              </w:rPr>
            </w:pPr>
            <w:r>
              <w:rPr>
                <w:rFonts w:ascii="Arial" w:cs="Arial" w:eastAsia="Arial" w:hAnsi="Arial"/>
                <w:sz w:val="13"/>
                <w:szCs w:val="13"/>
                <w:color w:val="auto"/>
              </w:rPr>
              <w:t>20,370,37</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jc w:val="right"/>
              <w:spacing w:after="0" w:line="120" w:lineRule="exact"/>
              <w:rPr>
                <w:sz w:val="20"/>
                <w:szCs w:val="20"/>
                <w:color w:val="auto"/>
              </w:rPr>
            </w:pPr>
            <w:r>
              <w:rPr>
                <w:rFonts w:ascii="Arial" w:cs="Arial" w:eastAsia="Arial" w:hAnsi="Arial"/>
                <w:sz w:val="13"/>
                <w:szCs w:val="13"/>
                <w:color w:val="auto"/>
              </w:rPr>
              <w:t>53,175,02</w:t>
            </w: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2021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16,689</w:t>
            </w:r>
          </w:p>
        </w:tc>
        <w:tc>
          <w:tcPr>
            <w:tcW w:w="260" w:type="dxa"/>
            <w:vAlign w:val="bottom"/>
            <w:tcBorders>
              <w:right w:val="single" w:sz="8" w:color="auto"/>
            </w:tcBorders>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(811,156 )</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w w:val="94"/>
              </w:rPr>
              <w:t>(933 )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53,979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(42,134 )</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(284 )</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60" w:type="dxa"/>
            <w:vAlign w:val="bottom"/>
          </w:tcPr>
          <w:p>
            <w:pPr>
              <w:ind w:left="20"/>
              <w:spacing w:after="0" w:line="134" w:lineRule="exact"/>
              <w:rPr>
                <w:sz w:val="20"/>
                <w:szCs w:val="20"/>
                <w:color w:val="auto"/>
              </w:rPr>
            </w:pPr>
            <w:r>
              <w:rPr>
                <w:rFonts w:ascii="Arial" w:cs="Arial" w:eastAsia="Arial" w:hAnsi="Arial"/>
                <w:sz w:val="13"/>
                <w:szCs w:val="13"/>
                <w:color w:val="auto"/>
              </w:rPr>
              <w:t>Retroactive application of Merger</w:t>
            </w:r>
          </w:p>
        </w:tc>
        <w:tc>
          <w:tcPr>
            <w:tcW w:w="720" w:type="dxa"/>
            <w:vAlign w:val="bottom"/>
          </w:tcPr>
          <w:p>
            <w:pPr>
              <w:jc w:val="right"/>
              <w:spacing w:after="0" w:line="134" w:lineRule="exact"/>
              <w:rPr>
                <w:sz w:val="20"/>
                <w:szCs w:val="20"/>
                <w:color w:val="auto"/>
              </w:rPr>
            </w:pPr>
            <w:r>
              <w:rPr>
                <w:rFonts w:ascii="Arial" w:cs="Arial" w:eastAsia="Arial" w:hAnsi="Arial"/>
                <w:sz w:val="13"/>
                <w:szCs w:val="13"/>
                <w:color w:val="auto"/>
              </w:rPr>
              <w:t>(13,650,7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4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(41,223,8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4" w:lineRule="exact"/>
              <w:rPr>
                <w:sz w:val="20"/>
                <w:szCs w:val="20"/>
                <w:color w:val="auto"/>
              </w:rPr>
            </w:pPr>
            <w:r>
              <w:rPr>
                <w:rFonts w:ascii="Arial" w:cs="Arial" w:eastAsia="Arial" w:hAnsi="Arial"/>
                <w:sz w:val="13"/>
                <w:szCs w:val="13"/>
                <w:color w:val="auto"/>
              </w:rPr>
              <w:t>(53</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36 )</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3"/>
                <w:szCs w:val="13"/>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91 )</w:t>
            </w:r>
          </w:p>
        </w:tc>
        <w:tc>
          <w:tcPr>
            <w:tcW w:w="8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1 )</w:t>
            </w:r>
          </w:p>
        </w:tc>
        <w:tc>
          <w:tcPr>
            <w:tcW w:w="700" w:type="dxa"/>
            <w:vAlign w:val="bottom"/>
          </w:tcPr>
          <w:p>
            <w:pPr>
              <w:jc w:val="right"/>
              <w:spacing w:after="0"/>
              <w:rPr>
                <w:sz w:val="20"/>
                <w:szCs w:val="20"/>
                <w:color w:val="auto"/>
              </w:rPr>
            </w:pPr>
            <w:r>
              <w:rPr>
                <w:rFonts w:ascii="Arial" w:cs="Arial" w:eastAsia="Arial" w:hAnsi="Arial"/>
                <w:sz w:val="13"/>
                <w:szCs w:val="13"/>
                <w:color w:val="auto"/>
              </w:rPr>
              <w:t>811,156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933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(402 )</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FF0FC"/>
          </w:tcPr>
          <w:p>
            <w:pPr>
              <w:ind w:left="20"/>
              <w:spacing w:after="0" w:line="130" w:lineRule="exact"/>
              <w:rPr>
                <w:sz w:val="20"/>
                <w:szCs w:val="20"/>
                <w:color w:val="auto"/>
              </w:rPr>
            </w:pPr>
            <w:r>
              <w:rPr>
                <w:rFonts w:ascii="Arial" w:cs="Arial" w:eastAsia="Arial" w:hAnsi="Arial"/>
                <w:sz w:val="13"/>
                <w:szCs w:val="13"/>
                <w:b w:val="1"/>
                <w:bCs w:val="1"/>
                <w:color w:val="auto"/>
              </w:rPr>
              <w:t>Adjusted Balances, beginning of period*</w:t>
            </w: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11,951,13</w:t>
            </w: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6,719,641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16,689</w:t>
            </w:r>
          </w:p>
        </w:tc>
        <w:tc>
          <w:tcPr>
            <w:tcW w:w="260" w:type="dxa"/>
            <w:vAlign w:val="bottom"/>
            <w:tcBorders>
              <w:right w:val="single" w:sz="8" w:color="auto"/>
            </w:tcBorders>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53,577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(42,134 )</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(284 )</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60" w:type="dxa"/>
            <w:vAlign w:val="bottom"/>
          </w:tcPr>
          <w:p>
            <w:pPr>
              <w:ind w:left="20"/>
              <w:spacing w:after="0" w:line="134" w:lineRule="exact"/>
              <w:rPr>
                <w:sz w:val="20"/>
                <w:szCs w:val="20"/>
                <w:color w:val="auto"/>
              </w:rPr>
            </w:pPr>
            <w:r>
              <w:rPr>
                <w:rFonts w:ascii="Arial" w:cs="Arial" w:eastAsia="Arial" w:hAnsi="Arial"/>
                <w:sz w:val="13"/>
                <w:szCs w:val="13"/>
                <w:color w:val="auto"/>
              </w:rPr>
              <w:t>Accretion of redeemable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convertible preferred</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stock to redemption</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20"/>
              <w:spacing w:after="0"/>
              <w:rPr>
                <w:sz w:val="20"/>
                <w:szCs w:val="20"/>
                <w:color w:val="auto"/>
              </w:rPr>
            </w:pPr>
            <w:r>
              <w:rPr>
                <w:rFonts w:ascii="Arial" w:cs="Arial" w:eastAsia="Arial" w:hAnsi="Arial"/>
                <w:sz w:val="13"/>
                <w:szCs w:val="13"/>
                <w:color w:val="auto"/>
              </w:rPr>
              <w:t>value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294</w:t>
            </w:r>
          </w:p>
        </w:tc>
        <w:tc>
          <w:tcPr>
            <w:tcW w:w="260" w:type="dxa"/>
            <w:vAlign w:val="bottom"/>
            <w:tcBorders>
              <w:right w:val="single" w:sz="8" w:color="auto"/>
            </w:tcBorders>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(294 )</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(294 )</w:t>
            </w:r>
          </w:p>
        </w:tc>
        <w:tc>
          <w:tcPr>
            <w:tcW w:w="0" w:type="dxa"/>
            <w:vAlign w:val="bottom"/>
          </w:tcPr>
          <w:p>
            <w:pPr>
              <w:spacing w:after="0"/>
              <w:rPr>
                <w:sz w:val="1"/>
                <w:szCs w:val="1"/>
                <w:color w:val="auto"/>
              </w:rPr>
            </w:pPr>
          </w:p>
        </w:tc>
      </w:tr>
      <w:tr>
        <w:trPr>
          <w:trHeight w:val="137"/>
        </w:trPr>
        <w:tc>
          <w:tcPr>
            <w:tcW w:w="2760" w:type="dxa"/>
            <w:vAlign w:val="bottom"/>
            <w:shd w:val="clear" w:color="auto" w:fill="CFF0FC"/>
          </w:tcPr>
          <w:p>
            <w:pPr>
              <w:ind w:left="20"/>
              <w:spacing w:after="0" w:line="137" w:lineRule="exact"/>
              <w:rPr>
                <w:sz w:val="20"/>
                <w:szCs w:val="20"/>
                <w:color w:val="auto"/>
              </w:rPr>
            </w:pPr>
            <w:r>
              <w:rPr>
                <w:rFonts w:ascii="Arial" w:cs="Arial" w:eastAsia="Arial" w:hAnsi="Arial"/>
                <w:sz w:val="13"/>
                <w:szCs w:val="13"/>
                <w:color w:val="auto"/>
              </w:rPr>
              <w:t>Foreign currency</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translation adjustment,</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tax</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(75 )</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60"/>
        </w:trPr>
        <w:tc>
          <w:tcPr>
            <w:tcW w:w="27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FF0FC"/>
          </w:tcPr>
          <w:p>
            <w:pPr>
              <w:ind w:left="20"/>
              <w:spacing w:after="0" w:line="130" w:lineRule="exact"/>
              <w:rPr>
                <w:sz w:val="20"/>
                <w:szCs w:val="20"/>
                <w:color w:val="auto"/>
              </w:rPr>
            </w:pPr>
            <w:r>
              <w:rPr>
                <w:rFonts w:ascii="Arial" w:cs="Arial" w:eastAsia="Arial" w:hAnsi="Arial"/>
                <w:sz w:val="13"/>
                <w:szCs w:val="13"/>
                <w:b w:val="1"/>
                <w:bCs w:val="1"/>
                <w:color w:val="auto"/>
              </w:rPr>
              <w:t>BALANCE, March 31, 2022</w:t>
            </w: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11,951,13</w:t>
            </w: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6,719,641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16,983</w:t>
            </w:r>
          </w:p>
        </w:tc>
        <w:tc>
          <w:tcPr>
            <w:tcW w:w="260" w:type="dxa"/>
            <w:vAlign w:val="bottom"/>
            <w:tcBorders>
              <w:right w:val="single" w:sz="8" w:color="auto"/>
            </w:tcBorders>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53,283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(40,801 )</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(359 )</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760" w:type="dxa"/>
            <w:vAlign w:val="bottom"/>
            <w:tcBorders>
              <w:top w:val="single" w:sz="8" w:color="CFF0FC"/>
            </w:tcBorders>
          </w:tcPr>
          <w:p>
            <w:pPr>
              <w:ind w:left="20"/>
              <w:spacing w:after="0" w:line="117" w:lineRule="exact"/>
              <w:rPr>
                <w:sz w:val="20"/>
                <w:szCs w:val="20"/>
                <w:color w:val="auto"/>
              </w:rPr>
            </w:pPr>
            <w:r>
              <w:rPr>
                <w:rFonts w:ascii="Arial" w:cs="Arial" w:eastAsia="Arial" w:hAnsi="Arial"/>
                <w:sz w:val="13"/>
                <w:szCs w:val="13"/>
                <w:color w:val="auto"/>
              </w:rPr>
              <w:t>Accretion of redeemable</w:t>
            </w: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convertible preferred</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stock to redemption</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20"/>
              <w:spacing w:after="0"/>
              <w:rPr>
                <w:sz w:val="20"/>
                <w:szCs w:val="20"/>
                <w:color w:val="auto"/>
              </w:rPr>
            </w:pPr>
            <w:r>
              <w:rPr>
                <w:rFonts w:ascii="Arial" w:cs="Arial" w:eastAsia="Arial" w:hAnsi="Arial"/>
                <w:sz w:val="13"/>
                <w:szCs w:val="13"/>
                <w:color w:val="auto"/>
              </w:rPr>
              <w:t>value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295</w:t>
            </w:r>
          </w:p>
        </w:tc>
        <w:tc>
          <w:tcPr>
            <w:tcW w:w="260" w:type="dxa"/>
            <w:vAlign w:val="bottom"/>
            <w:tcBorders>
              <w:right w:val="single" w:sz="8" w:color="auto"/>
            </w:tcBorders>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(295 )</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(295 )</w:t>
            </w:r>
          </w:p>
        </w:tc>
        <w:tc>
          <w:tcPr>
            <w:tcW w:w="0" w:type="dxa"/>
            <w:vAlign w:val="bottom"/>
          </w:tcPr>
          <w:p>
            <w:pPr>
              <w:spacing w:after="0"/>
              <w:rPr>
                <w:sz w:val="1"/>
                <w:szCs w:val="1"/>
                <w:color w:val="auto"/>
              </w:rPr>
            </w:pPr>
          </w:p>
        </w:tc>
      </w:tr>
      <w:tr>
        <w:trPr>
          <w:trHeight w:val="137"/>
        </w:trPr>
        <w:tc>
          <w:tcPr>
            <w:tcW w:w="2760" w:type="dxa"/>
            <w:vAlign w:val="bottom"/>
            <w:shd w:val="clear" w:color="auto" w:fill="CFF0FC"/>
          </w:tcPr>
          <w:p>
            <w:pPr>
              <w:ind w:left="20"/>
              <w:spacing w:after="0" w:line="137" w:lineRule="exact"/>
              <w:rPr>
                <w:sz w:val="20"/>
                <w:szCs w:val="20"/>
                <w:color w:val="auto"/>
              </w:rPr>
            </w:pPr>
            <w:r>
              <w:rPr>
                <w:rFonts w:ascii="Arial" w:cs="Arial" w:eastAsia="Arial" w:hAnsi="Arial"/>
                <w:sz w:val="13"/>
                <w:szCs w:val="13"/>
                <w:color w:val="auto"/>
              </w:rPr>
              <w:t>Foreign currency</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translation adjustment,</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tax</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5,934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FF0FC"/>
          </w:tcPr>
          <w:p>
            <w:pPr>
              <w:ind w:left="20"/>
              <w:spacing w:after="0" w:line="130" w:lineRule="exact"/>
              <w:rPr>
                <w:sz w:val="20"/>
                <w:szCs w:val="20"/>
                <w:color w:val="auto"/>
              </w:rPr>
            </w:pPr>
            <w:r>
              <w:rPr>
                <w:rFonts w:ascii="Arial" w:cs="Arial" w:eastAsia="Arial" w:hAnsi="Arial"/>
                <w:sz w:val="13"/>
                <w:szCs w:val="13"/>
                <w:b w:val="1"/>
                <w:bCs w:val="1"/>
                <w:color w:val="auto"/>
              </w:rPr>
              <w:t>BALANCE, June 30, 2022</w:t>
            </w: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11,951,13</w:t>
            </w: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6,719,641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17,278</w:t>
            </w:r>
          </w:p>
        </w:tc>
        <w:tc>
          <w:tcPr>
            <w:tcW w:w="2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52,988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(34,867 )</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(346 )</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-984250</wp:posOffset>
            </wp:positionV>
            <wp:extent cx="4923155" cy="385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3155" cy="38544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firstLine="8"/>
        <w:spacing w:after="0" w:line="259" w:lineRule="auto"/>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of legacy redeemable convertible preferred stock and legacy common stock have been retroactively restated to give effect to the Merger.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3180" w:type="dxa"/>
            <w:vAlign w:val="bottom"/>
            <w:gridSpan w:val="6"/>
          </w:tcPr>
          <w:p>
            <w:pPr>
              <w:ind w:left="180"/>
              <w:spacing w:after="0"/>
              <w:rPr>
                <w:sz w:val="20"/>
                <w:szCs w:val="20"/>
                <w:color w:val="auto"/>
              </w:rPr>
            </w:pPr>
            <w:r>
              <w:rPr>
                <w:rFonts w:ascii="Arial" w:cs="Arial" w:eastAsia="Arial" w:hAnsi="Arial"/>
                <w:sz w:val="13"/>
                <w:szCs w:val="13"/>
                <w:b w:val="1"/>
                <w:bCs w:val="1"/>
                <w:color w:val="auto"/>
              </w:rPr>
              <w:t>Redeemable Convertible Preferred Stock</w:t>
            </w:r>
          </w:p>
        </w:tc>
        <w:tc>
          <w:tcPr>
            <w:tcW w:w="14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5"/>
          </w:tcPr>
          <w:p>
            <w:pPr>
              <w:ind w:left="4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ulated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5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w:t>
            </w:r>
          </w:p>
        </w:tc>
        <w:tc>
          <w:tcPr>
            <w:tcW w:w="700" w:type="dxa"/>
            <w:vAlign w:val="bottom"/>
            <w:gridSpan w:val="3"/>
            <w:vMerge w:val="continue"/>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w:t>
            </w:r>
          </w:p>
        </w:tc>
        <w:tc>
          <w:tcPr>
            <w:tcW w:w="6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Compr</w:t>
            </w: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5"/>
              </w:rPr>
              <w:t>nal</w:t>
            </w:r>
          </w:p>
        </w:tc>
        <w:tc>
          <w:tcPr>
            <w:tcW w:w="680" w:type="dxa"/>
            <w:vAlign w:val="bottom"/>
            <w:gridSpan w:val="3"/>
            <w:vMerge w:val="continue"/>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ehensi</w:t>
            </w:r>
          </w:p>
        </w:tc>
        <w:tc>
          <w:tcPr>
            <w:tcW w:w="6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Sharehol</w:t>
            </w:r>
          </w:p>
        </w:tc>
        <w:tc>
          <w:tcPr>
            <w:tcW w:w="0" w:type="dxa"/>
            <w:vAlign w:val="bottom"/>
          </w:tcPr>
          <w:p>
            <w:pPr>
              <w:spacing w:after="0"/>
              <w:rPr>
                <w:sz w:val="1"/>
                <w:szCs w:val="1"/>
                <w:color w:val="auto"/>
              </w:rPr>
            </w:pPr>
          </w:p>
        </w:tc>
      </w:tr>
      <w:tr>
        <w:trPr>
          <w:trHeight w:val="143"/>
        </w:trPr>
        <w:tc>
          <w:tcPr>
            <w:tcW w:w="216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(In thousands, except share and</w:t>
            </w:r>
          </w:p>
        </w:tc>
        <w:tc>
          <w:tcPr>
            <w:tcW w:w="1760" w:type="dxa"/>
            <w:vAlign w:val="bottom"/>
            <w:gridSpan w:val="2"/>
            <w:vMerge w:val="restart"/>
          </w:tcPr>
          <w:p>
            <w:pPr>
              <w:jc w:val="right"/>
              <w:ind w:right="8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2"/>
                <w:szCs w:val="12"/>
                <w:color w:val="auto"/>
              </w:rPr>
            </w:pPr>
          </w:p>
        </w:tc>
        <w:tc>
          <w:tcPr>
            <w:tcW w:w="114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Amo</w:t>
            </w: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Shares</w:t>
            </w:r>
          </w:p>
        </w:tc>
        <w:tc>
          <w:tcPr>
            <w:tcW w:w="46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ou</w:t>
            </w:r>
          </w:p>
        </w:tc>
        <w:tc>
          <w:tcPr>
            <w:tcW w:w="7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Paid-In</w:t>
            </w:r>
          </w:p>
        </w:tc>
        <w:tc>
          <w:tcPr>
            <w:tcW w:w="68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ulated</w:t>
            </w:r>
          </w:p>
        </w:tc>
        <w:tc>
          <w:tcPr>
            <w:tcW w:w="80" w:type="dxa"/>
            <w:vAlign w:val="bottom"/>
          </w:tcPr>
          <w:p>
            <w:pPr>
              <w:spacing w:after="0"/>
              <w:rPr>
                <w:sz w:val="12"/>
                <w:szCs w:val="12"/>
                <w:color w:val="auto"/>
              </w:rPr>
            </w:pPr>
          </w:p>
        </w:tc>
        <w:tc>
          <w:tcPr>
            <w:tcW w:w="6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6"/>
              </w:rPr>
              <w:t>ve</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8"/>
              </w:rPr>
              <w:t>ders'</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i w:val="1"/>
                <w:iCs w:val="1"/>
                <w:color w:val="auto"/>
              </w:rPr>
              <w:t>per share data)</w:t>
            </w: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540" w:type="dxa"/>
            <w:vAlign w:val="bottom"/>
            <w:gridSpan w:val="3"/>
          </w:tcPr>
          <w:p>
            <w:pPr>
              <w:ind w:left="60"/>
              <w:spacing w:after="0"/>
              <w:rPr>
                <w:sz w:val="20"/>
                <w:szCs w:val="20"/>
                <w:color w:val="auto"/>
              </w:rPr>
            </w:pPr>
            <w:r>
              <w:rPr>
                <w:rFonts w:ascii="Arial" w:cs="Arial" w:eastAsia="Arial" w:hAnsi="Arial"/>
                <w:sz w:val="13"/>
                <w:szCs w:val="13"/>
                <w:b w:val="1"/>
                <w:bCs w:val="1"/>
                <w:color w:val="auto"/>
              </w:rPr>
              <w:t>unt</w:t>
            </w:r>
          </w:p>
        </w:tc>
        <w:tc>
          <w:tcPr>
            <w:tcW w:w="740" w:type="dxa"/>
            <w:vAlign w:val="bottom"/>
            <w:gridSpan w:val="2"/>
            <w:vMerge w:val="continue"/>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b w:val="1"/>
                <w:bCs w:val="1"/>
                <w:color w:val="auto"/>
              </w:rPr>
              <w:t>nt</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Capital</w:t>
            </w:r>
          </w:p>
        </w:tc>
        <w:tc>
          <w:tcPr>
            <w:tcW w:w="680" w:type="dxa"/>
            <w:vAlign w:val="bottom"/>
            <w:gridSpan w:val="3"/>
          </w:tcPr>
          <w:p>
            <w:pPr>
              <w:ind w:left="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20" w:lineRule="exact"/>
              <w:rPr>
                <w:sz w:val="20"/>
                <w:szCs w:val="20"/>
                <w:color w:val="auto"/>
              </w:rPr>
            </w:pPr>
            <w:r>
              <w:rPr>
                <w:rFonts w:ascii="Arial" w:cs="Arial" w:eastAsia="Arial" w:hAnsi="Arial"/>
                <w:sz w:val="13"/>
                <w:szCs w:val="13"/>
                <w:b w:val="1"/>
                <w:bCs w:val="1"/>
                <w:color w:val="auto"/>
              </w:rPr>
              <w:t>BALANCE, December 31,</w:t>
            </w:r>
          </w:p>
        </w:tc>
        <w:tc>
          <w:tcPr>
            <w:tcW w:w="15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3"/>
                <w:szCs w:val="13"/>
                <w:color w:val="auto"/>
              </w:rPr>
              <w:t>(9</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120"/>
              <w:spacing w:after="0" w:line="143" w:lineRule="exact"/>
              <w:rPr>
                <w:sz w:val="20"/>
                <w:szCs w:val="20"/>
                <w:color w:val="auto"/>
              </w:rPr>
            </w:pPr>
            <w:r>
              <w:rPr>
                <w:rFonts w:ascii="Arial" w:cs="Arial" w:eastAsia="Arial" w:hAnsi="Arial"/>
                <w:sz w:val="13"/>
                <w:szCs w:val="13"/>
                <w:b w:val="1"/>
                <w:bCs w:val="1"/>
                <w:color w:val="auto"/>
              </w:rPr>
              <w:t>2022</w:t>
            </w: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Arial" w:cs="Arial" w:eastAsia="Arial" w:hAnsi="Arial"/>
                <w:sz w:val="13"/>
                <w:szCs w:val="13"/>
                <w:color w:val="auto"/>
              </w:rPr>
              <w:t>53</w:t>
            </w:r>
          </w:p>
        </w:tc>
        <w:tc>
          <w:tcPr>
            <w:tcW w:w="22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(811,1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w w:val="98"/>
              </w:rPr>
              <w:t>52,79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(21,0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20,370,377</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17,878</w:t>
            </w: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53,175,028</w:t>
            </w:r>
          </w:p>
        </w:tc>
        <w:tc>
          <w:tcPr>
            <w:tcW w:w="2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56 )</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3 )</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0</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54 )</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(111 )</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31,224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60" w:type="dxa"/>
            <w:vAlign w:val="bottom"/>
            <w:shd w:val="clear" w:color="auto" w:fill="CFF0FC"/>
          </w:tcPr>
          <w:p>
            <w:pPr>
              <w:ind w:left="20"/>
              <w:spacing w:after="0" w:line="137" w:lineRule="exact"/>
              <w:rPr>
                <w:sz w:val="20"/>
                <w:szCs w:val="20"/>
                <w:color w:val="auto"/>
              </w:rPr>
            </w:pPr>
            <w:r>
              <w:rPr>
                <w:rFonts w:ascii="Arial" w:cs="Arial" w:eastAsia="Arial" w:hAnsi="Arial"/>
                <w:sz w:val="13"/>
                <w:szCs w:val="13"/>
                <w:color w:val="auto"/>
              </w:rPr>
              <w:t>Retroactive application of Merger</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7" w:lineRule="exact"/>
              <w:rPr>
                <w:sz w:val="20"/>
                <w:szCs w:val="20"/>
                <w:color w:val="auto"/>
              </w:rPr>
            </w:pPr>
            <w:r>
              <w:rPr>
                <w:rFonts w:ascii="Arial" w:cs="Arial" w:eastAsia="Arial" w:hAnsi="Arial"/>
                <w:sz w:val="13"/>
                <w:szCs w:val="13"/>
                <w:color w:val="auto"/>
              </w:rPr>
              <w:t>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5"/>
              </w:rPr>
              <w:t>(53</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811,15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(13,650,736 )</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(41,223,891 )</w:t>
            </w:r>
          </w:p>
        </w:tc>
        <w:tc>
          <w:tcPr>
            <w:tcW w:w="1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1 )</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(402 )</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160" w:type="dxa"/>
            <w:vAlign w:val="bottom"/>
            <w:tcBorders>
              <w:top w:val="single" w:sz="8" w:color="CFF0FC"/>
            </w:tcBorders>
          </w:tcPr>
          <w:p>
            <w:pPr>
              <w:ind w:left="20"/>
              <w:spacing w:after="0" w:line="122" w:lineRule="exact"/>
              <w:rPr>
                <w:sz w:val="20"/>
                <w:szCs w:val="20"/>
                <w:color w:val="auto"/>
              </w:rPr>
            </w:pPr>
            <w:r>
              <w:rPr>
                <w:rFonts w:ascii="Arial" w:cs="Arial" w:eastAsia="Arial" w:hAnsi="Arial"/>
                <w:sz w:val="13"/>
                <w:szCs w:val="13"/>
                <w:b w:val="1"/>
                <w:bCs w:val="1"/>
                <w:color w:val="auto"/>
              </w:rPr>
              <w:t>Adjusted Balances, beginning of</w:t>
            </w:r>
          </w:p>
        </w:tc>
        <w:tc>
          <w:tcPr>
            <w:tcW w:w="15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w w:val="98"/>
              </w:rPr>
              <w:t>52,38</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(21,0</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3"/>
                <w:szCs w:val="13"/>
                <w:b w:val="1"/>
                <w:bCs w:val="1"/>
                <w:color w:val="auto"/>
              </w:rPr>
              <w:t>period*</w:t>
            </w:r>
          </w:p>
        </w:tc>
        <w:tc>
          <w:tcPr>
            <w:tcW w:w="1520" w:type="dxa"/>
            <w:vAlign w:val="bottom"/>
          </w:tcPr>
          <w:p>
            <w:pPr>
              <w:jc w:val="right"/>
              <w:spacing w:after="0"/>
              <w:rPr>
                <w:sz w:val="20"/>
                <w:szCs w:val="20"/>
                <w:color w:val="auto"/>
              </w:rPr>
            </w:pPr>
            <w:r>
              <w:rPr>
                <w:rFonts w:ascii="Arial" w:cs="Arial" w:eastAsia="Arial" w:hAnsi="Arial"/>
                <w:sz w:val="13"/>
                <w:szCs w:val="13"/>
                <w:color w:val="auto"/>
              </w:rPr>
              <w:t>6,719,641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17,878</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11,951,137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54 )</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(111 )</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31,224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1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Accretion of redeemable</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convertible preferred</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stock to redemption</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value</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(314 )</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(314 )</w:t>
            </w:r>
          </w:p>
        </w:tc>
        <w:tc>
          <w:tcPr>
            <w:tcW w:w="0" w:type="dxa"/>
            <w:vAlign w:val="bottom"/>
          </w:tcPr>
          <w:p>
            <w:pPr>
              <w:spacing w:after="0"/>
              <w:rPr>
                <w:sz w:val="1"/>
                <w:szCs w:val="1"/>
                <w:color w:val="auto"/>
              </w:rPr>
            </w:pPr>
          </w:p>
        </w:tc>
      </w:tr>
      <w:tr>
        <w:trPr>
          <w:trHeight w:val="134"/>
        </w:trPr>
        <w:tc>
          <w:tcPr>
            <w:tcW w:w="2160" w:type="dxa"/>
            <w:vAlign w:val="bottom"/>
          </w:tcPr>
          <w:p>
            <w:pPr>
              <w:ind w:left="20"/>
              <w:spacing w:after="0" w:line="134" w:lineRule="exact"/>
              <w:rPr>
                <w:sz w:val="20"/>
                <w:szCs w:val="20"/>
                <w:color w:val="auto"/>
              </w:rPr>
            </w:pPr>
            <w:r>
              <w:rPr>
                <w:rFonts w:ascii="Arial" w:cs="Arial" w:eastAsia="Arial" w:hAnsi="Arial"/>
                <w:sz w:val="13"/>
                <w:szCs w:val="13"/>
                <w:color w:val="auto"/>
              </w:rPr>
              <w:t>Foreign currency</w:t>
            </w: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120"/>
              <w:spacing w:after="0" w:line="135" w:lineRule="exact"/>
              <w:rPr>
                <w:sz w:val="20"/>
                <w:szCs w:val="20"/>
                <w:color w:val="auto"/>
              </w:rPr>
            </w:pPr>
            <w:r>
              <w:rPr>
                <w:rFonts w:ascii="Arial" w:cs="Arial" w:eastAsia="Arial" w:hAnsi="Arial"/>
                <w:sz w:val="13"/>
                <w:szCs w:val="13"/>
                <w:color w:val="auto"/>
              </w:rPr>
              <w:t>translation adjustment,</w:t>
            </w: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120"/>
              <w:spacing w:after="0"/>
              <w:rPr>
                <w:sz w:val="20"/>
                <w:szCs w:val="20"/>
                <w:color w:val="auto"/>
              </w:rPr>
            </w:pPr>
            <w:r>
              <w:rPr>
                <w:rFonts w:ascii="Arial" w:cs="Arial" w:eastAsia="Arial" w:hAnsi="Arial"/>
                <w:sz w:val="13"/>
                <w:szCs w:val="13"/>
                <w:color w:val="auto"/>
              </w:rPr>
              <w:t>net of tax</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right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8"/>
              </w:rPr>
              <w:t>5,701</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5,701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60" w:type="dxa"/>
            <w:vAlign w:val="bottom"/>
          </w:tcPr>
          <w:p>
            <w:pPr>
              <w:ind w:left="20"/>
              <w:spacing w:after="0" w:line="130" w:lineRule="exact"/>
              <w:rPr>
                <w:sz w:val="20"/>
                <w:szCs w:val="20"/>
                <w:color w:val="auto"/>
              </w:rPr>
            </w:pPr>
            <w:r>
              <w:rPr>
                <w:rFonts w:ascii="Arial" w:cs="Arial" w:eastAsia="Arial" w:hAnsi="Arial"/>
                <w:sz w:val="13"/>
                <w:szCs w:val="13"/>
                <w:b w:val="1"/>
                <w:bCs w:val="1"/>
                <w:color w:val="auto"/>
              </w:rPr>
              <w:t>BALANCE, March 31, 2023</w:t>
            </w: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3"/>
                <w:szCs w:val="13"/>
                <w:color w:val="auto"/>
                <w:w w:val="98"/>
              </w:rPr>
              <w:t>52,07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3"/>
                <w:szCs w:val="13"/>
                <w:color w:val="auto"/>
              </w:rPr>
              <w:t>(15,3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6,719,641</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18,192</w:t>
            </w: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11,951,137</w:t>
            </w:r>
          </w:p>
        </w:tc>
        <w:tc>
          <w:tcPr>
            <w:tcW w:w="2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53 )</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(111 )</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36,611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16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Net exercise of DTIH stockholders</w:t>
            </w:r>
          </w:p>
        </w:tc>
        <w:tc>
          <w:tcPr>
            <w:tcW w:w="1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options (Note 2)</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36,163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160" w:type="dxa"/>
            <w:vAlign w:val="bottom"/>
          </w:tcPr>
          <w:p>
            <w:pPr>
              <w:ind w:left="20"/>
              <w:spacing w:after="0" w:line="134" w:lineRule="exact"/>
              <w:rPr>
                <w:sz w:val="20"/>
                <w:szCs w:val="20"/>
                <w:color w:val="auto"/>
              </w:rPr>
            </w:pPr>
            <w:r>
              <w:rPr>
                <w:rFonts w:ascii="Arial" w:cs="Arial" w:eastAsia="Arial" w:hAnsi="Arial"/>
                <w:sz w:val="13"/>
                <w:szCs w:val="13"/>
                <w:color w:val="auto"/>
              </w:rPr>
              <w:t>Exchange of DTIH redeemable</w:t>
            </w: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Arial" w:cs="Arial" w:eastAsia="Arial" w:hAnsi="Arial"/>
                <w:sz w:val="13"/>
                <w:szCs w:val="13"/>
                <w:color w:val="auto"/>
              </w:rPr>
              <w:t>convertible preferred stock for DTIC</w:t>
            </w: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3"/>
                <w:szCs w:val="13"/>
                <w:color w:val="auto"/>
              </w:rPr>
              <w:t>Common Stock (Note 2)</w:t>
            </w: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(6,719,641 )</w:t>
            </w:r>
          </w:p>
        </w:tc>
        <w:tc>
          <w:tcPr>
            <w:tcW w:w="180" w:type="dxa"/>
            <w:vAlign w:val="bottom"/>
          </w:tcPr>
          <w:p>
            <w:pPr>
              <w:spacing w:after="0"/>
              <w:rPr>
                <w:sz w:val="13"/>
                <w:szCs w:val="13"/>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(18,192 )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6,719,641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7,192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60" w:type="dxa"/>
            <w:vAlign w:val="bottom"/>
            <w:shd w:val="clear" w:color="auto" w:fill="CFF0FC"/>
          </w:tcPr>
          <w:p>
            <w:pPr>
              <w:ind w:left="20"/>
              <w:spacing w:after="0" w:line="137" w:lineRule="exact"/>
              <w:rPr>
                <w:sz w:val="20"/>
                <w:szCs w:val="20"/>
                <w:color w:val="auto"/>
              </w:rPr>
            </w:pPr>
            <w:r>
              <w:rPr>
                <w:rFonts w:ascii="Arial" w:cs="Arial" w:eastAsia="Arial" w:hAnsi="Arial"/>
                <w:sz w:val="13"/>
                <w:szCs w:val="13"/>
                <w:color w:val="auto"/>
              </w:rPr>
              <w:t>Issuance of DTIC Common Stock</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to former holders of DTIH</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redeemable convertible preferred</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stock in connection with Exchange</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8"/>
              </w:rPr>
              <w:t>10,80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Agreements (Note 2)</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2,042,181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160" w:type="dxa"/>
            <w:vAlign w:val="bottom"/>
          </w:tcPr>
          <w:p>
            <w:pPr>
              <w:ind w:left="20"/>
              <w:spacing w:after="0" w:line="134" w:lineRule="exact"/>
              <w:rPr>
                <w:sz w:val="20"/>
                <w:szCs w:val="20"/>
                <w:color w:val="auto"/>
              </w:rPr>
            </w:pPr>
            <w:r>
              <w:rPr>
                <w:rFonts w:ascii="Arial" w:cs="Arial" w:eastAsia="Arial" w:hAnsi="Arial"/>
                <w:sz w:val="13"/>
                <w:szCs w:val="13"/>
                <w:color w:val="auto"/>
              </w:rPr>
              <w:t>Merger, net of redemptions and</w:t>
            </w: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3"/>
                <w:szCs w:val="13"/>
                <w:color w:val="auto"/>
              </w:rPr>
              <w:t>(8,83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3"/>
                <w:szCs w:val="13"/>
                <w:color w:val="auto"/>
              </w:rPr>
              <w:t>transaction costs (Note 2)</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5,711,721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9 )</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(8,838 )</w:t>
            </w:r>
          </w:p>
        </w:tc>
        <w:tc>
          <w:tcPr>
            <w:tcW w:w="0" w:type="dxa"/>
            <w:vAlign w:val="bottom"/>
          </w:tcPr>
          <w:p>
            <w:pPr>
              <w:spacing w:after="0"/>
              <w:rPr>
                <w:sz w:val="1"/>
                <w:szCs w:val="1"/>
                <w:color w:val="auto"/>
              </w:rPr>
            </w:pPr>
          </w:p>
        </w:tc>
      </w:tr>
      <w:tr>
        <w:trPr>
          <w:trHeight w:val="137"/>
        </w:trPr>
        <w:tc>
          <w:tcPr>
            <w:tcW w:w="2160" w:type="dxa"/>
            <w:vAlign w:val="bottom"/>
            <w:shd w:val="clear" w:color="auto" w:fill="CFF0FC"/>
          </w:tcPr>
          <w:p>
            <w:pPr>
              <w:ind w:left="20"/>
              <w:spacing w:after="0" w:line="137" w:lineRule="exact"/>
              <w:rPr>
                <w:sz w:val="20"/>
                <w:szCs w:val="20"/>
                <w:color w:val="auto"/>
              </w:rPr>
            </w:pPr>
            <w:r>
              <w:rPr>
                <w:rFonts w:ascii="Arial" w:cs="Arial" w:eastAsia="Arial" w:hAnsi="Arial"/>
                <w:sz w:val="13"/>
                <w:szCs w:val="13"/>
                <w:color w:val="auto"/>
              </w:rPr>
              <w:t>Issuance of DTIC Common Stock</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in connection with the</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consummation of the PIPE</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8"/>
              </w:rPr>
              <w:t>30,00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Financing (Note 2)</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2,970,296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337,429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3,986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Foreign currency translation</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 net of tax</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(207 )</w:t>
            </w: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(207 )</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160" w:type="dxa"/>
            <w:vAlign w:val="bottom"/>
            <w:shd w:val="clear" w:color="auto" w:fill="CFF0FC"/>
          </w:tcPr>
          <w:p>
            <w:pPr>
              <w:ind w:left="20"/>
              <w:spacing w:after="0" w:line="130" w:lineRule="exact"/>
              <w:rPr>
                <w:sz w:val="20"/>
                <w:szCs w:val="20"/>
                <w:color w:val="auto"/>
              </w:rPr>
            </w:pPr>
            <w:r>
              <w:rPr>
                <w:rFonts w:ascii="Arial" w:cs="Arial" w:eastAsia="Arial" w:hAnsi="Arial"/>
                <w:sz w:val="13"/>
                <w:szCs w:val="13"/>
                <w:b w:val="1"/>
                <w:bCs w:val="1"/>
                <w:color w:val="auto"/>
              </w:rPr>
              <w:t>BALANCE, June 30, 2023</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w w:val="98"/>
              </w:rPr>
              <w:t>95,21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(14,4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29,768,568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(318 )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80,487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-3227705</wp:posOffset>
            </wp:positionV>
            <wp:extent cx="76835"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-3227705</wp:posOffset>
            </wp:positionV>
            <wp:extent cx="76835"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-3227705</wp:posOffset>
            </wp:positionV>
            <wp:extent cx="76835"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-3227705</wp:posOffset>
            </wp:positionV>
            <wp:extent cx="6858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-3227705</wp:posOffset>
            </wp:positionV>
            <wp:extent cx="685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-3227705</wp:posOffset>
            </wp:positionV>
            <wp:extent cx="6858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-3227705</wp:posOffset>
            </wp:positionV>
            <wp:extent cx="68580"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-3227705</wp:posOffset>
            </wp:positionV>
            <wp:extent cx="68580" cy="196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-3227705</wp:posOffset>
            </wp:positionV>
            <wp:extent cx="68580"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-2294255</wp:posOffset>
            </wp:positionV>
            <wp:extent cx="76835"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-2294255</wp:posOffset>
            </wp:positionV>
            <wp:extent cx="76835"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-2294255</wp:posOffset>
            </wp:positionV>
            <wp:extent cx="76835"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-2294255</wp:posOffset>
            </wp:positionV>
            <wp:extent cx="6858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-2294255</wp:posOffset>
            </wp:positionV>
            <wp:extent cx="6858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-2294255</wp:posOffset>
            </wp:positionV>
            <wp:extent cx="6858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-2294255</wp:posOffset>
            </wp:positionV>
            <wp:extent cx="6858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-2294255</wp:posOffset>
            </wp:positionV>
            <wp:extent cx="6858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-2294255</wp:posOffset>
            </wp:positionV>
            <wp:extent cx="6858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-24765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-7620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firstLine="8"/>
        <w:spacing w:after="0" w:line="259" w:lineRule="auto"/>
        <w:tabs>
          <w:tab w:leader="none" w:pos="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legacy redeemable convertible preferred stock and legacy common stock have been retroactively restated to give effect to the Merger.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i w:val="1"/>
          <w:iCs w:val="1"/>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8" w:name="page9"/>
    <w:bookmarkEnd w:id="8"/>
    <w:p>
      <w:pPr>
        <w:jc w:val="center"/>
        <w:ind w:right="40"/>
        <w:spacing w:after="0" w:line="259" w:lineRule="auto"/>
        <w:rPr>
          <w:sz w:val="20"/>
          <w:szCs w:val="20"/>
          <w:color w:val="auto"/>
        </w:rPr>
      </w:pPr>
      <w:r>
        <w:rPr>
          <w:rFonts w:ascii="Arial" w:cs="Arial" w:eastAsia="Arial" w:hAnsi="Arial"/>
          <w:sz w:val="18"/>
          <w:szCs w:val="18"/>
          <w:b w:val="1"/>
          <w:bCs w:val="1"/>
          <w:color w:val="auto"/>
        </w:rPr>
        <w:t>DRILLING TOOLS INTERNATIONAL CORPORATION UNAUDITED CONDENSED CONSOLIDATED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6,638</w:t>
            </w:r>
          </w:p>
        </w:tc>
        <w:tc>
          <w:tcPr>
            <w:tcW w:w="28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7,267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9,732</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Amortization of debt discount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Non-cash lease expense</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Provision for excess and obsolete inventory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Provision for excess and obsolete property and equipment</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Bad debt expense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418</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tax expense</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2,008</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Gain on sale of property</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(68 )</w:t>
            </w:r>
          </w:p>
        </w:tc>
        <w:tc>
          <w:tcPr>
            <w:tcW w:w="34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on equity securities</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(387 )</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(323 )</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Unrealized (gain) loss on interest rate swap</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(998 )</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Gross profit from sale of lost-in-hole equipment</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(9,146 )</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(6,432 )</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3,986</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(1,777 )</w:t>
            </w:r>
          </w:p>
        </w:tc>
        <w:tc>
          <w:tcPr>
            <w:tcW w:w="34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(6,041 )</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(1,531 )</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(1,748 )</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Inventories,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1,409</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(543 )</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(2,179 )</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(2,407 )</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1,982</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(2,514 )</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2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Net cash flows from operating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14,061</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property, plant and equipment</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(24,617 )</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(9,169 )</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Proceeds from sale of lost-in-hole equipment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11,103</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cash from investing activities</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(13,388 )</w:t>
            </w: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82"/>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Merger and PIPE Financing, net of transaction costs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23,162</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Payment of deferred financing costs</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(281 )</w:t>
            </w:r>
          </w:p>
        </w:tc>
        <w:tc>
          <w:tcPr>
            <w:tcW w:w="3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revolving line of credit</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71,646</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49,659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Payments on revolving line of credit</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(89,995 )</w:t>
            </w:r>
          </w:p>
        </w:tc>
        <w:tc>
          <w:tcPr>
            <w:tcW w:w="34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(51,494 )</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to capital leases</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0"/>
        </w:trPr>
        <w:tc>
          <w:tcPr>
            <w:tcW w:w="7760" w:type="dxa"/>
            <w:vAlign w:val="bottom"/>
          </w:tcPr>
          <w:p>
            <w:pPr>
              <w:ind w:left="200"/>
              <w:spacing w:after="0"/>
              <w:rPr>
                <w:sz w:val="20"/>
                <w:szCs w:val="20"/>
                <w:color w:val="auto"/>
              </w:rPr>
            </w:pPr>
            <w:r>
              <w:rPr>
                <w:rFonts w:ascii="Arial" w:cs="Arial" w:eastAsia="Arial" w:hAnsi="Arial"/>
                <w:sz w:val="14"/>
                <w:szCs w:val="14"/>
                <w:color w:val="auto"/>
              </w:rPr>
              <w:t>Payments to holders of DTIH redeemable convertible preferred stock in connection with retiring their DTI stock</w:t>
            </w:r>
          </w:p>
        </w:tc>
        <w:tc>
          <w:tcPr>
            <w:tcW w:w="360" w:type="dxa"/>
            <w:vAlign w:val="bottom"/>
          </w:tcPr>
          <w:p>
            <w:pPr>
              <w:spacing w:after="0"/>
              <w:rPr>
                <w:sz w:val="14"/>
                <w:szCs w:val="14"/>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(194 )</w:t>
            </w:r>
          </w:p>
        </w:tc>
        <w:tc>
          <w:tcPr>
            <w:tcW w:w="340" w:type="dxa"/>
            <w:vAlign w:val="bottom"/>
          </w:tcPr>
          <w:p>
            <w:pPr>
              <w:spacing w:after="0"/>
              <w:rPr>
                <w:sz w:val="14"/>
                <w:szCs w:val="14"/>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7760" w:type="dxa"/>
            <w:vAlign w:val="bottom"/>
          </w:tcPr>
          <w:p>
            <w:pPr>
              <w:ind w:left="200"/>
              <w:spacing w:after="0"/>
              <w:rPr>
                <w:sz w:val="20"/>
                <w:szCs w:val="20"/>
                <w:color w:val="auto"/>
              </w:rPr>
            </w:pPr>
            <w:r>
              <w:rPr>
                <w:rFonts w:ascii="Arial" w:cs="Arial" w:eastAsia="Arial" w:hAnsi="Arial"/>
                <w:sz w:val="14"/>
                <w:szCs w:val="14"/>
                <w:color w:val="auto"/>
              </w:rPr>
              <w:t>upon the Merger</w:t>
            </w:r>
          </w:p>
        </w:tc>
        <w:tc>
          <w:tcPr>
            <w:tcW w:w="3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cash from financing activities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4,338</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(1,845 )</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Effect of Changes in Foreign Exchange Rate</w:t>
            </w:r>
          </w:p>
        </w:tc>
        <w:tc>
          <w:tcPr>
            <w:tcW w:w="36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(207 )</w:t>
            </w: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Change in Cash</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4,804</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Cash at Beginning of Year</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at End of Year</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7,156</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Cash paid for interest</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851</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200"/>
              <w:spacing w:after="0"/>
              <w:rPr>
                <w:sz w:val="20"/>
                <w:szCs w:val="20"/>
                <w:color w:val="auto"/>
              </w:rPr>
            </w:pPr>
            <w:r>
              <w:rPr>
                <w:rFonts w:ascii="Arial" w:cs="Arial" w:eastAsia="Arial" w:hAnsi="Arial"/>
                <w:sz w:val="14"/>
                <w:szCs w:val="14"/>
                <w:color w:val="auto"/>
              </w:rPr>
              <w:t>Cash paid for income taxes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2,139</w:t>
            </w:r>
          </w:p>
        </w:tc>
        <w:tc>
          <w:tcPr>
            <w:tcW w:w="28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4"/>
                <w:szCs w:val="14"/>
                <w:color w:val="auto"/>
              </w:rPr>
              <w:t>ROU assets obtained in exchange for lease liabilities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2,635</w:t>
            </w:r>
          </w:p>
        </w:tc>
        <w:tc>
          <w:tcPr>
            <w:tcW w:w="28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Purchases of inventory included in accounts payable and accrued expenses and other current liabilities</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4,076</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7760" w:type="dxa"/>
            <w:vAlign w:val="bottom"/>
          </w:tcPr>
          <w:p>
            <w:pPr>
              <w:ind w:left="200"/>
              <w:spacing w:after="0" w:line="151" w:lineRule="exact"/>
              <w:rPr>
                <w:sz w:val="20"/>
                <w:szCs w:val="20"/>
                <w:color w:val="auto"/>
              </w:rPr>
            </w:pPr>
            <w:r>
              <w:rPr>
                <w:rFonts w:ascii="Arial" w:cs="Arial" w:eastAsia="Arial" w:hAnsi="Arial"/>
                <w:sz w:val="14"/>
                <w:szCs w:val="14"/>
                <w:color w:val="auto"/>
              </w:rPr>
              <w:t>Purchases of property and equipment included in accounts payable and accrued expenses and other current</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7,640</w:t>
            </w:r>
          </w:p>
        </w:tc>
        <w:tc>
          <w:tcPr>
            <w:tcW w:w="280" w:type="dxa"/>
            <w:vAlign w:val="bottom"/>
          </w:tcPr>
          <w:p>
            <w:pPr>
              <w:spacing w:after="0"/>
              <w:rPr>
                <w:sz w:val="13"/>
                <w:szCs w:val="13"/>
                <w:color w:val="auto"/>
              </w:rPr>
            </w:pPr>
          </w:p>
        </w:tc>
        <w:tc>
          <w:tcPr>
            <w:tcW w:w="340" w:type="dxa"/>
            <w:vAlign w:val="bottom"/>
            <w:vMerge w:val="restart"/>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760" w:type="dxa"/>
            <w:vAlign w:val="bottom"/>
          </w:tcPr>
          <w:p>
            <w:pPr>
              <w:ind w:left="200"/>
              <w:spacing w:after="0" w:line="120" w:lineRule="exact"/>
              <w:rPr>
                <w:sz w:val="20"/>
                <w:szCs w:val="20"/>
                <w:color w:val="auto"/>
              </w:rPr>
            </w:pPr>
            <w:r>
              <w:rPr>
                <w:rFonts w:ascii="Arial" w:cs="Arial" w:eastAsia="Arial" w:hAnsi="Arial"/>
                <w:sz w:val="13"/>
                <w:szCs w:val="13"/>
                <w:color w:val="auto"/>
              </w:rPr>
              <w:t>liabilities</w:t>
            </w:r>
          </w:p>
        </w:tc>
        <w:tc>
          <w:tcPr>
            <w:tcW w:w="36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Non-cash directors and officers insurance</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200"/>
              <w:spacing w:after="0"/>
              <w:rPr>
                <w:sz w:val="20"/>
                <w:szCs w:val="20"/>
                <w:color w:val="auto"/>
              </w:rPr>
            </w:pPr>
            <w:r>
              <w:rPr>
                <w:rFonts w:ascii="Arial" w:cs="Arial" w:eastAsia="Arial" w:hAnsi="Arial"/>
                <w:sz w:val="14"/>
                <w:szCs w:val="14"/>
                <w:color w:val="auto"/>
              </w:rPr>
              <w:t>Non-cash Merger financing</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28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Exchange of DTIH redeemable convertible preferred stock for DTIC Common Stock in connection with Merger</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7,193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7760" w:type="dxa"/>
            <w:vAlign w:val="bottom"/>
          </w:tcPr>
          <w:p>
            <w:pPr>
              <w:ind w:left="200"/>
              <w:spacing w:after="0" w:line="151" w:lineRule="exact"/>
              <w:rPr>
                <w:sz w:val="20"/>
                <w:szCs w:val="20"/>
                <w:color w:val="auto"/>
              </w:rPr>
            </w:pPr>
            <w:r>
              <w:rPr>
                <w:rFonts w:ascii="Arial" w:cs="Arial" w:eastAsia="Arial" w:hAnsi="Arial"/>
                <w:sz w:val="14"/>
                <w:szCs w:val="14"/>
                <w:color w:val="auto"/>
              </w:rPr>
              <w:t>Issuance of DTIC Common Stock to former holders of DTIH redeemable convertible preferred stock in connection</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10,805</w:t>
            </w:r>
          </w:p>
        </w:tc>
        <w:tc>
          <w:tcPr>
            <w:tcW w:w="280" w:type="dxa"/>
            <w:vAlign w:val="bottom"/>
          </w:tcPr>
          <w:p>
            <w:pPr>
              <w:spacing w:after="0"/>
              <w:rPr>
                <w:sz w:val="13"/>
                <w:szCs w:val="13"/>
                <w:color w:val="auto"/>
              </w:rPr>
            </w:pPr>
          </w:p>
        </w:tc>
        <w:tc>
          <w:tcPr>
            <w:tcW w:w="340" w:type="dxa"/>
            <w:vAlign w:val="bottom"/>
            <w:vMerge w:val="restart"/>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760" w:type="dxa"/>
            <w:vAlign w:val="bottom"/>
          </w:tcPr>
          <w:p>
            <w:pPr>
              <w:ind w:left="200"/>
              <w:spacing w:after="0" w:line="120" w:lineRule="exact"/>
              <w:rPr>
                <w:sz w:val="20"/>
                <w:szCs w:val="20"/>
                <w:color w:val="auto"/>
              </w:rPr>
            </w:pPr>
            <w:r>
              <w:rPr>
                <w:rFonts w:ascii="Arial" w:cs="Arial" w:eastAsia="Arial" w:hAnsi="Arial"/>
                <w:sz w:val="13"/>
                <w:szCs w:val="13"/>
                <w:color w:val="auto"/>
              </w:rPr>
              <w:t>with Exchange Agreements</w:t>
            </w:r>
          </w:p>
        </w:tc>
        <w:tc>
          <w:tcPr>
            <w:tcW w:w="36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financing fees included in accounts payable</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6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Accretion of redeemable convertible preferred stock to redemption value</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28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-4331970</wp:posOffset>
            </wp:positionV>
            <wp:extent cx="6858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-3587115</wp:posOffset>
            </wp:positionV>
            <wp:extent cx="68580" cy="1282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-3587115</wp:posOffset>
            </wp:positionV>
            <wp:extent cx="68580" cy="128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-2516505</wp:posOffset>
            </wp:positionV>
            <wp:extent cx="68580" cy="128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1282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-2019935</wp:posOffset>
            </wp:positionV>
            <wp:extent cx="122428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242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-1754505</wp:posOffset>
            </wp:positionV>
            <wp:extent cx="12242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242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-1198245</wp:posOffset>
            </wp:positionV>
            <wp:extent cx="1224280" cy="248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24280" cy="24828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-829945</wp:posOffset>
            </wp:positionV>
            <wp:extent cx="12242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242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-538480</wp:posOffset>
            </wp:positionV>
            <wp:extent cx="1224280" cy="2482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24280" cy="24828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-170815</wp:posOffset>
            </wp:positionV>
            <wp:extent cx="12242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24280" cy="171450"/>
                    </a:xfrm>
                    <a:prstGeom prst="rect">
                      <a:avLst/>
                    </a:prstGeom>
                    <a:noFill/>
                  </pic:spPr>
                </pic:pic>
              </a:graphicData>
            </a:graphic>
          </wp:anchor>
        </w:drawing>
      </w:r>
    </w:p>
    <w:p>
      <w:pPr>
        <w:spacing w:after="0" w:line="227" w:lineRule="exact"/>
        <w:rPr>
          <w:sz w:val="20"/>
          <w:szCs w:val="20"/>
          <w:color w:val="auto"/>
        </w:rPr>
      </w:pPr>
    </w:p>
    <w:p>
      <w:pPr>
        <w:jc w:val="center"/>
        <w:ind w:left="560"/>
        <w:spacing w:after="0"/>
        <w:rPr>
          <w:sz w:val="20"/>
          <w:szCs w:val="20"/>
          <w:color w:val="auto"/>
        </w:rPr>
      </w:pPr>
      <w:r>
        <w:rPr>
          <w:rFonts w:ascii="Arial" w:cs="Arial" w:eastAsia="Arial" w:hAnsi="Arial"/>
          <w:sz w:val="14"/>
          <w:szCs w:val="14"/>
          <w:i w:val="1"/>
          <w:iCs w:val="1"/>
          <w:color w:val="auto"/>
        </w:rPr>
        <w:t>The accompanying notes are an integral part of these unaudited condensed</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4"/>
          <w:szCs w:val="14"/>
          <w:i w:val="1"/>
          <w:iCs w:val="1"/>
          <w:color w:val="auto"/>
        </w:rPr>
        <w:t>consolidated financial statements</w:t>
      </w:r>
      <w:r>
        <w:rPr>
          <w:rFonts w:ascii="Arial" w:cs="Arial" w:eastAsia="Arial" w:hAnsi="Arial"/>
          <w:sz w:val="17"/>
          <w:szCs w:val="17"/>
          <w:i w:val="1"/>
          <w:iCs w:val="1"/>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Drilling Tools International Corporation, a Delaware corporation ("DTIC" or the "Company") manufactures, rents, inspects, and refurbishes downhole drilling tools primarily to companies in the oil and natural gas industry for bottom hole assemblies used in onshore and offshore horizontal and directional drilling.</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June 20, 2023 (the "Closing Date"), a merger transaction between Drilling Tools International Holdings, Inc. ("DTIH"), ROC Energy Acquisition Corp ("ROC"), and ROC Merger Sub, Inc., a directly, wholly owned subsidiary of ROC ("Merger Sub"), was completed (the "Merger", see Note 2) pursuant to the initial merger agreement dated February 13, 2023 and subsequent amendment to the merger agreement dated June 5, 2023 collectively, (the "Merger Agreement"). In connection with the closing of the Merger, ROC changed its name to Drilling Tools International Corporation. The common stock of DTIC ("DTIC Common Stock" or the "Company's Common Stock") commenced trading on the Nasdaq Stock Market LLC ("Nasdaq") under the symbol "DTI" on June 21, 2023.</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United States (“U.S.”) operations have locations in Texas, California, Louisiana, Oklahoma, Pennsylvania, North Dakota, New Mexico, Utah, and Wyoming. The Company’s international operations are located in Canada.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Codifications (“ASC”) and Accounting Standards Update (“ASUs”).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June 30, 2023, and its results of operations for the three and six months ended June 30, 2023 and 2022, and cash flows for the six months ended June 30, 2023 and 2022. The condensed consolidated balance sheet at December 31, 2022, was derived from the audited annual financial statements but does not contain all of the footnote disclosures from the annual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Related Credits and Relief</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response to the COVID-19 outbreak, the U.S. government enacted the Coronavirus Aid, Relief, and Economic Security Act (“CARES Act”) provided an Employee Retention Credit (“ERC”) which is a refundable tax credit against certain employment taxes equal to 50% of qualified wages paid, up to $10 thousand per employee annually for wages paid. Additional relief provisions were passed by the United States government, which extended and expanded the qualified wage caps on these credits to 70% of qualified wages paid, up to $10 thousand per employee per quarter, through September 30, 2021. In November 2021, the Infrastructure Investment and Jobs Act was signed into law and ended the employee retention credit early, making wages paid after December 31, 2021, ineligible for the credit.</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ERC benefits of $4.3 million were included in selling, general, administrative expense as an offset to the related compensation expenses in the unaudited condensed consolidated statements of income and comprehensive income for the three and six months ended June 30, 2022. ERC benefits receivable of nil and $2.1 million were included in prepaid expenses and other current assets in the accompanying condensed consolidated balance sheet as of June 30, 2023 and December 31, 2022, respectively. The Company received all ERC benefits receivables in January 2023, resulting in the ERC benefits receivable balance to be nil for the three and six months ended June 30, 2023.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 w:name="page11"/>
    <w:bookmarkEnd w:id="10"/>
    <w:p>
      <w:pPr>
        <w:jc w:val="both"/>
        <w:spacing w:after="0" w:line="242" w:lineRule="auto"/>
        <w:rPr>
          <w:sz w:val="20"/>
          <w:szCs w:val="20"/>
          <w:color w:val="auto"/>
        </w:rPr>
      </w:pPr>
      <w:r>
        <w:rPr>
          <w:rFonts w:ascii="Arial" w:cs="Arial" w:eastAsia="Arial" w:hAnsi="Arial"/>
          <w:sz w:val="18"/>
          <w:szCs w:val="18"/>
          <w:color w:val="auto"/>
        </w:rPr>
        <w:t>Laws and regulations concerning government programs, including the ERC, are complex and subject to varying interpretations. Claims made under these programs may also be subject to retroactive audit and review. While the Company does not believe there is a basis for estimation of an audit or recapture risk at this time, there can be no assurance that regulatory authorities will not challenge the Company’s claim to the ERC in a future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conflict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accounts and transactions have been eliminated on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condensed consolidated statements of income and comprehensive income have been translated at the average rates for the year of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unaudited condensed consolidated statements of income and comprehensive income. For the three and six months ended June 30, 2023, the aggregate foreign currency translation included in the unaudited condensed consolidated statements of income and comprehensive income totaled approximately $0.2 million and $0.2 million in losses, respectively. For the three and six months ended June 30, 2022, the aggregate foreign currency translation included in the unaudited condensed consolidated statements of income and comprehensive income totaled $13 thousand in gains and $0.1 million in losses,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Revenue Recognition</w:t>
      </w:r>
    </w:p>
    <w:p>
      <w:pPr>
        <w:spacing w:after="0" w:line="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Tool Rental Services</w:t>
      </w:r>
    </w:p>
    <w:p>
      <w:pPr>
        <w:spacing w:after="0" w:line="2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Tool rental services consist of rental services, inspection services, and repair services. Tool rental services are accounted for under Topic 842.</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recognizes revenues from renting tools on a straight-line basis. The Company’s rental contract periods are daily, monthly, per well, or based on footage.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records the amounts billed to customers in excess of recognizable revenue as deferred revenue on its condensed consolidated balance sheet.</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noted above, the Company is unsure of when the customer will return rented drilling tools. As such, the Company does not know how much the customer will owe the Company upon return of the tool and cannot provide a maturity analysis of future lease payments. The Company’s drilling tools are generally rented for short periods of time (significantly less than a year). Lessees do not provide residual value guarantees on rented equipment.</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Sales</w:t>
      </w:r>
    </w:p>
    <w:p>
      <w:pPr>
        <w:spacing w:after="0" w:line="21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2" w:name="page13"/>
    <w:bookmarkEnd w:id="12"/>
    <w:p>
      <w:pPr>
        <w:jc w:val="both"/>
        <w:spacing w:after="0" w:line="239" w:lineRule="auto"/>
        <w:rPr>
          <w:sz w:val="20"/>
          <w:szCs w:val="20"/>
          <w:color w:val="auto"/>
        </w:rPr>
      </w:pPr>
      <w:r>
        <w:rPr>
          <w:rFonts w:ascii="Arial" w:cs="Arial" w:eastAsia="Arial" w:hAnsi="Arial"/>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per geographic location</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generated was concentrated within the United States. For the three and six months ended June 30, 2023, the revenue generated within the United States was $35.1 million and $71.6 million, respectively, or 92% and 91% of total revenues, respectively. For the three and six months ended June 30, 2023, the revenue generated outside of the United States, in Canada, was $2.9 million and $7.1 million, respectively, or 8% and 9% of total revenues, respectively. For the three and six months ended June 30, 2022, the revenue generated within the United States was $28.0 million and $51.5 million, respectively, or 92% and 91% of total revenues, respectively. For the three and six months ended June 30, 2022, the revenue generated outside of the United States, in Canada, was $2.4 million and $4.8 million, respectively, or 8% and 9% of total revenues,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Contract assets represent the Company’s rights to consideration for work completed but not billed. As of June 30, 2023 and December 31, 2022, the Company had contract assets of $4.1 million and $4.8 million, respectively. Contract assets were recorded in accounts receivable, net in the accompanying condensed consolidated balance sheets.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June 30, 2023 and December 31, 2022, the Company did not have any material contract liabilities. All deferred revenue were expected to be recognized during the following 12 months, and they were recorded in accrued expenses and other current liabilities in the accompanying condensed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The Company did not have any cash equivalents as of June 30, 2023 and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doubtful accounts and are classified as account receivable, net on the condensed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Company adopted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on December 31, 2022, which was retroactively applied as of the first day of fiscal year 2022, as further described within the section below titled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 w:name="page14"/>
    <w:bookmarkEnd w:id="13"/>
    <w:p>
      <w:pPr>
        <w:jc w:val="both"/>
        <w:spacing w:after="0" w:line="242" w:lineRule="auto"/>
        <w:rPr>
          <w:sz w:val="20"/>
          <w:szCs w:val="20"/>
          <w:color w:val="auto"/>
        </w:rPr>
      </w:pPr>
      <w:r>
        <w:rPr>
          <w:rFonts w:ascii="Arial" w:cs="Arial" w:eastAsia="Arial" w:hAnsi="Arial"/>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not party to any off-balance sheet arrangements that would require an allowance for credit losses in accordance with this accounting standard.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 allowance for doubtful accounts totaled $1.8 million and $1.5 million,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net</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stated at the lower of cost or net realizable value. Cost is determined by using the specific identification method. Inventory that is obsolete or in excess of forecasted usage is written down to its net realizable value based on assumptions regarding future demand and market conditions. Inventory write-downs are charged to operating costs and establish a new cost basis for the inventory. Inventory includes raw material and finished goods.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net</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acquired as part of a business acquisition is recorded at acquisition date fair value with subsequent additions at cost.</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condensed consolidated balance sheets and to recognize those lease payments on a straight-line basis in the unaudited condensed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condensed consolidated balance sheets. The Company recognizes lease expense for its operating leases on a straight-line basis over the term of the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 w:name="page15"/>
    <w:bookmarkEnd w:id="14"/>
    <w:p>
      <w:pPr>
        <w:jc w:val="both"/>
        <w:spacing w:after="0" w:line="238"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Arial" w:cs="Arial" w:eastAsia="Arial" w:hAnsi="Arial"/>
          <w:sz w:val="18"/>
          <w:szCs w:val="18"/>
          <w:i w:val="1"/>
          <w:iCs w:val="1"/>
          <w:color w:val="auto"/>
        </w:rPr>
        <w:t>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Lessor Accounting</w:t>
      </w:r>
    </w:p>
    <w:p>
      <w:pPr>
        <w:spacing w:after="0" w:line="2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operating lease revenue within “Tool rental” on the unaudited condensed consolidated statements of income and comprehensive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Impairment of Long-lived Assets</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2023 and 2022, management determined that there was no impairment with regard to property, plant, and equipment or intangible assets.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Investments - Equity Securities</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Equity securities are stated at fair value. Unrealized gains and losses are reflected in the unaudited condensed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As of the three and six months ended June 30, 2023 and June 30, 2022, the Company believes the cost of the securities was recoverable in all material respects.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the closing of the Merger, there were outstanding shares of DTIH Series A redeemable convertible preferred stock ("Series A"), which was classified outside of permanent equity in mezzanine equity on the condensed consolidated balance sheets as it was redeemable on a fixed date.</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the closing of the Merger, all of the DTIH Series A redeemable convertible preferred stock was canceled in exchange for DTIC common stock and the right to receive cash. Accordingly, there was no redeemable convertible preferred stock outstanding as of June 30, 2023. As of December 31, 2022, the carrying value of the redeemable convertible preferred stock outstanding was $17.9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the closing of the Merger, the Board of Directors have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Board of Directors of the Company has not issued any shares of any classes or series of preferred stock as of June 30, 2023, and through the date these financial statements were available to be issued.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income and comprehensive income. All indirect operating costs, including labor, freight, contract labor and others, are included in selling, general, administrative in the unaudited condensed consolidated statements of income and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Company accounts for stock-based compensation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net of estimated forfeitures. Because the Company’s common stock was not yet publicly traded for any of its stock options granted to date, the Company estimated the fair value of its common stock as of the grant date and used these estimates as inputs into the Black-Scholes model. The Board of Directors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During the six months ended June 30, 2023 and June 30, 2022, the Company did not grant any stock options. For any grants of stock options subsequent to the Company being publicly traded, the Company will use the quoted market price as of the grant date as an input into the Black-Scholes model.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Earnings Per Share</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redeemable convertible preferred stock did not contractually entitle its holders to participate in profits or losses. As such, it was not treated as a participating security in periods of net income or net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condensed consolidated financial statement carrying amounts of existing assets and liabilities and their respective tax bases.</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state income taxes in various jurisdictions.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condensed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condensed consolidated financial statements equals the largest amount that is greater than 50% likely to be realized upon its ultimate settlement. The Company has no uncertain tax positions at June 30, 2023 and December 31, 2022. The Company believes there are no tax positions taken or expected to be taken that would significantly increase or decrease unrecognized tax benefits within twelve months of the reporting date.</w:t>
      </w:r>
    </w:p>
    <w:p>
      <w:pPr>
        <w:spacing w:after="0" w:line="19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Company records income tax related interest and penalties, if applicable, as a component of the provision for income tax expense. However, there were no amounts recognized relating to interest and penalties in the condensed consolidated statements of income and comprehensive income for the three and six months ended June 30, 2023 and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From time to time, the Company may enter into derivative instruments to manage exposure to interest rate fluctuations. During 2016, the Company entered into an interest swap agreement with respect to amounts outstanding under its revolving line of credit.</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 For the three and six months ended June 30, 2022 and three months ended June 30, 2023, the Company recognized an unrealized gain due to the change in fair value of its interest rate swap of approximately $0.3 million, $1.0 million, and $13 thousand, respectively in its unaudited condensed consolidated statements of income and comprehensive income. For the six months ended June 30, 2023, the Company recognized an unrealized loss due to the change in fair value of its interest rate swap of approximately $0.1 million in its unaudited condensed consolidated statements of income and comprehensive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Fair Value Measurements</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 inputs are unadjusted quoted market prices for identical assets or liabilities in active markets.</w:t>
      </w:r>
    </w:p>
    <w:p>
      <w:pPr>
        <w:spacing w:after="0" w:line="211" w:lineRule="exact"/>
        <w:rPr>
          <w:sz w:val="20"/>
          <w:szCs w:val="20"/>
          <w:color w:val="auto"/>
        </w:rPr>
      </w:pPr>
    </w:p>
    <w:p>
      <w:pPr>
        <w:jc w:val="both"/>
        <w:ind w:left="380"/>
        <w:spacing w:after="0" w:line="25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 inputs are quoted prices for identical assets or liabilities in markets that are not active, quoted market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assets and liabilities in active markets and other observable inputs directly or indirectly related to the assets or liabilities being measured.</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 inputs are unobservable and significant to the fair value measurement.</w:t>
      </w:r>
    </w:p>
    <w:p>
      <w:pPr>
        <w:spacing w:after="0" w:line="22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Asset and liabilities measured at fair value are summarized as follows (in thousands):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gridSpan w:val="8"/>
          </w:tcPr>
          <w:p>
            <w:pPr>
              <w:ind w:left="840"/>
              <w:spacing w:after="0"/>
              <w:rPr>
                <w:sz w:val="20"/>
                <w:szCs w:val="20"/>
                <w:color w:val="auto"/>
              </w:rPr>
            </w:pPr>
            <w:r>
              <w:rPr>
                <w:rFonts w:ascii="Arial" w:cs="Arial" w:eastAsia="Arial" w:hAnsi="Arial"/>
                <w:sz w:val="14"/>
                <w:szCs w:val="14"/>
                <w:b w:val="1"/>
                <w:bCs w:val="1"/>
                <w:color w:val="auto"/>
              </w:rPr>
              <w:t>Assets at Fair Value as of June 30, 2023</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Level 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Investments, equity securities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r>
      <w:tr>
        <w:trPr>
          <w:trHeight w:val="263"/>
        </w:trPr>
        <w:tc>
          <w:tcPr>
            <w:tcW w:w="5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assets at fair value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1,530</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36"/>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9"/>
          </w:tcPr>
          <w:p>
            <w:pPr>
              <w:jc w:val="right"/>
              <w:ind w:right="90"/>
              <w:spacing w:after="0"/>
              <w:rPr>
                <w:sz w:val="20"/>
                <w:szCs w:val="20"/>
                <w:color w:val="auto"/>
              </w:rPr>
            </w:pPr>
            <w:r>
              <w:rPr>
                <w:rFonts w:ascii="Arial" w:cs="Arial" w:eastAsia="Arial" w:hAnsi="Arial"/>
                <w:sz w:val="14"/>
                <w:szCs w:val="14"/>
                <w:b w:val="1"/>
                <w:bCs w:val="1"/>
                <w:color w:val="auto"/>
              </w:rPr>
              <w:t>Assets at Fair Value as of December 31, 2022</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5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Level 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Investments, equity securities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r>
      <w:tr>
        <w:trPr>
          <w:trHeight w:val="263"/>
        </w:trPr>
        <w:tc>
          <w:tcPr>
            <w:tcW w:w="5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assets at fair value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1,143</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476</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-1035685</wp:posOffset>
            </wp:positionV>
            <wp:extent cx="2346325" cy="565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46325" cy="5651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three and six months ended June 30, 2023 and 2022, the application of valuation techniques applied to similar assets and liabilities has been consistent.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and December 31, 2022, the interest rate swap is included in prepaid expenses and other current assets on the condensed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 Company did not have any Level 3 assets or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financial instruments consist primarily of cash, accounts receivable, accounts payable. The carrying amount of such instruments approximates fair value due to their short-term nature.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months ended June 30, 2023 and 2022, the Company generated approximately 29% and 25%, respectively, of its revenue from two customers. During the six months ended June 30, 2023 and 2022, the Company generated approximately 30% and 27%, respectively, of its revenue from two customers. Amounts due from these customers included in accounts receivable at June 30, 2023 and December 31, 2022 were approximately $10.1 million and $8.6 million, respectively.</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months ended June 30, 2023 and 2022, the Company had two and one vendor that represented approximately 25% and 11% of its vendor purchases, respectively. During the six months ended June 30, 2023 and 2022, the Company had one and one vendor that represented approximately 10% and 12% of its vendor purchases, respectively. Amounts due to these vendors included in accounts payable at June 30, 2023 and December 31, 2022 were approximately $9.0 million and $1.0 million, respectively.</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and Chief Financial Officer work together as the CODM. The Company’s CODM reviews financial information presented on a consolidated basis for the purposes of making operations decisions, allocating resources and evaluating financial performance. Consequently, the Company has determined it operates in one operating and reportable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Effective</w:t>
      </w:r>
    </w:p>
    <w:p>
      <w:pPr>
        <w:spacing w:after="0" w:line="1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2B333D"/>
        </w:rPr>
        <w:t>The Company's management does not believe that any recently issued, but not yet effective, accounting standards, if currently adopted, would have a material effect on the accompanying unaudited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MERGER</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discussed in Note 1 -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on June 20, 2023, the Company completed the Merger. Upon the closing of the Merger, the following occurred:</w:t>
      </w:r>
    </w:p>
    <w:p>
      <w:pPr>
        <w:spacing w:after="0" w:line="60" w:lineRule="exact"/>
        <w:rPr>
          <w:sz w:val="20"/>
          <w:szCs w:val="20"/>
          <w:color w:val="auto"/>
        </w:rPr>
      </w:pPr>
    </w:p>
    <w:p>
      <w:pPr>
        <w:jc w:val="both"/>
        <w:ind w:left="1020" w:hanging="504"/>
        <w:spacing w:after="0" w:line="24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DTIH common stock issued and outstanding immediately prior to the closing of the Merger, which totaled 52,363,876 shares (other than the shares described for the net exercise of the option and as compensation pursuant to the TSA), was exchanged for the right to receive 0.2282 shares of DTIC Common Stock (the "Common Exchange Ratio") resulting in the issuance of 11,951,137 shares of DTIC Common Stock.</w:t>
      </w:r>
    </w:p>
    <w:p>
      <w:pPr>
        <w:spacing w:after="0" w:line="82"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DTIH redeemable convertible preferred stock issued and outstanding immediately prior to the closing of the Merger, which totaled 20,370,377 shares, was exchanged for the right to receive 0.3299 shares of DTIC Common Stock (the "Preferred Exchange Ratio") resulting in the issuance of 6,719,641 shares of DTIC Common Stock.</w:t>
      </w:r>
    </w:p>
    <w:p>
      <w:pPr>
        <w:spacing w:after="0" w:line="75"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non-redeemable share of ROC common stock issued and outstanding immediately prior to the closing of the Merger, which totaled 3,403,500 shares, was exchanged for, on a one-for-one basis, shares of DTIC Common Stock.</w:t>
      </w:r>
    </w:p>
    <w:p>
      <w:pPr>
        <w:spacing w:after="0" w:line="65" w:lineRule="exact"/>
        <w:rPr>
          <w:rFonts w:ascii="Arial" w:cs="Arial" w:eastAsia="Arial" w:hAnsi="Arial"/>
          <w:sz w:val="18"/>
          <w:szCs w:val="18"/>
          <w:color w:val="auto"/>
        </w:rPr>
      </w:pPr>
    </w:p>
    <w:p>
      <w:pPr>
        <w:ind w:left="1020" w:right="20" w:hanging="504"/>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ROC common stock subject to possible redemption that was not redeemed prior to the closing of the Merger, which totaled 158,621 shares, was exchanged for, on a one-for-one basis, shares of DTIC Common Stock.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9" w:name="page20"/>
    <w:bookmarkEnd w:id="19"/>
    <w:p>
      <w:pPr>
        <w:jc w:val="both"/>
        <w:ind w:left="1020" w:hanging="504"/>
        <w:spacing w:after="0" w:line="24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ROC's public rights and private rights outstanding immediately prior to the closing of the Merger, which totaled 20,700,000 and 796,000, respectively, were exchanged for, on a ten-for-one basis, 2,070,000 and 79,600 shares of DTIC Common Stock, respectively.</w:t>
      </w:r>
    </w:p>
    <w:p>
      <w:pPr>
        <w:spacing w:after="0" w:line="75" w:lineRule="exact"/>
        <w:rPr>
          <w:rFonts w:ascii="Arial" w:cs="Arial" w:eastAsia="Arial" w:hAnsi="Arial"/>
          <w:sz w:val="18"/>
          <w:szCs w:val="18"/>
          <w:color w:val="auto"/>
        </w:rPr>
      </w:pPr>
    </w:p>
    <w:p>
      <w:pPr>
        <w:jc w:val="both"/>
        <w:ind w:left="1020" w:hanging="504"/>
        <w:spacing w:after="0" w:line="24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the closing of the Merger, one DTIH stock option holder elected to net exercise all of such holder's options, resulting in the issuance of 158,444 shares of DTIH common stock, which upon the closing of the Merger, were canceled and exchanged for the right to receive 0.2282 shares of DTIC Common Stock per share of DTIH common stock, which resulted in the issuance of 36,163 shares of DTIC Common Stock.</w:t>
      </w:r>
    </w:p>
    <w:p>
      <w:pPr>
        <w:spacing w:after="0" w:line="82" w:lineRule="exact"/>
        <w:rPr>
          <w:rFonts w:ascii="Arial" w:cs="Arial" w:eastAsia="Arial" w:hAnsi="Arial"/>
          <w:sz w:val="18"/>
          <w:szCs w:val="18"/>
          <w:color w:val="auto"/>
        </w:rPr>
      </w:pPr>
    </w:p>
    <w:p>
      <w:pPr>
        <w:jc w:val="both"/>
        <w:ind w:left="1020" w:hanging="504"/>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DTIH entered into a transaction services agreement (the "TSA") with Hicks Holdings Operating LLC ("HHLLC") on January 27, 2012, as amended February 13, 2023, pursuant to which DTIH must pay HHLLC a transaction fee equal to 1.5% of any subsequent transaction, as defined in the TSA. The Merger constitutes a subsequent transaction per the TSA and, therefore, the Board authorized DTIH to issue 1,149,830 shares of DTIH common stock to HHLLC and 328,611 shares of DTIH common stock to a stockholder of DTIH who is affiliated with HHLLC, immediately prior to the closing of the Merger. The DTIH common stock was issued immediately prior to the closing of the Merger and the issuance resulted in the recognition of $2.3 million of stock-based compensation expense within other expense on the unaudited condensed consolidated statements of income and comprehensive income for the three and six months ended June 30, 2023. The shares of DTIH common stock issued were exchanged for 337,429 shares of DTIC Common Stock as of the date of the closing of the Merger in accordance with the Common Exchange Ratio. The $2.3 million of stock-based compensation was recorded by taking the $6.95 quoted market price of the Company's common stock as of the date and time of the closing of the Merger and multiplying this price by the 337,429 shares of DTIC Common Stock Issued.</w:t>
      </w:r>
    </w:p>
    <w:p>
      <w:pPr>
        <w:spacing w:after="0" w:line="82" w:lineRule="exact"/>
        <w:rPr>
          <w:rFonts w:ascii="Arial" w:cs="Arial" w:eastAsia="Arial" w:hAnsi="Arial"/>
          <w:sz w:val="18"/>
          <w:szCs w:val="18"/>
          <w:color w:val="auto"/>
        </w:rPr>
      </w:pPr>
    </w:p>
    <w:p>
      <w:pPr>
        <w:jc w:val="both"/>
        <w:ind w:left="1020" w:hanging="504"/>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the Merger, certain holders of DTIH redeemable convertible preferred stockholders entered into exchange agreements (the "Exchange Agreements") wherein the DTIH redeemable convertible preferred stockholders exchanged their rights to receive a portion of the $11.0 million Aggregate Company Cash Consideration (as defined within the Merger Agreement) for the rights to receive shares of DTIC Common Stock. Immediately following the effectiveness of the Exchange Agreements, which became effective as of the closing of the Merger, the holders of DTIH redeemable convertible preferred stock that participated in the Exchange Agreements held 2,042,181 shares of DTIC Common Stock as a result of their participation in the Exchange Agreements. In addition, the holders of DTIH redeemable convertible preferred stock that did not participate in the Exchange Agreements were paid $0.2 million from the Aggregate Company Cash Consideration in exchange for the cancellation of their DTIH redeemable convertible preferred stock in connection with the closing of the Merger.</w:t>
      </w:r>
    </w:p>
    <w:p>
      <w:pPr>
        <w:spacing w:after="0" w:line="88" w:lineRule="exact"/>
        <w:rPr>
          <w:rFonts w:ascii="Arial" w:cs="Arial" w:eastAsia="Arial" w:hAnsi="Arial"/>
          <w:sz w:val="18"/>
          <w:szCs w:val="18"/>
          <w:color w:val="auto"/>
        </w:rPr>
      </w:pPr>
    </w:p>
    <w:p>
      <w:pPr>
        <w:jc w:val="both"/>
        <w:ind w:left="1020" w:hanging="504"/>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the Merger, ROC entered into subscription agreements (the "Subscription Agreements") with certain accredited investors (which were related parties of ROC due to their affiliation with ROC Energy Holdings, LLC, which is ROC's sponsor ("Sponsor" or "ROC Sponsor")) (the "PIPE Investors") for an aggregate of 2,970,296 shares of DTIC Common Stock at a price of $10.10 per share, for a total of $30.0 million (the "PIPE Financing"). Upon the closing of the PIPE Financing (which closed in connection with the closing of the Merger), the Company received $25.9 million in cash and $4.1 million worth of shares from the PIPE Financing were used to settle related party promissory notes issued by ROC to the ROC Sponsor and an affiliate of ROC Sponsor.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proceeds received by the Company from the Merger and PIPE Financing, net of transaction costs, totaled $23.1 million.</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Merger was accounted for as a reverse recapitalization in accordance with U.S. GAAP. Under this method of accounting, ROC was treated as the acquired company for financial reporting purposes (see Note 1 for further details. Accordingly, for accounting purposes, the Merger was treated as the equivalent of the Company issuing shares for the net assets of ROC, accompanied by a recapitalization. The net assets of ROC were stated at historical cost with no goodwill or other intangible assets recorded.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presents the total DTIC Common Stock outstanding immediately after the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133350</wp:posOffset>
            </wp:positionV>
            <wp:extent cx="907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Exchange of ROC common stock not subject to possible redemption for DTIC Common Stock upon</w:t>
            </w: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Merger</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Conversion of ROC Public Rights into shares of DTIC Common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2,070,000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ROC Private Rights into shares of DTIC Common Stock</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Exchange of ROC common stock subject to possible redemption that was not redeemed for DTIC</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158,621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4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Subtotal - Merger, net of redemptions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5,711,721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Issuance of DTIC Common Stock in connection with PIPE Financing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Exchange of DTIH common stock outstanding as of December 31, 2022 for DTIC Common Stock</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11,951,137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line="196" w:lineRule="exact"/>
              <w:rPr>
                <w:sz w:val="20"/>
                <w:szCs w:val="20"/>
                <w:color w:val="auto"/>
              </w:rPr>
            </w:pPr>
            <w:r>
              <w:rPr>
                <w:rFonts w:ascii="Arial" w:cs="Arial" w:eastAsia="Arial" w:hAnsi="Arial"/>
                <w:sz w:val="18"/>
                <w:szCs w:val="18"/>
                <w:color w:val="auto"/>
              </w:rPr>
              <w:t>Exchange of DTIH redeemable convertible preferred stock outstanding as of December 31, 2022 for</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6,719,641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40" w:type="dxa"/>
            <w:vAlign w:val="bottom"/>
          </w:tcPr>
          <w:p>
            <w:pPr>
              <w:ind w:left="20"/>
              <w:spacing w:after="0"/>
              <w:rPr>
                <w:sz w:val="20"/>
                <w:szCs w:val="20"/>
                <w:color w:val="auto"/>
              </w:rPr>
            </w:pPr>
            <w:r>
              <w:rPr>
                <w:rFonts w:ascii="Arial" w:cs="Arial" w:eastAsia="Arial" w:hAnsi="Arial"/>
                <w:sz w:val="18"/>
                <w:szCs w:val="18"/>
                <w:color w:val="auto"/>
              </w:rPr>
              <w:t>DTIC Common Stock</w:t>
            </w: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Issuance of shares as stock-based compensation to former DTIH stockholders as part of transaction</w:t>
            </w: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337,429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services agreement upon the Merger</w:t>
            </w:r>
          </w:p>
        </w:tc>
        <w:tc>
          <w:tcPr>
            <w:tcW w:w="14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line="196" w:lineRule="exact"/>
              <w:rPr>
                <w:sz w:val="20"/>
                <w:szCs w:val="20"/>
                <w:color w:val="auto"/>
              </w:rPr>
            </w:pPr>
            <w:r>
              <w:rPr>
                <w:rFonts w:ascii="Arial" w:cs="Arial" w:eastAsia="Arial" w:hAnsi="Arial"/>
                <w:sz w:val="18"/>
                <w:szCs w:val="18"/>
                <w:color w:val="auto"/>
              </w:rPr>
              <w:t>Issuance of DTIC Common Stock to former holders of DTIH redeemable convertible preferred stock in</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2,042,181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40" w:type="dxa"/>
            <w:vAlign w:val="bottom"/>
          </w:tcPr>
          <w:p>
            <w:pPr>
              <w:ind w:left="20"/>
              <w:spacing w:after="0"/>
              <w:rPr>
                <w:sz w:val="20"/>
                <w:szCs w:val="20"/>
                <w:color w:val="auto"/>
              </w:rPr>
            </w:pPr>
            <w:r>
              <w:rPr>
                <w:rFonts w:ascii="Arial" w:cs="Arial" w:eastAsia="Arial" w:hAnsi="Arial"/>
                <w:sz w:val="18"/>
                <w:szCs w:val="18"/>
                <w:color w:val="auto"/>
              </w:rPr>
              <w:t>connection with Exchange Agreements</w:t>
            </w: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exercise of stock options by DTIH stockholder</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line="196" w:lineRule="exact"/>
              <w:rPr>
                <w:sz w:val="20"/>
                <w:szCs w:val="20"/>
                <w:color w:val="auto"/>
              </w:rPr>
            </w:pPr>
            <w:r>
              <w:rPr>
                <w:rFonts w:ascii="Arial" w:cs="Arial" w:eastAsia="Arial" w:hAnsi="Arial"/>
                <w:sz w:val="18"/>
                <w:szCs w:val="18"/>
                <w:color w:val="auto"/>
              </w:rPr>
              <w:t>Total - DTIC Common Stock outstanding as a result of Merger, PIPE Financing, DTIH for DTIC share</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29,768,568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line="189" w:lineRule="exact"/>
              <w:rPr>
                <w:sz w:val="20"/>
                <w:szCs w:val="20"/>
                <w:color w:val="auto"/>
              </w:rPr>
            </w:pPr>
            <w:r>
              <w:rPr>
                <w:rFonts w:ascii="Arial" w:cs="Arial" w:eastAsia="Arial" w:hAnsi="Arial"/>
                <w:sz w:val="18"/>
                <w:szCs w:val="18"/>
                <w:color w:val="auto"/>
              </w:rPr>
              <w:t>exchanges, transaction services agreement, Exchange Agreements, and exercise of stock options</w:t>
            </w: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6615430</wp:posOffset>
            </wp:positionH>
            <wp:positionV relativeFrom="paragraph">
              <wp:posOffset>-1583690</wp:posOffset>
            </wp:positionV>
            <wp:extent cx="5969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-1257935</wp:posOffset>
            </wp:positionV>
            <wp:extent cx="59690" cy="282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-709930</wp:posOffset>
            </wp:positionV>
            <wp:extent cx="59690" cy="282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-281940</wp:posOffset>
            </wp:positionV>
            <wp:extent cx="59690" cy="282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28257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cost and fair value of the Company’s investments in equity securities (in thousands):</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r>
      <w:tr>
        <w:trPr>
          <w:trHeight w:val="26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June 30, 2023</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40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80" w:type="dxa"/>
            <w:vAlign w:val="bottom"/>
            <w:shd w:val="clear" w:color="auto" w:fill="CFF0FC"/>
          </w:tcPr>
          <w:p>
            <w:pPr>
              <w:spacing w:after="0"/>
              <w:rPr>
                <w:sz w:val="22"/>
                <w:szCs w:val="22"/>
                <w:color w:val="auto"/>
              </w:rPr>
            </w:pPr>
          </w:p>
        </w:tc>
      </w:tr>
      <w:tr>
        <w:trPr>
          <w:trHeight w:val="372"/>
        </w:trPr>
        <w:tc>
          <w:tcPr>
            <w:tcW w:w="46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89"/>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r>
      <w:tr>
        <w:trPr>
          <w:trHeight w:val="26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2022</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-572770</wp:posOffset>
            </wp:positionV>
            <wp:extent cx="1447165" cy="402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47165" cy="40259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425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425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Unrealized holding gains (losses) on equity securities for the three months ended June 30, 2023 and 2022 were approximately $0.4 million in gains and $0.1 million in losses, respectively. Unrealized holding gains on equity securities for the six months ended June 30, 2023 and 2022 were approximately $0.4 million and $0.3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DETAILS - CURRENT ASSETS AND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inventory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4"/>
          </w:tcPr>
          <w:p>
            <w:pPr>
              <w:jc w:val="right"/>
              <w:ind w:right="184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17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17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Finished goods</w:t>
            </w:r>
          </w:p>
        </w:tc>
        <w:tc>
          <w:tcPr>
            <w:tcW w:w="2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inventories</w:t>
            </w:r>
          </w:p>
        </w:tc>
        <w:tc>
          <w:tcPr>
            <w:tcW w:w="2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6,063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3,492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rPr>
              <w:t>Allowance for obsolete inventory</w:t>
            </w: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(134 )</w:t>
            </w:r>
          </w:p>
        </w:tc>
        <w:tc>
          <w:tcPr>
            <w:tcW w:w="260" w:type="dxa"/>
            <w:vAlign w:val="bottom"/>
          </w:tcPr>
          <w:p>
            <w:pPr>
              <w:spacing w:after="0"/>
              <w:rPr>
                <w:sz w:val="19"/>
                <w:szCs w:val="19"/>
                <w:color w:val="auto"/>
              </w:rPr>
            </w:pPr>
          </w:p>
        </w:tc>
        <w:tc>
          <w:tcPr>
            <w:tcW w:w="2580" w:type="dxa"/>
            <w:vAlign w:val="bottom"/>
            <w:gridSpan w:val="3"/>
          </w:tcPr>
          <w:p>
            <w:pPr>
              <w:jc w:val="right"/>
              <w:ind w:right="1680"/>
              <w:spacing w:after="0"/>
              <w:rPr>
                <w:sz w:val="20"/>
                <w:szCs w:val="20"/>
                <w:color w:val="auto"/>
              </w:rPr>
            </w:pPr>
            <w:r>
              <w:rPr>
                <w:rFonts w:ascii="Arial" w:cs="Arial" w:eastAsia="Arial" w:hAnsi="Arial"/>
                <w:sz w:val="18"/>
                <w:szCs w:val="18"/>
                <w:color w:val="auto"/>
              </w:rPr>
              <w:t>(211 )</w:t>
            </w:r>
          </w:p>
        </w:tc>
      </w:tr>
      <w:tr>
        <w:trPr>
          <w:trHeight w:val="223"/>
        </w:trPr>
        <w:tc>
          <w:tcPr>
            <w:tcW w:w="17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Inventories, net</w:t>
            </w:r>
          </w:p>
        </w:tc>
        <w:tc>
          <w:tcPr>
            <w:tcW w:w="206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5,929</w:t>
            </w:r>
          </w:p>
        </w:tc>
        <w:tc>
          <w:tcPr>
            <w:tcW w:w="2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3,281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634"/>
        </w:trPr>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60" w:type="dxa"/>
            <w:vAlign w:val="bottom"/>
          </w:tcPr>
          <w:p>
            <w:pPr>
              <w:jc w:val="right"/>
              <w:ind w:right="129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prepaid expenses and other current assets (in thousands):</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89"/>
        </w:trPr>
        <w:tc>
          <w:tcPr>
            <w:tcW w:w="542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Prepaid expenses:</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ERC benefits receivable</w:t>
            </w:r>
          </w:p>
        </w:tc>
        <w:tc>
          <w:tcPr>
            <w:tcW w:w="380" w:type="dxa"/>
            <w:vAlign w:val="bottom"/>
          </w:tcPr>
          <w:p>
            <w:pPr>
              <w:jc w:val="right"/>
              <w:ind w:right="17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2,117</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on inventory</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Prepaid income tax</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insurance</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Prepaid rent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equipment</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Prepaid other</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current assets:</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Interest rate swap asset</w:t>
            </w:r>
          </w:p>
        </w:tc>
        <w:tc>
          <w:tcPr>
            <w:tcW w:w="380" w:type="dxa"/>
            <w:vAlign w:val="bottom"/>
          </w:tcPr>
          <w:p>
            <w:pPr>
              <w:jc w:val="right"/>
              <w:ind w:right="17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9"/>
                <w:szCs w:val="19"/>
                <w:color w:val="auto"/>
              </w:rPr>
            </w:pPr>
          </w:p>
        </w:tc>
      </w:tr>
      <w:tr>
        <w:trPr>
          <w:trHeight w:val="229"/>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ind w:right="175"/>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6,804</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4,381</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-179070</wp:posOffset>
            </wp:positionV>
            <wp:extent cx="51435"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-179070</wp:posOffset>
            </wp:positionV>
            <wp:extent cx="42545"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545" cy="1797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accrued expenses and other current liabilities (in thousands):</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89"/>
        </w:trPr>
        <w:tc>
          <w:tcPr>
            <w:tcW w:w="542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Accrued compensation and related benefits</w:t>
            </w: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4,246</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3,392</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insurance</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Accrued transaction advisory fees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professional services</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property taxes</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current liabilities:</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Income tax payable</w:t>
            </w: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1,910</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1,780</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tax payable</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Unbilled lost-in-hole revenue</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20" w:type="dxa"/>
            <w:vAlign w:val="bottom"/>
          </w:tcPr>
          <w:p>
            <w:pPr>
              <w:jc w:val="right"/>
              <w:ind w:right="115"/>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12,629</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7,299</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 of property, plant and equipment, net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tcPr>
          <w:p>
            <w:pPr>
              <w:jc w:val="right"/>
              <w:ind w:right="135"/>
              <w:spacing w:after="0"/>
              <w:rPr>
                <w:sz w:val="20"/>
                <w:szCs w:val="20"/>
                <w:color w:val="auto"/>
              </w:rPr>
            </w:pPr>
            <w:r>
              <w:rPr>
                <w:rFonts w:ascii="Arial" w:cs="Arial" w:eastAsia="Arial" w:hAnsi="Arial"/>
                <w:sz w:val="14"/>
                <w:szCs w:val="14"/>
                <w:b w:val="1"/>
                <w:bCs w:val="1"/>
                <w:color w:val="auto"/>
              </w:rPr>
              <w:t>Estimated Useful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rPr>
              <w:t>Lives (in Years)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Rental tools and equipment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184,284</w:t>
            </w:r>
          </w:p>
        </w:tc>
        <w:tc>
          <w:tcPr>
            <w:tcW w:w="2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160,973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Office furniture, fixtures and equipment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Transportation and equipment</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property, plant and equipment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193,887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169,691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deprecation</w:t>
            </w: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(129,437 )</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(125,537 )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5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64,450</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44,154</w:t>
            </w:r>
          </w:p>
        </w:tc>
        <w:tc>
          <w:tcPr>
            <w:tcW w:w="80" w:type="dxa"/>
            <w:vAlign w:val="bottom"/>
            <w:tcBorders>
              <w:top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80" w:type="dxa"/>
            <w:vAlign w:val="bottom"/>
            <w:vMerge w:val="restart"/>
          </w:tcPr>
          <w:p>
            <w:pPr>
              <w:jc w:val="right"/>
              <w:ind w:right="1275"/>
              <w:spacing w:after="0"/>
              <w:rPr>
                <w:sz w:val="20"/>
                <w:szCs w:val="20"/>
                <w:color w:val="auto"/>
              </w:rPr>
            </w:pPr>
            <w:r>
              <w:rPr>
                <w:rFonts w:ascii="Arial" w:cs="Arial" w:eastAsia="Arial" w:hAnsi="Arial"/>
                <w:sz w:val="18"/>
                <w:szCs w:val="18"/>
                <w:color w:val="auto"/>
                <w:w w:val="99"/>
              </w:rPr>
              <w:t>20</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436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-949960</wp:posOffset>
            </wp:positionV>
            <wp:extent cx="5969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-949960</wp:posOffset>
            </wp:positionV>
            <wp:extent cx="5143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-650240</wp:posOffset>
            </wp:positionV>
            <wp:extent cx="5969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-650240</wp:posOffset>
            </wp:positionV>
            <wp:extent cx="5143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Total depreciation expense for the three months ended June 30, 2023 and 2022 was approximately $4.7 million and $4.9 million,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for the six months ended June 30, 2023 and 2022 was approximately $9.7 million and $10.0 million, respectively.</w:t>
      </w:r>
    </w:p>
    <w:p>
      <w:pPr>
        <w:spacing w:after="0"/>
        <w:rPr>
          <w:sz w:val="20"/>
          <w:szCs w:val="20"/>
          <w:color w:val="auto"/>
        </w:rPr>
      </w:pPr>
      <w:r>
        <w:rPr>
          <w:rFonts w:ascii="Arial" w:cs="Arial" w:eastAsia="Arial" w:hAnsi="Arial"/>
          <w:sz w:val="18"/>
          <w:szCs w:val="18"/>
          <w:color w:val="auto"/>
        </w:rPr>
        <w:t>The Company has not acquired any property, plant and equipment under capital leases.</w:t>
      </w:r>
    </w:p>
    <w:p>
      <w:pPr>
        <w:spacing w:after="0" w:line="199"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Property, plant and equipment, net, were concentrated within the United States. As of June 30, 2023 and December 31, 2022, property, plant and equipment, net held within the United States was $62.6 million and $41.8 million, respectively, or 97% and 95% of total property, plant and equipment, net, respectively. As of June 30, 2023 and December 31, 2022 property, plant and equipment, net held outside of the United States, in Canada, was $1.9 million and $2.3 million, or 3% and 5% of total property, plant and equipment net for both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intangible assets, net (in thousands):</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Useful Lives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December</w:t>
            </w:r>
          </w:p>
        </w:tc>
      </w:tr>
      <w:tr>
        <w:trPr>
          <w:trHeight w:val="189"/>
        </w:trPr>
        <w:tc>
          <w:tcPr>
            <w:tcW w:w="45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31, 2022</w:t>
            </w:r>
          </w:p>
        </w:tc>
        <w:tc>
          <w:tcPr>
            <w:tcW w:w="80" w:type="dxa"/>
            <w:vAlign w:val="bottom"/>
          </w:tcPr>
          <w:p>
            <w:pPr>
              <w:spacing w:after="0"/>
              <w:rPr>
                <w:sz w:val="16"/>
                <w:szCs w:val="16"/>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20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rPr>
              <w:t>10-13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Technology</w:t>
            </w:r>
          </w:p>
        </w:tc>
        <w:tc>
          <w:tcPr>
            <w:tcW w:w="1200" w:type="dxa"/>
            <w:vAlign w:val="bottom"/>
          </w:tcPr>
          <w:p>
            <w:pPr>
              <w:jc w:val="right"/>
              <w:ind w:right="419"/>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intangible assets</w:t>
            </w: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1,550</w:t>
            </w:r>
          </w:p>
        </w:tc>
        <w:tc>
          <w:tcPr>
            <w:tcW w:w="80" w:type="dxa"/>
            <w:vAlign w:val="bottom"/>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(1,311 )</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(1,287 )</w:t>
            </w:r>
          </w:p>
        </w:tc>
      </w:tr>
      <w:tr>
        <w:trPr>
          <w:trHeight w:val="26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Intangible assets, net</w:t>
            </w:r>
          </w:p>
        </w:tc>
        <w:tc>
          <w:tcPr>
            <w:tcW w:w="1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263</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-24765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Total amortization expense for the three months ended June 30, 2023 and 2022 was approximately $12 thousand and $12 thousand, respectively. Total amortization expense for the six months ended June 30, 2023 and 2022 was approximately $24 thousand and less than $0.1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REVOLVING CREDIT FACILITY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2015, the Company entered into a credit facility with a bank. The facility provides for a revolving line of credit with a maximum borrowing amount totaling $60.0 million, as of June 20, 2023 and December 31, 2022.</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On June 20, 2023, the Company entered into an amended and restated revolving credit, security and guaranty agreement that modified the terms of its previous agreement and related amendments. This amended agreement modified certain defined terms in the previous agreement, removed the $20.0 million unfunded capital expenditures requirement, removed the $9.0 million sublimit to the Company's Canadian entity and changed the legal debtor from DTIH to DTIC. See Note 2 - </w:t>
      </w:r>
      <w:r>
        <w:rPr>
          <w:rFonts w:ascii="Arial" w:cs="Arial" w:eastAsia="Arial" w:hAnsi="Arial"/>
          <w:sz w:val="18"/>
          <w:szCs w:val="18"/>
          <w:i w:val="1"/>
          <w:iCs w:val="1"/>
          <w:color w:val="auto"/>
        </w:rPr>
        <w:t>Merger</w:t>
      </w:r>
      <w:r>
        <w:rPr>
          <w:rFonts w:ascii="Arial" w:cs="Arial" w:eastAsia="Arial" w:hAnsi="Arial"/>
          <w:sz w:val="18"/>
          <w:szCs w:val="18"/>
          <w:color w:val="auto"/>
        </w:rPr>
        <w:t xml:space="preserve"> for further discussion of the Merger.</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three and six months ended June 30, 2023, the interest on the amount drawn was based on SOFR or the bank’s base lending rate plus applicable margin (approximately 8.56% at June 30, 2023). The credit facility is collateralized by substantially all the assets of the Company and matures December 31, 2025.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there were no amounts drawn against the line of credit.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various restrictive covenants associated with these borrowings including, but not limited to, a fixed charge ratio, and a minimum amount of undrawn availability. As of June 30, 2023, the Company was in compliance with all restrictive covenants.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Contingent Interest Embedded Derivative Liability</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determined the Default Rate met the definition of a derivative as it is a contingent interest feature. The Company also noted that the Default 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June 30, 2023 and December 31, 2022 and therefore no amounts were recorded as of June 30, 2023 or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recorded income tax expense on the unaudited condensed consolidated statements of income and comprehensive income of $1.4 million and $1.8 million for the three months ended June 30, 2023 and 2022. The Company recorded income tax expense on the unaudited condensed consolidated statements of income and comprehensive income of $3.1 million and $2.2 million for the six months ended June 30, 2023 and 2022, respectively.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calculates its tax provision using the discreet quarter methodology. The Company’s effective tax rate for the three months ended June 30, 2023 and 2022 were provisions of 59.5% and 23.2%, respectively.The Company’s effective tax rate for the six months ended June 30, 2023 and 2022 were provisions of 31.8% and 23.4%, respectively. Such rates differed from the Federal Statutory rate of 21.0% primarily due to the state taxes, foreign income taxes on the Company’s international operations and state income taxes, and permanent differences.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change to the valuation allowance during the three and six months ended June 30, 2023 and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48"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On June 20, 2023, the Company adopted the Drilling Tools International Corporation 2023 Omnibus Incentive Plan (the 2023 Plan). The 2023 Plan became effective on the closing of the Merger, which also occurred on June 20, 2023. The 2023 Plan provides for the issuance of shares of Common Stock up to ten percent (10%) of the shares of outstanding Common Stock as of the closing of the Merger (which equates to 2,976,854 shares as of June 30, 2023)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June 30, 2023, there were 615,132 shares of Common Stock available for issuance under the 2023 Plan.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4" w:name="page25"/>
    <w:bookmarkEnd w:id="24"/>
    <w:p>
      <w:pPr>
        <w:jc w:val="both"/>
        <w:ind w:right="140"/>
        <w:spacing w:after="0" w:line="238" w:lineRule="auto"/>
        <w:rPr>
          <w:sz w:val="20"/>
          <w:szCs w:val="20"/>
          <w:color w:val="auto"/>
        </w:rPr>
      </w:pPr>
      <w:r>
        <w:rPr>
          <w:rFonts w:ascii="Arial" w:cs="Arial" w:eastAsia="Arial" w:hAnsi="Arial"/>
          <w:sz w:val="18"/>
          <w:szCs w:val="18"/>
          <w:color w:val="auto"/>
        </w:rPr>
        <w:t xml:space="preserve">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(see Note 2 - </w:t>
      </w:r>
      <w:r>
        <w:rPr>
          <w:rFonts w:ascii="Arial" w:cs="Arial" w:eastAsia="Arial" w:hAnsi="Arial"/>
          <w:sz w:val="18"/>
          <w:szCs w:val="18"/>
          <w:i w:val="1"/>
          <w:iCs w:val="1"/>
          <w:color w:val="auto"/>
        </w:rPr>
        <w:t>Merger</w:t>
      </w:r>
      <w:r>
        <w:rPr>
          <w:rFonts w:ascii="Arial" w:cs="Arial" w:eastAsia="Arial" w:hAnsi="Arial"/>
          <w:sz w:val="18"/>
          <w:szCs w:val="18"/>
          <w:color w:val="auto"/>
        </w:rPr>
        <w:t>). As a result of the Merger, the Company issued options to purchase a total of 2,361,722 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w:t>
      </w:r>
    </w:p>
    <w:p>
      <w:pPr>
        <w:spacing w:after="0" w:line="18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fair value of each stock option award is estimated on the date of grant using a Black-Scholes option valuation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w:t>
      </w:r>
    </w:p>
    <w:p>
      <w:pPr>
        <w:spacing w:after="0" w:line="222"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Determination of the fair value is a matter of judgment and often involves the use of estimates and assumptions. In June of 2022 and prior to the closing of the Merger, one holder of DTIH stock options elected to net exercise all of such holder's stock options, resulting in 158,444 shares of DTIH common stock being issued prior to the Merger and subsequently canceled and exchanged for a total of 36,163 shares of DTIC Common Stock as of the date of the Merger.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there were no options granted, exercised or forfeited.</w:t>
      </w:r>
    </w:p>
    <w:p>
      <w:pPr>
        <w:spacing w:after="0" w:line="2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and six months ended June 30, 2023, the Company recognized $1.7 million of stock-based compensation expense within selling, general, and administrative expense on the unaudited condensed consolidated statements of income and comprehensive income related to the accelerated vesting of an executive's 534,063 performance-based stock options. The performance conditions were satisfied upon completion of the Merger and all 534,063 performance-based stock options vested on June 20, 2023.</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During the three and six months ended June 30, 2023, the Company recognized $2.3 million of stock-based compensation expense within other expense on the unaudited condensed consolidated statements of income and comprehensive income as a result of the issuance of shares in accordance with the TSA with HHLLC (see Note 2 -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there was no stock-based compensation expense recognized.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EXPENSES,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expenses, net for the three months ended June 30, 2023 and 2022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June</w:t>
            </w:r>
          </w:p>
        </w:tc>
        <w:tc>
          <w:tcPr>
            <w:tcW w:w="120" w:type="dxa"/>
            <w:vAlign w:val="bottom"/>
          </w:tcPr>
          <w:p>
            <w:pPr>
              <w:spacing w:after="0"/>
              <w:rPr>
                <w:sz w:val="14"/>
                <w:szCs w:val="14"/>
                <w:color w:val="auto"/>
              </w:rPr>
            </w:pPr>
          </w:p>
        </w:tc>
        <w:tc>
          <w:tcPr>
            <w:tcW w:w="33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17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30, 2023</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June 30, 2022</w:t>
            </w:r>
          </w:p>
        </w:tc>
        <w:tc>
          <w:tcPr>
            <w:tcW w:w="1760" w:type="dxa"/>
            <w:vAlign w:val="bottom"/>
            <w:gridSpan w:val="2"/>
          </w:tcPr>
          <w:p>
            <w:pPr>
              <w:spacing w:after="0"/>
              <w:rPr>
                <w:sz w:val="16"/>
                <w:szCs w:val="16"/>
                <w:color w:val="auto"/>
              </w:rPr>
            </w:pPr>
          </w:p>
        </w:tc>
      </w:tr>
      <w:tr>
        <w:trPr>
          <w:trHeight w:val="223"/>
        </w:trPr>
        <w:tc>
          <w:tcPr>
            <w:tcW w:w="170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HHLLC stock-based compensation</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(2,339 )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Transaction fees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(1,803 )</w:t>
            </w:r>
          </w:p>
        </w:tc>
        <w:tc>
          <w:tcPr>
            <w:tcW w:w="120" w:type="dxa"/>
            <w:vAlign w:val="bottom"/>
          </w:tcPr>
          <w:p>
            <w:pPr>
              <w:spacing w:after="0"/>
              <w:rPr>
                <w:sz w:val="19"/>
                <w:szCs w:val="19"/>
                <w:color w:val="auto"/>
              </w:rPr>
            </w:pPr>
          </w:p>
        </w:tc>
        <w:tc>
          <w:tcPr>
            <w:tcW w:w="3340" w:type="dxa"/>
            <w:vAlign w:val="bottom"/>
            <w:gridSpan w:val="3"/>
          </w:tcPr>
          <w:p>
            <w:pPr>
              <w:jc w:val="right"/>
              <w:ind w:right="1760"/>
              <w:spacing w:after="0"/>
              <w:rPr>
                <w:sz w:val="20"/>
                <w:szCs w:val="20"/>
                <w:color w:val="auto"/>
              </w:rPr>
            </w:pPr>
            <w:r>
              <w:rPr>
                <w:rFonts w:ascii="Arial" w:cs="Arial" w:eastAsia="Arial" w:hAnsi="Arial"/>
                <w:sz w:val="18"/>
                <w:szCs w:val="18"/>
                <w:color w:val="auto"/>
              </w:rPr>
              <w:t>—</w:t>
            </w:r>
          </w:p>
        </w:tc>
      </w:tr>
      <w:tr>
        <w:trPr>
          <w:trHeight w:val="229"/>
        </w:trPr>
        <w:tc>
          <w:tcPr>
            <w:tcW w:w="170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(240 )</w:t>
            </w: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Total Other expense, net</w:t>
            </w:r>
          </w:p>
        </w:tc>
        <w:tc>
          <w:tcPr>
            <w:tcW w:w="6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(4,382 )</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(23 )</w:t>
            </w: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14"/>
        </w:trPr>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8"/>
                <w:szCs w:val="18"/>
                <w:color w:val="auto"/>
              </w:rPr>
              <w:t>23</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shows the components of other expenses, net for the six months ended June 30, 2023 and 2022 (in thousands):</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Six Months Ended June</w:t>
            </w:r>
          </w:p>
        </w:tc>
        <w:tc>
          <w:tcPr>
            <w:tcW w:w="1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Six Months Ended June</w:t>
            </w:r>
          </w:p>
        </w:tc>
      </w:tr>
      <w:tr>
        <w:trPr>
          <w:trHeight w:val="189"/>
        </w:trPr>
        <w:tc>
          <w:tcPr>
            <w:tcW w:w="3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30, 2023</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30, 2022</w:t>
            </w:r>
          </w:p>
        </w:tc>
        <w:tc>
          <w:tcPr>
            <w:tcW w:w="80" w:type="dxa"/>
            <w:vAlign w:val="bottom"/>
          </w:tcPr>
          <w:p>
            <w:pPr>
              <w:spacing w:after="0"/>
              <w:rPr>
                <w:sz w:val="16"/>
                <w:szCs w:val="16"/>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HHLLC stock-based compensation</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(2,339 )</w:t>
            </w:r>
          </w:p>
        </w:tc>
        <w:tc>
          <w:tcPr>
            <w:tcW w:w="38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Transaction fees</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(3,499 )</w:t>
            </w:r>
          </w:p>
        </w:tc>
        <w:tc>
          <w:tcPr>
            <w:tcW w:w="38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(245 )</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(95 )</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Other expense, net</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auto"/>
                <w:w w:val="79"/>
              </w:rPr>
              <w: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(6,035 )</w:t>
            </w:r>
          </w:p>
        </w:tc>
        <w:tc>
          <w:tcPr>
            <w:tcW w:w="380" w:type="dxa"/>
            <w:vAlign w:val="bottom"/>
            <w:shd w:val="clear" w:color="auto" w:fill="CFF0FC"/>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(95 )</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-24765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-7620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three months ended June 30, 2023 and 2022, management fees paid to a shareholder were approximately $0.3 million and $0.1 million, respectively. For the six months ended June 30, 2023 and 2022, management fees paid to a shareholder were approximately $0.6 million and $0.2 million, respectively. Management fees paid to a shareholder are included in selling, general and administrative expenses in the accompanying unaudited condensed consolidated statements of income and comprehensive income.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three months ended June 30, 2023 and 2022, the Company paid rent expense to a shareholder of approximately $13 thousand, respectively, relating to the lease of a building. For the six months ended June 30, 2023 and 2022, the Company paid rent expense to a shareholder of approximately $26 thousand, respectively, relating to the lease of a building. Future minimum lease payments related to this lease are included in the future minimum lease schedule in Note 12 -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Upon consummation of the Merger on June 20, 2023, the Company issued shares of DTIC Common Stock in connection with the PIPE Financing to payoff convertible promissory notes which were issued to an affiliate of the ROC Sponsor on December 6, 2022 and March 2, 2023, respectively. The notes did not bear interest and were in the amounts of $2.1 million and $2.1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Loan</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the Merger on June 20, 2023, ROC paid the remaining outstanding principal amount owed to an affiliate of the ROC Sponsor in the amount of $0.4 million for a loan to fund working capital deficiencies or finance transaction costs in connection with the Merger. The loan did not bear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1"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June 30, 2023.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For the three and six months ended June 30, 2023, the components of the Company’s lease expense were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3,050</w:t>
            </w: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Sublease Income</w:t>
            </w:r>
          </w:p>
        </w:tc>
        <w:tc>
          <w:tcPr>
            <w:tcW w:w="12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(76 )</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Lease Cost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3,202</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3,007</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12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1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Total Lease Cost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1,616</w:t>
            </w:r>
          </w:p>
        </w:tc>
        <w:tc>
          <w:tcPr>
            <w:tcW w:w="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1,496</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Supplemental balance sheet information related to leases was as follows (in thousands):</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(in years)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2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-2936240</wp:posOffset>
            </wp:positionV>
            <wp:extent cx="975995" cy="650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75995" cy="65087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-1849120</wp:posOffset>
            </wp:positionV>
            <wp:extent cx="5969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-1849120</wp:posOffset>
            </wp:positionV>
            <wp:extent cx="51435"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undiscounted cash flows for each of the next five years and thereafter and reconciliation to the lease liabilities recognized on the condensed consolidated balance sheet as of June 30, 2023 were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8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4,579</w:t>
            </w:r>
          </w:p>
        </w:tc>
        <w:tc>
          <w:tcPr>
            <w:tcW w:w="8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w:t>
            </w:r>
          </w:p>
        </w:tc>
        <w:tc>
          <w:tcPr>
            <w:tcW w:w="8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8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w:t>
            </w:r>
          </w:p>
        </w:tc>
        <w:tc>
          <w:tcPr>
            <w:tcW w:w="80" w:type="dxa"/>
            <w:vAlign w:val="bottom"/>
          </w:tcPr>
          <w:p>
            <w:pPr>
              <w:spacing w:after="0"/>
              <w:rPr>
                <w:sz w:val="19"/>
                <w:szCs w:val="19"/>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lease payments</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24,646</w:t>
            </w:r>
          </w:p>
        </w:tc>
        <w:tc>
          <w:tcPr>
            <w:tcW w:w="8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(4,188 )</w:t>
            </w:r>
          </w:p>
        </w:tc>
      </w:tr>
      <w:tr>
        <w:trPr>
          <w:trHeight w:val="26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20,458</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leases downhole drilling tools to companies in the oil and natural gas industry. Such leases are accounted for in accordance with ASC 842. For the three and six months ended June 30, 2023, tool rental revenue was approximately $29.0 million and $61.3 million, respectively. Our lease contract periods are short-term in nature and are typically daily, monthly, per well, or footage based. Due to the short term nature of the contracts, no maturity table is presented.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 EMPLOYEE BENEFITS</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a defined contribution plan that complies with Section 401(k) of the Internal Revenue Code. All employees are auto enrolled at a 3% contribution, unless they opt out, beginning on the first plan entry date following six months of service. Plan entry dates are the first day of January and July. In March of 2020, the Company suspended any employee contribution match effective immediately and through the end of 2021. The match was reinstated on January 1, 2022. For 2022, the Company matched employee contributions 150% of the first 3% of employee contributions, not to exceed $2 thousand per participant per calendar year. Employees vest in employer contributions over six years. The contribution is limited to the maximum contribution allowed under the Internal Revenue Service Regulations. The total expense for the three months ended June 30, 2023 and 2022 was approximately $0.1 million and $0.1 million, respectively. The total expense for the six months ended June 30, 2023 and 2022 was approximately $0.4 million and $0.3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maintains operating leases for various facilities and vehicles. See Note 12 - </w:t>
      </w:r>
      <w:r>
        <w:rPr>
          <w:rFonts w:ascii="Arial" w:cs="Arial" w:eastAsia="Arial" w:hAnsi="Arial"/>
          <w:sz w:val="18"/>
          <w:szCs w:val="18"/>
          <w:i w:val="1"/>
          <w:iCs w:val="1"/>
          <w:color w:val="auto"/>
        </w:rPr>
        <w:t>Leases</w:t>
      </w:r>
      <w:r>
        <w:rPr>
          <w:rFonts w:ascii="Arial" w:cs="Arial" w:eastAsia="Arial" w:hAnsi="Arial"/>
          <w:sz w:val="18"/>
          <w:szCs w:val="18"/>
          <w:color w:val="auto"/>
        </w:rPr>
        <w:t>, for further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 w:lineRule="exact"/>
        <w:rPr>
          <w:sz w:val="20"/>
          <w:szCs w:val="20"/>
          <w:color w:val="auto"/>
        </w:rPr>
      </w:pPr>
    </w:p>
    <w:p>
      <w:pPr>
        <w:jc w:val="both"/>
        <w:ind w:right="160"/>
        <w:spacing w:after="0" w:line="245" w:lineRule="auto"/>
        <w:rPr>
          <w:sz w:val="20"/>
          <w:szCs w:val="20"/>
          <w:color w:val="auto"/>
        </w:rPr>
      </w:pPr>
      <w:r>
        <w:rPr>
          <w:rFonts w:ascii="Arial" w:cs="Arial" w:eastAsia="Arial" w:hAnsi="Arial"/>
          <w:sz w:val="18"/>
          <w:szCs w:val="18"/>
          <w:color w:val="auto"/>
        </w:rPr>
        <w:t>From time to time, the Company may become involved in various legal proceedings in the ordinary course of its business and may be subject to third-party infringement claims.</w:t>
      </w:r>
    </w:p>
    <w:p>
      <w:pPr>
        <w:spacing w:after="0" w:line="213"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 Company has not been subject to any pending litigation claims.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w:t>
      </w:r>
    </w:p>
    <w:p>
      <w:pPr>
        <w:spacing w:after="0" w:line="17" w:lineRule="exact"/>
        <w:rPr>
          <w:sz w:val="20"/>
          <w:szCs w:val="20"/>
          <w:color w:val="auto"/>
        </w:rPr>
      </w:pPr>
    </w:p>
    <w:p>
      <w:pPr>
        <w:jc w:val="both"/>
        <w:ind w:right="160"/>
        <w:spacing w:after="0" w:line="245" w:lineRule="auto"/>
        <w:rPr>
          <w:sz w:val="20"/>
          <w:szCs w:val="20"/>
          <w:color w:val="auto"/>
        </w:rPr>
      </w:pPr>
      <w:r>
        <w:rPr>
          <w:rFonts w:ascii="Arial" w:cs="Arial" w:eastAsia="Arial" w:hAnsi="Arial"/>
          <w:sz w:val="18"/>
          <w:szCs w:val="18"/>
          <w:color w:val="auto"/>
        </w:rPr>
        <w:t>The Company is required to pay a monthly management fee to a shareholder. The fee is based upon a percentage of the Company’s trailing twelve months, earnings before interest, taxes and accumulated depreciation amount, as defined in the management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sets forth the computation of the Company’s basic and diluted net earnings per share for the three and six months ended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(in thousands except share and per share data):</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49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937</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5,934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6,638</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Redeemable convertible preferred stock dividends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(295 )</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(314 )</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196"/>
        </w:trPr>
        <w:tc>
          <w:tcPr>
            <w:tcW w:w="49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(loss) attributable to common shareholders —</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Borders>
              <w:top w:val="single" w:sz="8" w:color="CFF0FC"/>
            </w:tcBorders>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5,639</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6,324</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line="189" w:lineRule="exact"/>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 Redeemable convertible preferred stock dividends</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line="196" w:lineRule="exact"/>
              <w:rPr>
                <w:sz w:val="20"/>
                <w:szCs w:val="20"/>
                <w:color w:val="auto"/>
              </w:rPr>
            </w:pPr>
            <w:r>
              <w:rPr>
                <w:rFonts w:ascii="Arial" w:cs="Arial" w:eastAsia="Arial" w:hAnsi="Arial"/>
                <w:sz w:val="18"/>
                <w:szCs w:val="18"/>
                <w:color w:val="auto"/>
              </w:rPr>
              <w:t>Net income (loss) attributable to common shareholders —</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937</w:t>
            </w:r>
          </w:p>
        </w:tc>
        <w:tc>
          <w:tcPr>
            <w:tcW w:w="4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5,934</w:t>
            </w:r>
          </w:p>
        </w:tc>
        <w:tc>
          <w:tcPr>
            <w:tcW w:w="2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6,638</w:t>
            </w:r>
          </w:p>
        </w:tc>
        <w:tc>
          <w:tcPr>
            <w:tcW w:w="2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20"/>
              <w:spacing w:after="0" w:line="189" w:lineRule="exact"/>
              <w:rPr>
                <w:sz w:val="20"/>
                <w:szCs w:val="20"/>
                <w:color w:val="auto"/>
              </w:rPr>
            </w:pPr>
            <w:r>
              <w:rPr>
                <w:rFonts w:ascii="Arial" w:cs="Arial" w:eastAsia="Arial" w:hAnsi="Arial"/>
                <w:sz w:val="18"/>
                <w:szCs w:val="18"/>
                <w:color w:val="auto"/>
              </w:rPr>
              <w:t>diluted</w:t>
            </w: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common shares used in computing</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13,910,670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11,951,123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12,936,310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11,951,123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effect of potentially dilutive securities: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Effect of potentially dilutive time-based stock options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744,573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1,006,729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875,651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1,006,729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Effect of potentially dilutive performance-based stock</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Effect of potentially dilutive redeemable convertible</w:t>
            </w:r>
          </w:p>
        </w:tc>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5,981,219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6,719,641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6,350,430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6,719,641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20,746,976</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19,677,493</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20,217,648</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19,677,493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Earnings (net loss) per share — 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Earnings (net loss) per share — diluted</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-2482215</wp:posOffset>
            </wp:positionV>
            <wp:extent cx="68580" cy="2825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-2482215</wp:posOffset>
            </wp:positionV>
            <wp:extent cx="68580" cy="282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-2482215</wp:posOffset>
            </wp:positionV>
            <wp:extent cx="59690" cy="282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-2482215</wp:posOffset>
            </wp:positionV>
            <wp:extent cx="59690" cy="282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-2054225</wp:posOffset>
            </wp:positionV>
            <wp:extent cx="68580" cy="282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-2054225</wp:posOffset>
            </wp:positionV>
            <wp:extent cx="68580" cy="282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-2054225</wp:posOffset>
            </wp:positionV>
            <wp:extent cx="59690" cy="2825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-2054225</wp:posOffset>
            </wp:positionV>
            <wp:extent cx="59690" cy="282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-367665</wp:posOffset>
            </wp:positionV>
            <wp:extent cx="2765425" cy="196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65425" cy="19685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-24765</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-7620</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June 30, 2023, the Company’s potentially dilutive securities consisted of options to purchase common stock. As of June 30, 2022, the Company's potentially dilutive securities consisted of redeemable convertible preferred stock and options to purchase common stock. Based on the amounts outstanding as of the three and six months ended June 30, 2023 and 2022, the Company excluded the following potential common shares from the computation of diluted net loss per share because including them would have had an anti-dilutive effect:</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2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r>
      <w:tr>
        <w:trPr>
          <w:trHeight w:val="182"/>
        </w:trPr>
        <w:tc>
          <w:tcPr>
            <w:tcW w:w="4480" w:type="dxa"/>
            <w:vAlign w:val="bottom"/>
          </w:tcPr>
          <w:p>
            <w:pPr>
              <w:spacing w:after="0"/>
              <w:rPr>
                <w:sz w:val="15"/>
                <w:szCs w:val="15"/>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Time-based options outstanding</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140,135</w:t>
            </w: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98"/>
              </w:rPr>
              <w:t>140,135</w:t>
            </w:r>
          </w:p>
        </w:tc>
        <w:tc>
          <w:tcPr>
            <w:tcW w:w="2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140,135</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140,135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140,135</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w w:val="98"/>
              </w:rPr>
              <w:t>140,135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140,135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140,135</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-153670</wp:posOffset>
            </wp:positionV>
            <wp:extent cx="5969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-153670</wp:posOffset>
            </wp:positionV>
            <wp:extent cx="5969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-153670</wp:posOffset>
            </wp:positionV>
            <wp:extent cx="5143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-153670</wp:posOffset>
            </wp:positionV>
            <wp:extent cx="51435"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154305"/>
                    </a:xfrm>
                    <a:prstGeom prst="rect">
                      <a:avLst/>
                    </a:prstGeom>
                    <a:noFill/>
                  </pic:spPr>
                </pic:pic>
              </a:graphicData>
            </a:graphic>
          </wp:anchor>
        </w:drawing>
      </w:r>
    </w:p>
    <w:p>
      <w:pPr>
        <w:spacing w:after="0" w:line="21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Our performance-based stock options were excluded from the diluted earnings per share calculations for the three and six months ended June 30, 2022 because all necessary performance conditions were not satisfied by June 30, 2022. Our performance-based stock options excluded from diluted earnings per share for the three and six months ended June 30, 2022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12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2"/>
        </w:trPr>
        <w:tc>
          <w:tcPr>
            <w:tcW w:w="12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3"/>
        </w:trPr>
        <w:tc>
          <w:tcPr>
            <w:tcW w:w="1240" w:type="dxa"/>
            <w:vAlign w:val="bottom"/>
          </w:tcPr>
          <w:p>
            <w:pPr>
              <w:spacing w:after="0"/>
              <w:rPr>
                <w:sz w:val="19"/>
                <w:szCs w:val="19"/>
                <w:color w:val="auto"/>
              </w:rPr>
            </w:pPr>
          </w:p>
        </w:tc>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Performance-based options outstanding</w:t>
            </w:r>
          </w:p>
        </w:tc>
        <w:tc>
          <w:tcPr>
            <w:tcW w:w="6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534,063</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534,063</w:t>
            </w:r>
          </w:p>
        </w:tc>
        <w:tc>
          <w:tcPr>
            <w:tcW w:w="80" w:type="dxa"/>
            <w:vAlign w:val="bottom"/>
            <w:tcBorders>
              <w:bottom w:val="single" w:sz="8" w:color="CFF0FC"/>
            </w:tcBorders>
            <w:shd w:val="clear" w:color="auto" w:fill="CFF0FC"/>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534,063</w:t>
            </w:r>
          </w:p>
        </w:tc>
        <w:tc>
          <w:tcPr>
            <w:tcW w:w="22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534,063</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634"/>
        </w:trPr>
        <w:tc>
          <w:tcPr>
            <w:tcW w:w="1240" w:type="dxa"/>
            <w:vAlign w:val="bottom"/>
          </w:tcPr>
          <w:p>
            <w:pPr>
              <w:spacing w:after="0"/>
              <w:rPr>
                <w:sz w:val="24"/>
                <w:szCs w:val="24"/>
                <w:color w:val="auto"/>
              </w:rPr>
            </w:pPr>
          </w:p>
        </w:tc>
        <w:tc>
          <w:tcPr>
            <w:tcW w:w="4740" w:type="dxa"/>
            <w:vAlign w:val="bottom"/>
            <w:gridSpan w:val="2"/>
          </w:tcPr>
          <w:p>
            <w:pPr>
              <w:jc w:val="right"/>
              <w:ind w:right="188"/>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1"/>
        </w:trPr>
        <w:tc>
          <w:tcPr>
            <w:tcW w:w="124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-633095</wp:posOffset>
            </wp:positionV>
            <wp:extent cx="5969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-633095</wp:posOffset>
            </wp:positionV>
            <wp:extent cx="5969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-633095</wp:posOffset>
            </wp:positionV>
            <wp:extent cx="5143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-633095</wp:posOffset>
            </wp:positionV>
            <wp:extent cx="5143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16 – SUBSEQUENT EVENTS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evaluated all events occurring through June 30, 2023, the date on which the accompanying unaudited condensed consolidated financial statements were issued, and during which time, nothing has occurred outside the normal course of business operation that would require disclosure, except for the following:</w:t>
      </w:r>
    </w:p>
    <w:p>
      <w:pPr>
        <w:spacing w:after="0" w:line="183" w:lineRule="exact"/>
        <w:rPr>
          <w:sz w:val="20"/>
          <w:szCs w:val="20"/>
          <w:color w:val="auto"/>
        </w:rPr>
      </w:pPr>
    </w:p>
    <w:p>
      <w:pPr>
        <w:jc w:val="center"/>
        <w:ind w:right="480"/>
        <w:spacing w:after="0" w:line="494" w:lineRule="auto"/>
        <w:rPr>
          <w:sz w:val="20"/>
          <w:szCs w:val="20"/>
          <w:color w:val="auto"/>
        </w:rPr>
      </w:pPr>
      <w:r>
        <w:rPr>
          <w:rFonts w:ascii="Arial" w:cs="Arial" w:eastAsia="Arial" w:hAnsi="Arial"/>
          <w:sz w:val="18"/>
          <w:szCs w:val="18"/>
          <w:color w:val="auto"/>
        </w:rPr>
        <w:t>On July 12, 2023, the Company terminated its interest rate swap which resulted in a payment of $0.4 million from PNC to the Company.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Furnish the information required by Item 303 of Regulation S-K (§ 229.303 of this chapter).</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Drilling Tools International Holdings, Inc. (“DTIH”) entered into a business combination agreement (the “Agreement”) with ROC Energy Acquisition Corp. (“ROC”) on February 13, 2023. The transactions contemplated by the Agreement (the “Business Combination”) were completed on June 20, 2023, and in conjunction therewith ROC changed its name to Drilling Tools International Corporation (“DTIC” and, together with its subsidiaries, “DTI”, the “Company”, “we”, “us” or “our”, unless the context otherwise requires).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financial statements and the related notes included under Part I, Item 1 of this Quarterly Report on Form 10-Q (the “Report”) as well as DTIH’s audited consolidated financial statements and notes thereto included in the prospectus/proxy statement/consent solicitation statement, dated May 12, 2023, and filed with the SEC. The following discussion contains forward-looking statements based upon current expectations that involve risks, uncertainties and assumptions. Our actual results may differ materially from those anticipated in these forward-looking statements as a result of various factors, including those set forth under the sections titled “Risk Factors” and “Cautionary Note Regarding Forward-Looking Statements” or in other parts of this Report. Our historical results are not necessarily indicative of the results that may be expected for any period in the future. All dollar amounts are expressed in thousands of United States dollars (“$”), unless otherwise indicated.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in this section, but not otherwise defined, have the meanings ascribed to them in the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We are a leading oilfield services company, based on the percentage of active rigs to which we supply tools in the geographies in which we are active, that rents downhole drilling tools used in horizontal and directional drilling of oil and natural gas. We operate from 18 locations in North America and four international locations in Europe and the Middle East and maintain a large fleet of rental equipment consisting of drill collars, stabilizers, crossover subs, wellbore conditioning tools, drill pipe, hevi</w:t>
      </w:r>
      <w:r>
        <w:rPr>
          <w:rFonts w:ascii="MS PGothic" w:cs="MS PGothic" w:eastAsia="MS PGothic" w:hAnsi="MS PGothic"/>
          <w:sz w:val="18"/>
          <w:szCs w:val="18"/>
          <w:color w:val="auto"/>
        </w:rPr>
        <w:t>‑</w:t>
      </w:r>
      <w:r>
        <w:rPr>
          <w:rFonts w:ascii="Arial" w:cs="Arial" w:eastAsia="Arial" w:hAnsi="Arial"/>
          <w:sz w:val="18"/>
          <w:szCs w:val="18"/>
          <w:color w:val="auto"/>
        </w:rPr>
        <w:t>wate drill pipe and tubing. We also rent surface control equipment such as blowout preventers and handling tools and provide downhole products for producing wells.</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model primarily centers on revenue generated from tool rentals and product sales. We generated revenue from total tool rentals and product sales of $37.9 million and $30.4 million for the three months ended June 30, 2023 and 2022, respectively, and had net income of $0.9 million and $5.9 million for those same periods. Additionally, we generated revenue from tool rentals and product sales of $78.7 million and $56.3 million for the six months ended June 30, 2023 and 2022, respectively, and had net income of $6.6 million and $7.3 million for those same periods, respectively. We have incurred significant operating losses since inception. As of June 30, 2023, we had cash and cash equivalents of $7.2 million, and an accumulated deficit of $14.4 million.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future financial performance will be driven by continued investment in oil and gas drilling following years of industry underinvestment.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Factors</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tool rental revenues are primarily dependent on drilling activity and our ability to gain or maintain market share with a sustainable pricing model.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1" w:name="page32"/>
    <w:bookmarkEnd w:id="31"/>
    <w:p>
      <w:pPr>
        <w:jc w:val="both"/>
        <w:ind w:right="20"/>
        <w:spacing w:after="0" w:line="259" w:lineRule="auto"/>
        <w:rPr>
          <w:sz w:val="20"/>
          <w:szCs w:val="20"/>
          <w:color w:val="auto"/>
        </w:rPr>
      </w:pPr>
      <w:r>
        <w:rPr>
          <w:rFonts w:ascii="Arial" w:cs="Arial" w:eastAsia="Arial" w:hAnsi="Arial"/>
          <w:sz w:val="18"/>
          <w:szCs w:val="18"/>
          <w:color w:val="auto"/>
        </w:rPr>
        <w:t>Our product sales revenues are primarily dependent on oil &amp; gas companies paying for tools that are lost or damaged in their drilling programs as well as the drilling contractors need to replace aging or consumable products and our ability to provide competitive pricing.</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with a specific customer.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Trends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Update</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2020 and early 2021, demand for oil significantly declined as a result of the COVID-19 pandemic and other factors. Oil prices have since increased due in part to an increase in demand and measured production increases by OPEC+ members. However, prices remained volatile through 2022. In the first half of 2022, West Texas Intermediate (“WTI”) oil prices and volatility thereof increased dramatically, in large part due to Russia’s invasion of Ukraine. Russia has since been subject to a host of sanctions, some of which limit its ability to export crude oil and other petroleum products. The anticipated impact on supply drove WTI oil prices above $106 per barrel in June 2022.</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By the end of December 2022, WTI oil prices declined to approximately $80 per barrel due in part to high inflation rates and fears of a global recession that could negatively impact oil demand. WTI oil prices declined further during the first quarter of 2023, reaching a low of $67 per barrel in the middle of March, following turmoil in the banking sector, which escalated fears of a global recession and a concomitant decline in oil demand. However, in April 2023, WTI oil prices returned to the low-$80s per barrel range, due in part to OPEC+’s decision to further cut production by approximately 1.2 million barrels per day. This production cut was effective as of May 2023 and is expected to continue through the end of the year. As of June 30, 2023, the WTI oil price was approximately $71 per barrel.</w:t>
      </w:r>
    </w:p>
    <w:p>
      <w:pPr>
        <w:spacing w:after="0" w:line="179" w:lineRule="exact"/>
        <w:rPr>
          <w:sz w:val="20"/>
          <w:szCs w:val="20"/>
          <w:color w:val="auto"/>
        </w:rPr>
      </w:pPr>
    </w:p>
    <w:p>
      <w:pPr>
        <w:jc w:val="both"/>
        <w:ind w:right="20"/>
        <w:spacing w:after="0" w:line="211" w:lineRule="exact"/>
        <w:rPr>
          <w:sz w:val="20"/>
          <w:szCs w:val="20"/>
          <w:color w:val="auto"/>
        </w:rPr>
      </w:pPr>
      <w:r>
        <w:rPr>
          <w:rFonts w:ascii="Arial" w:cs="Arial" w:eastAsia="Arial" w:hAnsi="Arial"/>
          <w:sz w:val="18"/>
          <w:szCs w:val="18"/>
          <w:color w:val="auto"/>
        </w:rPr>
        <w:t>Despite the high volatility in spot oil prices described above, our customers tend to be more focused on medium-term and long</w:t>
      </w:r>
      <w:r>
        <w:rPr>
          <w:rFonts w:ascii="MS PGothic" w:cs="MS PGothic" w:eastAsia="MS PGothic" w:hAnsi="MS PGothic"/>
          <w:sz w:val="18"/>
          <w:szCs w:val="18"/>
          <w:color w:val="auto"/>
        </w:rPr>
        <w:t>‑</w:t>
      </w:r>
      <w:r>
        <w:rPr>
          <w:rFonts w:ascii="Arial" w:cs="Arial" w:eastAsia="Arial" w:hAnsi="Arial"/>
          <w:sz w:val="18"/>
          <w:szCs w:val="18"/>
          <w:color w:val="auto"/>
        </w:rPr>
        <w:t>term commodity prices when making investment decisions due to the longer lead times for offshore projects. These forward prices experienced far less volatility in 2022 and the first half of 2023 and have maintained levels which are highly constructive for offshore project demand.</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Prices for natural gas have declined throughout the second quarter of 2023 in the United States due to several factors including a decrease in demand for heating due to a warmer winter in the first quarter, leading to increased inventory and eased pricing in the second quarter, ample natural gas supply, and turmoil in the banking sector that has weighed on commodities. Henry Hub natural gas spot prices have decreased from an average of $7.70 per one million British Thermal Units (“MMBtu”) in June 2022 to $5.53 per MMBtu for December 2022 and $2.18 per MMBtu in June 2023.</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ongoing conflict in Ukraine has caused uncertainty in the oil and natural gas markets, and the financial markets, both globally and in the United States. Such uncertainty already has and could continue to cause stock price volatility and supply chain disruptions as well as higher oil and natural gas prices. These could result in higher inflation worldwide, impact consumer spending and negatively impact demand for our goods and services. Moreover, additional interest rate increases by the U.S. Federal Reserve to combat inflation could further increase the probability of a recession.</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Notwithstanding the significant commodity price volatility over the past several years, we have seen increases in United States onshore drilling activity. During the three and six months ended June 30, 2023, the weekly average U.S. onshore rig count as reported by Baker Hughes was 719 and 740 rigs, respectively, compared to 716 and 678 rigs for the three and six months ended June 30, 2022, respectively. Current rig activity remains significantly reduced from 2019 levels when the weekly average rig count for the three and six months ended June 30, 2019 was 989 and 1016, respectively. However, notwithstanding the impact of longer laterals, improved rig efficiencies have partially offset the impact of this reduction.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Increased Costs</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 To date, we do not believe that inflation has had a material impact to our financial condition or results of operations because we have been able to increase the prices we receive from our customers.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number of financial and operational measures to routinely analyze and evaluate the performance of our business, including revenue, net and non-GAAP measures Adjusted EBITDA and Free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net</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analyze our performance by comparing actual monthly revenue to revenue trends and revenue forecasts by product line as well as tool activity trends for each month. Our revenue is primarily derived from tool rental and product sales.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regularly evaluate our financial performance using Adjusted EBITDA. Our management believes Adjusted EBITDA is a useful financial performance measure as it excludes non-cash charges and other transactions not related to our core operating activities and allows more meaningful analysis of the trends and performance of our core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define Free Cash Flow as net cash provided by (used in) operating activities, reduced by purchases of property, plant and equipment. Free Cash Flow is a supplemental non-GAAP financial measure that is used by our management and other external users of our financial statements, such as industry analysts, investors, lenders, rating agencies and others to assess our ability to internally fund our capital program, service or incur additional debt and to pay dividends. We believe Free Cash Flow is a useful liquidity measure because it allows us and others to compare cash flow provided by operating activities across periods and to assess our ability to internally fund our capital program, fund acquisitions and pay dividends to our stockholders whereas applicable.</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Please refer to the section titled “Non-GAAP Financial Measures” for a reconciliation of Adjusted EBITDA to net (loss) income, the most directly comparable financial performance measure calculated and presented in accordance with GAAP and a reconciliation of free cash flow to net cash provided by (used in) operating activities, the most directly comparable liquidity measure calculated and presented in accordance with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discussion below relating to significant line items from our interim unaudited consolidated statements of income and comprehensive income are based on available information and represent our analysis of significant changes or events that impact the comparability of the reported amount. Where appropriate, we have identified specific events and changes that affect comparability or trends and, where reasonably practicable, we have quantified the impact of such items.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net</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currently generate our revenue, net from tool rental services and product sales. Tool rental services consist of rental services, inspection services, and repair services is accounted for under Topic 842. We recognize revenues from renting tools on a straight-line basis. Our rental contract periods are daily, monthly, per well, or based on footage. As part of this straight-line methodology, when the equipment is returned, we recognize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rental tool recovery component of product sales revenue is recognized when a tool is deemed to be lost-in-hole, damaged-beyond-repair, or lost-in-transit while in the care, custody, or control of the customer. Other made to order product sales revenue is recognized when the product is made available to the customer for pickup at our shipping dock.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expect our tool rental services revenue to increase over time as a function of an increase in drilling activity and customer pricing.</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our product sales revenue to increase over time as a function of oil &amp; gas companies drilling faster and harder thereby pushing the limits of downhole drilling tools and often contributing to tools being lost-in-hole or damaged-beyond-repair. In addition, product sales revenue should increase as drilling contractors replace aged and consumable products to maintain or increase capacity.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costs and expenses consist of cost of revenue, selling, general, administrative expense, and depreciation and amortization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cost of revenue consist primarily of all direct and indirect expenses related to providing our tool rental services offering and delivering our product sales, including personnel-related expenses and costs associated with maintaining the facilities.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our total cost of tool rental revenue and our total cost of product sale revenue to increase in absolute dollars in future periods, corresponding to our anticipated growth in revenue and employee headcount to support our customers and to maintain the manufacturing, operations and field service team with some expected cost inflation.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gross margins will continue to improve slightly as we leverage our existing cost structure to support an increase in our business activity. In addition, we expect that customer price increases will help offset cost inflation.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and administrative expenses consist primarily of personnel-related expenses, including salaries, benefits and stock-based compensation for personnel and outside professional services expenses including legal, audit and accounting services, insurance, other administrative expenses and allocated facility costs for our administrative functions.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expect our operating expenses to increase in absolute dollars for the foreseeable future as a result of operating as a public company. In particular, we expect our legal, accounting, tax, personnel-related expenses and directors’ and officers’ insurance costs reported within general and administrative expense to increase as we establish more comprehensive compliance and governance functions, increased security and IT compliance, review internal controls over financial reporting in accordance with the Sarbanes-Oxley Act of 2002, as amended, and prepare and distribute periodic reports as required by the rules and regulations of the U.S. Securities and Exchange Commission. As a result, our historical results of operations may not be indicative of our results of operations in future periods.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expenses consist primarily of personnel-related expenses, including salaries, benefits and stock-based compensation for personnel, direct advertising, marketing and promotional material costs, sales commission expense, consulting fees and allocated facility costs for our sales and marketing functions.</w:t>
      </w:r>
    </w:p>
    <w:p>
      <w:pPr>
        <w:spacing w:after="0" w:line="18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intend to increase investments in our sales and marketing organization to drive additional revenue, expand our global customer base, and broaden our brand awareness. We expect our sales and marketing expenses to continue to increase in absolute dollars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Depreciation and amortization expense relates to the consumption of our property and equipment, which consists of rental tools, shop equipment, computer equipment, furniture and fixtures and leasehold improvements, and the amortization of our intangible assets mainly related to customer relationships, software and partnerships.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income (expense), net is primarily comprised of interest income (expense), gain on sale of property, unrealized gain (loss) on securities, and other miscellaneous income and expense unrelated to our core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our results of operations for the periods presented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5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 net: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Tool rental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29,002</w:t>
            </w: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23,024</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43,440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sale</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8,906</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7,348</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17,429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12,909</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revenue, net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37,908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78,707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and expenses: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Cost of tool rental revenue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7,692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15,829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sale revenue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Selling, general, administrative 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17,718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34,447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4,717</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9,732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31,284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(348 )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(213 )</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(922 )</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Gain (loss) on sale of property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(loss) on equity securities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(87 )</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(4,382 )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(6,035 )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other (expense) income, net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(4,311 )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(323 )</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(6,502 )</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2,313</w:t>
            </w: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22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9,737</w:t>
            </w: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(1,376 )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(1,791 )</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(3,099 )</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937</w:t>
            </w: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22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6,638</w:t>
            </w: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Revenue, net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5800" w:type="dxa"/>
            <w:vAlign w:val="bottom"/>
          </w:tcPr>
          <w:p>
            <w:pPr>
              <w:spacing w:after="0"/>
              <w:rPr>
                <w:sz w:val="20"/>
                <w:szCs w:val="20"/>
                <w:color w:val="auto"/>
              </w:rPr>
            </w:pPr>
            <w:r>
              <w:rPr>
                <w:rFonts w:ascii="Arial" w:cs="Arial" w:eastAsia="Arial" w:hAnsi="Arial"/>
                <w:sz w:val="18"/>
                <w:szCs w:val="18"/>
                <w:color w:val="auto"/>
              </w:rPr>
              <w:t>Our revenue, net consists of tool rental and product sale revenues.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Quarters Ended 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Tool rental</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23,024</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Product sale</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8,906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7,348</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-4074795</wp:posOffset>
            </wp:positionV>
            <wp:extent cx="76835"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-4074795</wp:posOffset>
            </wp:positionV>
            <wp:extent cx="6858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-4074795</wp:posOffset>
            </wp:positionV>
            <wp:extent cx="6858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-4074795</wp:posOffset>
            </wp:positionV>
            <wp:extent cx="6858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-3184525</wp:posOffset>
            </wp:positionV>
            <wp:extent cx="76835"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-3184525</wp:posOffset>
            </wp:positionV>
            <wp:extent cx="6858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-3184525</wp:posOffset>
            </wp:positionV>
            <wp:extent cx="68580"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-3184525</wp:posOffset>
            </wp:positionV>
            <wp:extent cx="68580" cy="162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-1994535</wp:posOffset>
            </wp:positionV>
            <wp:extent cx="76835"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-1994535</wp:posOffset>
            </wp:positionV>
            <wp:extent cx="6858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-1994535</wp:posOffset>
            </wp:positionV>
            <wp:extent cx="6858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-1694815</wp:posOffset>
            </wp:positionV>
            <wp:extent cx="76835"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-1694815</wp:posOffset>
            </wp:positionV>
            <wp:extent cx="68580"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-1694815</wp:posOffset>
            </wp:positionV>
            <wp:extent cx="6858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Tool rental revenue increased $6.0 million, or 26%, to $29.0 million for the three months ended June 30, 2023 as compared to $23.0 million for the three months ended June 30, 2022. The increase was primarily driven by increased market activity and customer pricing across all divisions, especially in relation to our Directional Tool Rentals (“DTR”) division, the revenue of which increased $6.1 million.</w:t>
      </w:r>
    </w:p>
    <w:p>
      <w:pPr>
        <w:spacing w:after="0" w:line="18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Product sale revenue increased $ 1.6 million, or 21%, to $ 8.9 million for the three months ended June 30, 2023 as compared to $ 7.3 million for the three months ended June 30, 2022. The increase was primarily driven by increased market activity and customer pricing across all divisions. The increase was primarily driven by market activity due to customer behavior, especially in relation to our rental tool recovery sales revenue. Increased demand has led our customers to increase the speed of operations, resulting in additional fees collected on tool recovery for rental equipment that is non-recoverable or damaged.</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8"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cost of revenue consists of cost of tool rental revenue and cost of product sale revenue.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Quarters Ended June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Cost of tool rental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7,692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6,678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Cost of product sale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(105 )</w:t>
            </w:r>
          </w:p>
        </w:tc>
        <w:tc>
          <w:tcPr>
            <w:tcW w:w="4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Cost of tool rental revenue increased $1.0 million, or 15%, to $7.7 million for the three months ended June 30, 2023 as compared to $6.7 million for the for the three months ended June 30, 2022. The increase in cost of tool rental revenue was primarily driven by increased directional tool rental activity year-over-year. The primary increase was to our DTR division, the cost of tool rental revenue of which increased $1.1 million. This was partially offset by a $0.1 million combined decrease in our Premium Tools (“PT”) and Drill-N-Ream divisions.</w:t>
      </w:r>
    </w:p>
    <w:p>
      <w:pPr>
        <w:spacing w:after="0" w:line="190"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Cost of product sale revenue decreased $0.1 million, or 8%, to $1.2 million for the three months ended June 30, 2023 as compared to $1.3 million for the for the three months ended June 30, 2022. The decrease in cost of product sale revenue was primarily driven by a decrease in cost of lost-in-hole revenue of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Administrative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Quarters Ended June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Selling, general, administrative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17,718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9,498</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general, and administrative expenses increased $ 8.2 million, or 87%, to $17.7 million for the three months ended June 30, 2023 as compared to $9.5 million for the three months ended June 30, 2022. This increase was primarily driven by a:</w:t>
      </w:r>
    </w:p>
    <w:p>
      <w:pPr>
        <w:spacing w:after="0" w:line="200" w:lineRule="exact"/>
        <w:rPr>
          <w:sz w:val="20"/>
          <w:szCs w:val="20"/>
          <w:color w:val="auto"/>
        </w:rPr>
      </w:pPr>
    </w:p>
    <w:p>
      <w:pPr>
        <w:jc w:val="both"/>
        <w:ind w:left="760" w:right="100" w:hanging="378"/>
        <w:spacing w:after="0" w:line="24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$4.3 million related to Employee Retention Credits (“ERC Benefits”) we qualified for during the six months ended June 30, 2022 related to the COVID-19 Coronavirus Aid, Relief, and Economic Security Act. These ERC Benefits were included in selling, general, administrative expense as an offset to the related compensation expenses,</w:t>
      </w:r>
    </w:p>
    <w:p>
      <w:pPr>
        <w:spacing w:after="0" w:line="210"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 million increase in stock-based compensation expense as a result of the Business Combination,</w:t>
      </w:r>
    </w:p>
    <w:p>
      <w:pPr>
        <w:spacing w:after="0" w:line="251"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 million increase in personnel-related expenses, and</w:t>
      </w:r>
    </w:p>
    <w:p>
      <w:pPr>
        <w:spacing w:after="0" w:line="251"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$0.2 million increase in monitoring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other driver of this increase was individually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Quarters Ended June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4,717</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(169 )</w:t>
            </w:r>
          </w:p>
        </w:tc>
        <w:tc>
          <w:tcPr>
            <w:tcW w:w="3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Depreciation and amortization expenses decreased $0.2 million, or 3%, to $4.7 million for the three months ended June 30, 2023 as compared to $4.9 million for the three months ended June 30, 2022. The decrease was primarily due a decrease in depreciation expense resulting from assets reaching the end of their depreciable lives and a decrease in amortization expense as certain intangible assets reached the end of their useful lives.</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Quarters Ended June 30,</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jc w:val="right"/>
              <w:ind w:right="562"/>
              <w:spacing w:after="0"/>
              <w:rPr>
                <w:sz w:val="20"/>
                <w:szCs w:val="20"/>
                <w:color w:val="auto"/>
              </w:rPr>
            </w:pPr>
            <w:r>
              <w:rPr>
                <w:rFonts w:ascii="Arial" w:cs="Arial" w:eastAsia="Arial" w:hAnsi="Arial"/>
                <w:sz w:val="18"/>
                <w:szCs w:val="18"/>
                <w:color w:val="auto"/>
                <w:w w:val="99"/>
              </w:rPr>
              <w:t>$</w:t>
            </w:r>
          </w:p>
        </w:tc>
        <w:tc>
          <w:tcPr>
            <w:tcW w:w="1400" w:type="dxa"/>
            <w:vAlign w:val="bottom"/>
            <w:gridSpan w:val="3"/>
          </w:tcPr>
          <w:p>
            <w:pPr>
              <w:jc w:val="right"/>
              <w:ind w:right="548"/>
              <w:spacing w:after="0"/>
              <w:rPr>
                <w:sz w:val="20"/>
                <w:szCs w:val="20"/>
                <w:color w:val="auto"/>
              </w:rPr>
            </w:pPr>
            <w:r>
              <w:rPr>
                <w:rFonts w:ascii="Arial" w:cs="Arial" w:eastAsia="Arial" w:hAnsi="Arial"/>
                <w:sz w:val="18"/>
                <w:szCs w:val="18"/>
                <w:color w:val="auto"/>
              </w:rPr>
              <w:t>(348 )  $</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(213 )  $</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(135 )</w:t>
            </w: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Interest expense increased $0.1 million, or 63%, to $0.3 million for the three months ended June 30, 2023 as compared to $0.2 million for the three months ended June 30, 2022 primarily due to the change in unrealized gain on the interest rate swap.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 (Loss) on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21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Quarters Ended June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Unrealized gain (loss) on equity securities</w:t>
            </w:r>
          </w:p>
        </w:tc>
        <w:tc>
          <w:tcPr>
            <w:tcW w:w="780" w:type="dxa"/>
            <w:vAlign w:val="bottom"/>
          </w:tcPr>
          <w:p>
            <w:pPr>
              <w:jc w:val="right"/>
              <w:ind w:right="58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420</w:t>
            </w:r>
          </w:p>
        </w:tc>
        <w:tc>
          <w:tcPr>
            <w:tcW w:w="10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(87 )  $</w:t>
            </w:r>
          </w:p>
        </w:tc>
        <w:tc>
          <w:tcPr>
            <w:tcW w:w="88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Unrealized gain on equity securities increased by $0.5 million, or 583%, to $0.4 million for the three months ended June 30, 2023 as compared to ($0.1) million for the three months ended June 30, 2022 primarily due to favorable market conditions in 2023 as compared to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Quarters Ended June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(4,382 )</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(23 )  $</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(4,359 )</w:t>
            </w: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3"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Other expense for the three months ended June 30, 2023 was $4.4 million, an increase of $4.4 million, or 18952%, compared to the three months ended June 30, 2022. The increase was primarily due to transaction costs and accelerated stock-based compensation expense as a result of the Business Combination of $4.2 million with no comparable activity in the first quarter of 2022.</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revenue, net consists of tool rental and product sale revenues.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6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Tool rental</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61,278</w:t>
            </w:r>
          </w:p>
        </w:tc>
        <w:tc>
          <w:tcPr>
            <w:tcW w:w="114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43,440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Product sale</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17,429</w:t>
            </w:r>
          </w:p>
        </w:tc>
        <w:tc>
          <w:tcPr>
            <w:tcW w:w="114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12,909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9"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Tool rental revenue increased $17.8 million, or 41%, to $61.3 million for the six months ended June 30, 2023 as compared to $43.4 million for the six months ended June 30, 2022. The increase was primarily driven by increased market activity and customer pricing across all divisions, especially in relation to our DTR division, the revenue of which increased $12.2 million and our PT division, the revenue of which increased $5.9 million.</w:t>
      </w:r>
    </w:p>
    <w:p>
      <w:pPr>
        <w:spacing w:after="0" w:line="190"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Product sale revenue increased $4.5 million, or 35%, to $17.4 million for the six months ended June 30, 2023 as compared to $12.9 million for the six months ended June 30, 2022. The increase was primarily driven by increased market activity and customer pricing across all divisions, which collectively increased other products and services by $1.7 million. The increased market activity and customer pricing also impacted our rental tool recovery sales revenue, which collectively increased $2.8 million.</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cost of revenue consists of cost of tool rental revenue and cost of product sale revenue.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Cost of tool rental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15,829</w:t>
            </w:r>
          </w:p>
        </w:tc>
        <w:tc>
          <w:tcPr>
            <w:tcW w:w="11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12,992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2,837</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Cost of product sale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2,460</w:t>
            </w:r>
          </w:p>
        </w:tc>
        <w:tc>
          <w:tcPr>
            <w:tcW w:w="11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2,413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9"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Cost of tool rental revenue increased $2.8 million, or 22%, to $15.8 million for the six months ended June 30, 2023 as compared to $13.0 million for the for the six months ended June 30, 2022. The increase in cost of tool rental revenue was primarily driven by increased directional tool rental activity year-over-year. The primary increases were for our DTR division, the cost of tool rental revenue of which increased $2.4 million, and our PT division, the cost of tool rental revenue of which increased $0.5 million.</w:t>
      </w:r>
    </w:p>
    <w:p>
      <w:pPr>
        <w:spacing w:after="0" w:line="190"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Cost of product sale revenue increased $47 thousand, or 2%, to $2.5 million for the six months ended June 30, 2023 as compared to $2.4 million for the for the six months ended June 30, 2022. The increase in cost of product sale revenue was primarily driven by an increase in product sales year-over-year.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Administrative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6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Selling, general, administrative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34,447</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21,732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12,715</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general, and administrative expenses increased $12.7 million, or 59%, to $34.4 million for the six months ended June 30, 2023 as compared to $21.7 million for the six months ended June 30, 2022. This increase was primarily driven by a:</w:t>
      </w:r>
    </w:p>
    <w:p>
      <w:pPr>
        <w:spacing w:after="0" w:line="200"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$4.9 million increase in personnel-related expenses,</w:t>
      </w:r>
    </w:p>
    <w:p>
      <w:pPr>
        <w:spacing w:after="0" w:line="251" w:lineRule="exact"/>
        <w:rPr>
          <w:rFonts w:ascii="Arial" w:cs="Arial" w:eastAsia="Arial" w:hAnsi="Arial"/>
          <w:sz w:val="18"/>
          <w:szCs w:val="18"/>
          <w:color w:val="auto"/>
        </w:rPr>
      </w:pPr>
    </w:p>
    <w:p>
      <w:pPr>
        <w:jc w:val="both"/>
        <w:ind w:left="760" w:right="100" w:hanging="378"/>
        <w:spacing w:after="0" w:line="24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$4.3 million related to ERC Benefits we qualified for during the six months ended June 30, 2022 related to the COVID-19 Coronavirus Aid, Relief, and Economic Security Act. These ERC Benefits were included in selling, general, administrative expense as an offset to the related compensation expenses,</w:t>
      </w:r>
    </w:p>
    <w:p>
      <w:pPr>
        <w:spacing w:after="0" w:line="210"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 million increase in stock-based compensation expense as a result of the Business Combination,</w:t>
      </w:r>
    </w:p>
    <w:p>
      <w:pPr>
        <w:spacing w:after="0" w:line="25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increase in credit card transaction fees,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increase in bad debt expense,</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increase in monitoring fees,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$0.2 million increase in freight expense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$0.2 million increase in rent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other driver of this increase was individually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298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1280" w:type="dxa"/>
            <w:vAlign w:val="bottom"/>
          </w:tcPr>
          <w:p>
            <w:pPr>
              <w:jc w:val="right"/>
              <w:ind w:right="109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9,732</w:t>
            </w:r>
          </w:p>
        </w:tc>
        <w:tc>
          <w:tcPr>
            <w:tcW w:w="10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9,962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(230 )</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(2 )%</w:t>
            </w:r>
          </w:p>
        </w:tc>
      </w:tr>
      <w:tr>
        <w:trPr>
          <w:trHeight w:val="634"/>
        </w:trPr>
        <w:tc>
          <w:tcPr>
            <w:tcW w:w="5140" w:type="dxa"/>
            <w:vAlign w:val="bottom"/>
          </w:tcPr>
          <w:p>
            <w:pPr>
              <w:spacing w:after="0"/>
              <w:rPr>
                <w:sz w:val="24"/>
                <w:szCs w:val="24"/>
                <w:color w:val="auto"/>
              </w:rPr>
            </w:pPr>
          </w:p>
        </w:tc>
        <w:tc>
          <w:tcPr>
            <w:tcW w:w="1280" w:type="dxa"/>
            <w:vAlign w:val="bottom"/>
          </w:tcPr>
          <w:p>
            <w:pPr>
              <w:jc w:val="right"/>
              <w:ind w:right="619"/>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48" w:right="239" w:bottom="1440" w:gutter="0" w:footer="0" w:header="0"/>
        </w:sectPr>
      </w:pPr>
    </w:p>
    <w:bookmarkStart w:id="38" w:name="page39"/>
    <w:bookmarkEnd w:id="38"/>
    <w:p>
      <w:pPr>
        <w:jc w:val="both"/>
        <w:ind w:right="60"/>
        <w:spacing w:after="0" w:line="242" w:lineRule="auto"/>
        <w:rPr>
          <w:sz w:val="20"/>
          <w:szCs w:val="20"/>
          <w:color w:val="auto"/>
        </w:rPr>
      </w:pPr>
      <w:r>
        <w:rPr>
          <w:rFonts w:ascii="Arial" w:cs="Arial" w:eastAsia="Arial" w:hAnsi="Arial"/>
          <w:sz w:val="18"/>
          <w:szCs w:val="18"/>
          <w:color w:val="auto"/>
        </w:rPr>
        <w:t>Depreciation and amortization expenses decreased $0.2 million, or 2%, to $ 9.7 million for the six months ended June 30, 2023 as compared to $10.0 million for the six months ended June 30, 2022. The decrease was primarily due a decrease in depreciation expense resulting from assets reaching the end of their depreciable lives and a decrease in amortization expense as certain intangible assets reached the end of their useful lives.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right"/>
              <w:ind w:right="708"/>
              <w:spacing w:after="0"/>
              <w:rPr>
                <w:sz w:val="20"/>
                <w:szCs w:val="20"/>
                <w:color w:val="auto"/>
              </w:rPr>
            </w:pPr>
            <w:r>
              <w:rPr>
                <w:rFonts w:ascii="Arial" w:cs="Arial" w:eastAsia="Arial" w:hAnsi="Arial"/>
                <w:sz w:val="18"/>
                <w:szCs w:val="18"/>
                <w:color w:val="auto"/>
              </w:rPr>
              <w:t>(922 )  $</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(926 )</w:t>
            </w: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23150 %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3"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For the six months ended June 30, 2023 we had interest expense of $0.9 million as compared to interest income of $4 thousand for the six months ended June 30, 2022. This change of $0.9 million or 23150% was primarily due to the change in unrealized gain on the interest rate swap.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Property</w:t>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Gain on sale of property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-144780</wp:posOffset>
            </wp:positionV>
            <wp:extent cx="7055485"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55485" cy="145415"/>
                    </a:xfrm>
                    <a:prstGeom prst="rect">
                      <a:avLst/>
                    </a:prstGeom>
                    <a:noFill/>
                  </pic:spPr>
                </pic:pic>
              </a:graphicData>
            </a:graphic>
          </wp:anchor>
        </w:drawing>
      </w:r>
    </w:p>
    <w:p>
      <w:pPr>
        <w:spacing w:after="0" w:line="169"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Gain on the sale of property increased $0.1 million, or 1260%, to $ 68 thousand for the six months ended June 30, 2023 as compared to $5 thousand for the six months ended June 30, 2022. The immaterial increase is driven by a decrease in the selling price of the property sold compared to its net book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 on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Unrealized gain on equity securities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  387</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Unrealized gain on equity securities increased by $0.1 million, or 20%, to $0.4 million for the six months ended June 30, 2023 as compared to $0.3 million for the six months ended June 30, 2022 primarily due to favorable market conditions in 2023 as compared to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120" w:type="dxa"/>
            <w:vAlign w:val="bottom"/>
          </w:tcPr>
          <w:p>
            <w:pPr>
              <w:jc w:val="right"/>
              <w:ind w:right="922"/>
              <w:spacing w:after="0"/>
              <w:rPr>
                <w:sz w:val="20"/>
                <w:szCs w:val="20"/>
                <w:color w:val="auto"/>
              </w:rPr>
            </w:pPr>
            <w:r>
              <w:rPr>
                <w:rFonts w:ascii="Arial" w:cs="Arial" w:eastAsia="Arial" w:hAnsi="Arial"/>
                <w:sz w:val="18"/>
                <w:szCs w:val="18"/>
                <w:color w:val="auto"/>
                <w:w w:val="99"/>
              </w:rPr>
              <w:t>$</w:t>
            </w:r>
          </w:p>
        </w:tc>
        <w:tc>
          <w:tcPr>
            <w:tcW w:w="1920" w:type="dxa"/>
            <w:vAlign w:val="bottom"/>
            <w:gridSpan w:val="3"/>
          </w:tcPr>
          <w:p>
            <w:pPr>
              <w:jc w:val="right"/>
              <w:ind w:right="888"/>
              <w:spacing w:after="0"/>
              <w:rPr>
                <w:sz w:val="20"/>
                <w:szCs w:val="20"/>
                <w:color w:val="auto"/>
              </w:rPr>
            </w:pPr>
            <w:r>
              <w:rPr>
                <w:rFonts w:ascii="Arial" w:cs="Arial" w:eastAsia="Arial" w:hAnsi="Arial"/>
                <w:sz w:val="18"/>
                <w:szCs w:val="18"/>
                <w:color w:val="auto"/>
              </w:rPr>
              <w:t>(6,035 )  $</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(95 )  $</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(5,940 )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3"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Other expense for the six months ended June 30, 2023 was $6.0 million, an increase of $5.9 million, or 6253%, compared to the six months ended June 30, 2022. The increase was primarily due to $5.8 million of transaction fees and accelerated stock-based compensation expense that incurred with the Business Combination for which we had no comparative activity during the six months ended June 30,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To supplement our unaudited interim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19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We use the non-GAAP financial measure Free Cash Flow, which is defined as net cash provided by (used in) operating activities, reduced by purchases of property, plant and equipment. We believe Free Cash Flow is an important liquidity measure of the cash that is available, after capital expenditures, for operational expenses and investment in our business and is a key financial indicator used by management. Free Cash Flow is useful to investors as a liquidity measure because it measures our ability to generate or use cash. Once our business needs and obligations are met, cash can be used to maintain a strong balance sheet and invest in future growth.</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2" w:right="279" w:bottom="1440" w:gutter="0" w:footer="0" w:header="0"/>
        </w:sectPr>
      </w:pPr>
    </w:p>
    <w:bookmarkStart w:id="39" w:name="page40"/>
    <w:bookmarkEnd w:id="39"/>
    <w:p>
      <w:pPr>
        <w:jc w:val="both"/>
        <w:spacing w:after="0" w:line="242" w:lineRule="auto"/>
        <w:rPr>
          <w:sz w:val="20"/>
          <w:szCs w:val="20"/>
          <w:color w:val="auto"/>
        </w:rPr>
      </w:pPr>
      <w:r>
        <w:rPr>
          <w:rFonts w:ascii="Arial" w:cs="Arial" w:eastAsia="Arial" w:hAnsi="Arial"/>
          <w:sz w:val="18"/>
          <w:szCs w:val="18"/>
          <w:color w:val="auto"/>
        </w:rPr>
        <w:t>We use the non-GAAP financial measure Adjusted EBITDA, which is defined as net income (loss); excluding interest income; interest expense; other income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non-GAAP financial measures should not be considered in isolation from, or as substitutes for, financial information prepared in accordance with GAAP. There are a number of limitations related to the use of these non-GAAP financial measures compared to the closest comparable GAAP measure. Some of these limitations are that:</w:t>
      </w:r>
    </w:p>
    <w:p>
      <w:pPr>
        <w:spacing w:after="0" w:line="183"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Free Cash Flow does not reflect our future contractual commitments.</w:t>
      </w:r>
    </w:p>
    <w:p>
      <w:pPr>
        <w:spacing w:after="0" w:line="224" w:lineRule="exact"/>
        <w:rPr>
          <w:rFonts w:ascii="Arial" w:cs="Arial" w:eastAsia="Arial" w:hAnsi="Arial"/>
          <w:sz w:val="18"/>
          <w:szCs w:val="18"/>
          <w:color w:val="auto"/>
        </w:rPr>
      </w:pPr>
    </w:p>
    <w:p>
      <w:pPr>
        <w:jc w:val="both"/>
        <w:ind w:left="760" w:hanging="378"/>
        <w:spacing w:after="0" w:line="24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excludes income tax benefit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a reconciliation of Free Cash Flow to net cash provided by (used in) operating activities for the six months ended June 30,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(24,617 )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(9,169 )</w:t>
            </w:r>
          </w:p>
        </w:tc>
      </w:tr>
      <w:tr>
        <w:trPr>
          <w:trHeight w:val="20"/>
        </w:trPr>
        <w:tc>
          <w:tcPr>
            <w:tcW w:w="7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(10,556 )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(6,991 )</w:t>
            </w: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76835"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tables present a reconciliation of Adjusted EBITDA to net income (loss) for the three and six months ended June 30, 2023 and 2022 (non-recurring transaction expenses recorded to other (income) expense are presented separately within Adjusted EBITDA):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r>
      <w:tr>
        <w:trPr>
          <w:trHeight w:val="182"/>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3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 net</w:t>
            </w:r>
          </w:p>
        </w:tc>
        <w:tc>
          <w:tcPr>
            <w:tcW w:w="3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80"/>
              <w:spacing w:after="0"/>
              <w:rPr>
                <w:sz w:val="20"/>
                <w:szCs w:val="20"/>
                <w:color w:val="auto"/>
              </w:rPr>
            </w:pPr>
            <w:r>
              <w:rPr>
                <w:rFonts w:ascii="Arial" w:cs="Arial" w:eastAsia="Arial" w:hAnsi="Arial"/>
                <w:sz w:val="18"/>
                <w:szCs w:val="18"/>
                <w:color w:val="auto"/>
              </w:rPr>
              <w:t>Stock option expense</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Monitoring fees</w:t>
            </w:r>
          </w:p>
        </w:tc>
        <w:tc>
          <w:tcPr>
            <w:tcW w:w="3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80"/>
              <w:spacing w:after="0"/>
              <w:rPr>
                <w:sz w:val="20"/>
                <w:szCs w:val="20"/>
                <w:color w:val="auto"/>
              </w:rPr>
            </w:pPr>
            <w:r>
              <w:rPr>
                <w:rFonts w:ascii="Arial" w:cs="Arial" w:eastAsia="Arial" w:hAnsi="Arial"/>
                <w:sz w:val="18"/>
                <w:szCs w:val="18"/>
                <w:color w:val="auto"/>
              </w:rPr>
              <w:t>Gain on sale of property</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(gain) loss on equity securities</w:t>
            </w:r>
          </w:p>
        </w:tc>
        <w:tc>
          <w:tcPr>
            <w:tcW w:w="3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(420 )</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80"/>
              <w:spacing w:after="0"/>
              <w:rPr>
                <w:sz w:val="20"/>
                <w:szCs w:val="20"/>
                <w:color w:val="auto"/>
              </w:rPr>
            </w:pPr>
            <w:r>
              <w:rPr>
                <w:rFonts w:ascii="Arial" w:cs="Arial" w:eastAsia="Arial" w:hAnsi="Arial"/>
                <w:sz w:val="18"/>
                <w:szCs w:val="18"/>
                <w:color w:val="auto"/>
              </w:rPr>
              <w:t>Transaction expense</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ERC credit received</w:t>
            </w:r>
          </w:p>
        </w:tc>
        <w:tc>
          <w:tcPr>
            <w:tcW w:w="3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(4,272 )</w:t>
            </w:r>
          </w:p>
        </w:tc>
      </w:tr>
      <w:tr>
        <w:trPr>
          <w:trHeight w:val="229"/>
        </w:trPr>
        <w:tc>
          <w:tcPr>
            <w:tcW w:w="456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6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8,767</w:t>
            </w:r>
          </w:p>
        </w:tc>
        <w:tc>
          <w:tcPr>
            <w:tcW w:w="100" w:type="dxa"/>
            <w:vAlign w:val="bottom"/>
            <w:shd w:val="clear" w:color="auto" w:fill="CFF0FC"/>
          </w:tcPr>
          <w:p>
            <w:pPr>
              <w:spacing w:after="0"/>
              <w:rPr>
                <w:sz w:val="22"/>
                <w:szCs w:val="22"/>
                <w:color w:val="auto"/>
              </w:rPr>
            </w:pPr>
          </w:p>
        </w:tc>
      </w:tr>
      <w:tr>
        <w:trPr>
          <w:trHeight w:val="614"/>
        </w:trPr>
        <w:tc>
          <w:tcPr>
            <w:tcW w:w="4560" w:type="dxa"/>
            <w:vAlign w:val="bottom"/>
            <w:tcBorders>
              <w:top w:val="single" w:sz="8" w:color="CFF0FC"/>
            </w:tcBorders>
          </w:tcPr>
          <w:p>
            <w:pPr>
              <w:spacing w:after="0"/>
              <w:rPr>
                <w:sz w:val="24"/>
                <w:szCs w:val="24"/>
                <w:color w:val="auto"/>
              </w:rPr>
            </w:pPr>
          </w:p>
        </w:tc>
        <w:tc>
          <w:tcPr>
            <w:tcW w:w="3020" w:type="dxa"/>
            <w:vAlign w:val="bottom"/>
            <w:tcBorders>
              <w:top w:val="single" w:sz="8" w:color="CFF0FC"/>
            </w:tcBorders>
          </w:tcPr>
          <w:p>
            <w:pPr>
              <w:jc w:val="right"/>
              <w:ind w:right="1770"/>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-504825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-487680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Add (deduct):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9,732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Interest (income) expense,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r>
      <w:tr>
        <w:trPr>
          <w:trHeight w:val="229"/>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Stock option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Monitoring fees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Gain on sale of property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(68 )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Unrealized gain on equity securities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(387 )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(323 )</w:t>
            </w:r>
          </w:p>
        </w:tc>
      </w:tr>
      <w:tr>
        <w:trPr>
          <w:trHeight w:val="229"/>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Transaction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ERC credit received</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(4,272 )</w:t>
            </w:r>
          </w:p>
        </w:tc>
      </w:tr>
      <w:tr>
        <w:trPr>
          <w:trHeight w:val="229"/>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63"/>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28,110</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June 30, 2023, we had $7.2 million of cash and cash equivalents.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Agreement</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Reference is made to the disclosure set forth under the heading “Revolving Credit Facility” in Note 7, </w:t>
      </w:r>
      <w:r>
        <w:rPr>
          <w:rFonts w:ascii="Arial" w:cs="Arial" w:eastAsia="Arial" w:hAnsi="Arial"/>
          <w:sz w:val="18"/>
          <w:szCs w:val="18"/>
          <w:i w:val="1"/>
          <w:iCs w:val="1"/>
          <w:color w:val="auto"/>
        </w:rPr>
        <w:t>Revolving Credit Facility</w:t>
      </w:r>
      <w:r>
        <w:rPr>
          <w:rFonts w:ascii="Arial" w:cs="Arial" w:eastAsia="Arial" w:hAnsi="Arial"/>
          <w:sz w:val="18"/>
          <w:szCs w:val="18"/>
          <w:color w:val="auto"/>
        </w:rPr>
        <w:t>, of the notes to the unaudited condensed consolidated financial statements included elsewhere in this Report (the ”Interim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material contractual obligations arise from leases of facilities and vehicles under noncancelable operating leases agreements.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the notes to the Interim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Obligations</w:t>
      </w:r>
    </w:p>
    <w:p>
      <w:pPr>
        <w:spacing w:after="0" w:line="2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8,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of the notes to the Interim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Cash Flows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14,061</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(13,388 )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(106 )</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(1,845 )</w:t>
            </w: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Effect of changes in foreign exchange rate</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(207 )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(62 )</w:t>
            </w:r>
          </w:p>
        </w:tc>
      </w:tr>
      <w:tr>
        <w:trPr>
          <w:trHeight w:val="223"/>
        </w:trPr>
        <w:tc>
          <w:tcPr>
            <w:tcW w:w="77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FF0FC"/>
            </w:tcBorders>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76835"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Operating Activities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cash provided by operating activities for the six months ended June 30, 2023 was $ 14.1 million resulting from our net income of $8.2 million, adjusted for non-cash charges of $12.0 million in depreciation and amortization, including amortization of right of use assets and deferred financing costs, $4.0 million of stock-based compensation expense as a result of the Business Combination, $ 0.4 million of bad debt expense and $ 0.5 million in deferred tax expense. This was partially offset by a $9.1 million gain on rental tool recovery sales and $1.8 million in net changes from operating assets and liabilities. The $1.8 million in cash used in operating assets and liabilities is primarily due to a $1.8 million cash outflow in accounts receivable associated with an increase in sales and higher revenues during the first six months of 2023 compared to the first six months of 2022, a $2.2 million cash outflow from operating lease liabilities as we increase right-of-use assets on hand and a $1.5 million cash outflow from prepaid expenses due to differences in timing of prepayments. This was partially offset by a $2.3 million cash inflow in accounts payable and accrued expenses due to differences in the timing of disbursements and a $1.4 million cash flow from inventory as a result of increased sales and revenues during the first six months of 2023.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cash provided by operating activities for the six months ended June 30, 2022 was $2.2 million resulting from our net income of $7.3 million, adjusted for non-cash charges of $12.5 million in depreciation and amortization, including amortization of right of use assets, deferred financing costs, and debt discounts and $1.7 million in deferred tax expense. This was partially offset by a $6.4 million gain on rental tool recovery sales, $11.9 million in net changes from operating assets and liabilities, a $0.3 million unrealized gain on equity securities and a $1.0 million unrealized gain on interest rate swaps. The $11.9 million in cash used from operating assets and liabilities is primarily due to a $6.0 million cash outflow in accounts receivable associated with an increase in sales and higher revenue during the first six months of 2022, $0.5 million purchased inventory related to our attempt to reduce risk and uncertainties in our supply chain, $1.2 million net cash outflow in accounts payable and accrued expenses due to differences in the timing of disbursements, $1.7 million cash outflow in prepaid expenses due to differences in the timing of repayments and a $2.4 million cash outflow from increasing our right-of-use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Investing Activities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used in investing activities for the six months ended June 30, 2023 was $ 13.4 million. Purchases of property, plant, and equipment of $24.6 million were partially offset by proceeds from rental tool recovery sales of $11.1 million and proceeds from sale of property of $0.1 million.</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used in investing activities for the six months ended June 30, 2022 was $0.1 million. Purchases of property, plant, and equipment of $9.2 million were partially offset by proceeds from rental tool recovery sales of $9.0 million and proceeds from the sale of property of $0.1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Net cash provided by financing activities for the six months ended June 30, 2023 was $4.3 million resulting from proceeds from the Business Combination and PIPE Financing, net of transaction costs, of $23.1 million, partially offset by a net decrease in amounts outstanding under the Credit Facility Agreement of $18.3 million, payments of deferred financing costs of $0.3 million and payments to holders of DTIH convertible preferred stock in connection with the Business Combination of $0.2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2022 was $1.8 million resulting from a net decrease in amounts outstanding under the Credit Facility Agreement of $1.8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June 30, 2023, 33% of our total revenue was earned from two customers. During the six months ended June 30, 2022, 30% of our total revenue was earned from two customers. Amounts due from these customers included in accounts receivable at June 30, 2023 were approximately $10.1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customers are primarily located in the United States and Canada. Therefore, foreign exchange risk exposures arise from transactions denominated in currencies other than the U.S. dollar, which is our functional and reporting currency. To date, a majority of our sales have been denominated in United States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believe that foreign currency risk had a material effect on our business, financial condition, or results of operations during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we will continue to experience inflationary pressures on our cost structure for the foreseeable future. However, tightness in overseas freight and transit times have eased. Additionally, raw material and component costs are moderating due in part to a strengthening United States dollar and weakening steel demand. Nonetheless, we cannot be confident that transit times or input prices will return to the lower levels experienced in prior years. Continued inflation and looming concerns regarding a possible recession weigh on the outlook for oil demand which could in turn negatively impact demand for our goods and services.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Cybersecurity Risk</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reputational risks. There is no assurance that these efforts will fully mitigate cybersecurity risk and mitigation efforts are not an assurance that no cybersecurity incidents will occur.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Interim Financial Statements included in this Report have been prepared in accordance with accounting principles generally accepted in the United States.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Our significant accounting policies are described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Interim Financial Statements included elsewhere in this Report on Form 10-Q. We define our critical accounting policies as those under U.S. GAAP that require us to make subjective estimates and judgments about matters that are inherently uncertain and are likely to have a material impact on our financial condition and results of operations, as well as the specific manner in which we apply those principles.</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the section titled “Management’s Discussion and Analysis of Financial Condition and Results of Operations” set forth in our Current Report on Form 8-K dated June 20, 2023, which was filed with the SEC on June 27,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 xml:space="preserve">A discussion of recent accounting pronouncements is included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Interim Financial Statements included elsewhere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otherwise required under this item.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Prior to the Business Combination, we had been a private company with limited accounting personnel and other resources with which to address our internal control over financial reporting. In connection with our preparation and the audit of our consolidated financial statements as of and for the year ended December 31, 2022, we identified the following deficiencies in the design or operation of our internal controls to be a material weakness:</w:t>
      </w:r>
    </w:p>
    <w:p>
      <w:pPr>
        <w:spacing w:after="0" w:line="284" w:lineRule="exact"/>
        <w:rPr>
          <w:sz w:val="20"/>
          <w:szCs w:val="20"/>
          <w:color w:val="auto"/>
        </w:rPr>
      </w:pPr>
    </w:p>
    <w:p>
      <w:pPr>
        <w:ind w:left="1080" w:hanging="56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promote effective internal control over financial reporting throughout the Company’s management structure;</w:t>
      </w:r>
    </w:p>
    <w:p>
      <w:pPr>
        <w:spacing w:after="0" w:line="305"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develop effective risk assessment controls to identify financial reporting risks and reacting to changes in the operating environment that could have a material effect on financial reporting;</w:t>
      </w:r>
    </w:p>
    <w:p>
      <w:pPr>
        <w:spacing w:after="0" w:line="267"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Ineffective monitoring activities to assess the operation of internal control over financial reporting; and</w:t>
      </w:r>
    </w:p>
    <w:p>
      <w:pPr>
        <w:spacing w:after="0" w:line="305" w:lineRule="exact"/>
        <w:rPr>
          <w:rFonts w:ascii="Arial" w:cs="Arial" w:eastAsia="Arial" w:hAnsi="Arial"/>
          <w:sz w:val="18"/>
          <w:szCs w:val="18"/>
          <w:color w:val="auto"/>
        </w:rPr>
      </w:pPr>
    </w:p>
    <w:p>
      <w:pPr>
        <w:ind w:left="1020" w:right="2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documentation and monitoring of information technology (“IT”) general controls and cybersecurity processes within the Company’s IT environment, including access controls and segregation of duties between key IT functions.</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in the process of implementing a risk assessment process and measures designed to improve our internal control over financial reporting and remediate the control deficiencies that led to the material weakness, including (1) hiring more qualified staff and increasing resources with sufficient knowledge and experience to strengthen financial reporting, (2) implementing software and procedures to enhance our Company’s IT environment and (3) devoting proper time by senior management to perform comprehensive review of procedures to assess risks and enforce effective accountability.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elements of our remediation plan can only be accomplished over time, and we can offer no assurance that these initiatives will ultimately have the intended effects.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Part I, Item 1, Note 14 to our consolidated financial statements entitled “Commitments and Contingencies,” which is incorporated in this item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proxy statement/prospectus/consent solicitation statement filed with the SEC on May 12, 2023 (the “Proxy Statement”),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in the risk factors that appear in the Proxy Statement. Additional risks and uncertainties not currently known to us or that we currently deem to be immaterial may also materially and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Information regarding all equity securities sold by us during the period covered by this Report that were not registered under the Securities Act was included in a Current Report on Form 8-K filed by us with the SEC on June 27, 2023, and therefore is not required to be furnished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quarter ended June 30, 2023, none of our directors or officers (as defined in Rule 16a-1(f) of the Exchange Act) adopted, terminated or modified a Rule 10b5-1 trading arrangement or non-Rule 10b5-1 trading arrangement (as such terms are defined in Item 408 of Regulation S-K).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60" w:type="dxa"/>
            <w:vAlign w:val="bottom"/>
            <w:tcBorders>
              <w:bottom w:val="single" w:sz="8" w:color="auto"/>
            </w:tcBorders>
            <w:gridSpan w:val="15"/>
          </w:tcPr>
          <w:p>
            <w:pPr>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15"/>
          </w:tcPr>
          <w:p>
            <w:pPr>
              <w:spacing w:after="0"/>
              <w:rPr>
                <w:rFonts w:ascii="Arial" w:cs="Arial" w:eastAsia="Arial" w:hAnsi="Arial"/>
                <w:sz w:val="18"/>
                <w:szCs w:val="18"/>
                <w:color w:val="0000FF"/>
              </w:rPr>
            </w:pPr>
            <w:hyperlink r:id="rId280">
              <w:r>
                <w:rPr>
                  <w:rFonts w:ascii="Arial" w:cs="Arial" w:eastAsia="Arial" w:hAnsi="Arial"/>
                  <w:sz w:val="18"/>
                  <w:szCs w:val="18"/>
                  <w:color w:val="0000FF"/>
                </w:rPr>
                <w:t>Agreement and Plan of Merger, dated as of February 13, 2023, by and among ROC Energy Acquisition Corp., ROC Merger</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0">
              <w:r>
                <w:rPr>
                  <w:rFonts w:ascii="Arial" w:cs="Arial" w:eastAsia="Arial" w:hAnsi="Arial"/>
                  <w:sz w:val="18"/>
                  <w:szCs w:val="18"/>
                  <w:color w:val="0000FF"/>
                </w:rPr>
                <w:t>Sub, Inc. and Drilling Tools International Holdings, Inc. (incorporated by reference to Exhibit 2.1 to ROC Energy Acquisition</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w w:val="99"/>
              </w:rPr>
            </w:pPr>
            <w:hyperlink r:id="rId280">
              <w:r>
                <w:rPr>
                  <w:rFonts w:ascii="Arial" w:cs="Arial" w:eastAsia="Arial" w:hAnsi="Arial"/>
                  <w:sz w:val="18"/>
                  <w:szCs w:val="18"/>
                  <w:color w:val="0000FF"/>
                  <w:w w:val="99"/>
                </w:rPr>
                <w:t>Corp.’s Current Report on Form 8-K (File No. 001-41103), filed with the Securities and Exchange Commission on February 13,</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640" w:type="dxa"/>
            <w:vAlign w:val="bottom"/>
            <w:gridSpan w:val="3"/>
          </w:tcPr>
          <w:p>
            <w:pPr>
              <w:ind w:left="120"/>
              <w:spacing w:after="0" w:line="182" w:lineRule="exact"/>
              <w:rPr>
                <w:rFonts w:ascii="Arial" w:cs="Arial" w:eastAsia="Arial" w:hAnsi="Arial"/>
                <w:sz w:val="18"/>
                <w:szCs w:val="18"/>
                <w:color w:val="0000FF"/>
                <w:w w:val="93"/>
              </w:rPr>
            </w:pPr>
            <w:hyperlink r:id="rId280">
              <w:r>
                <w:rPr>
                  <w:rFonts w:ascii="Arial" w:cs="Arial" w:eastAsia="Arial" w:hAnsi="Arial"/>
                  <w:sz w:val="18"/>
                  <w:szCs w:val="18"/>
                  <w:color w:val="0000FF"/>
                  <w:w w:val="93"/>
                </w:rPr>
                <w:t>2023).</w:t>
              </w:r>
            </w:hyperlink>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1">
              <w:r>
                <w:rPr>
                  <w:rFonts w:ascii="Arial" w:cs="Arial" w:eastAsia="Arial" w:hAnsi="Arial"/>
                  <w:sz w:val="18"/>
                  <w:szCs w:val="18"/>
                  <w:color w:val="0000FF"/>
                </w:rPr>
                <w:t>First Amendment to the Agreement and Plan of Merger, by and among ROC Energy Acquisition Corp., ROC Merger Sub, Inc.</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1">
              <w:r>
                <w:rPr>
                  <w:rFonts w:ascii="Arial" w:cs="Arial" w:eastAsia="Arial" w:hAnsi="Arial"/>
                  <w:sz w:val="18"/>
                  <w:szCs w:val="18"/>
                  <w:color w:val="0000FF"/>
                </w:rPr>
                <w:t>and Drilling Tools International Holdings, Inc. (incorporated by reference to Exhibit 2.1 to ROC Energy Acquisition Corp.’s</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1">
              <w:r>
                <w:rPr>
                  <w:rFonts w:ascii="Arial" w:cs="Arial" w:eastAsia="Arial" w:hAnsi="Arial"/>
                  <w:sz w:val="18"/>
                  <w:szCs w:val="18"/>
                  <w:color w:val="0000FF"/>
                </w:rPr>
                <w:t>Current Report on Form 8-K (File No. 001-41103), filed with the Securities and Exchange Commission on June 9,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2">
              <w:r>
                <w:rPr>
                  <w:rFonts w:ascii="Arial" w:cs="Arial" w:eastAsia="Arial" w:hAnsi="Arial"/>
                  <w:sz w:val="18"/>
                  <w:szCs w:val="18"/>
                  <w:color w:val="0000FF"/>
                </w:rPr>
                <w:t>Second Amended and Restated Certificate of Incorporation of Drilling Tools International Corporation (incorporated by</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w w:val="99"/>
              </w:rPr>
            </w:pPr>
            <w:hyperlink r:id="rId282">
              <w:r>
                <w:rPr>
                  <w:rFonts w:ascii="Arial" w:cs="Arial" w:eastAsia="Arial" w:hAnsi="Arial"/>
                  <w:sz w:val="18"/>
                  <w:szCs w:val="18"/>
                  <w:color w:val="0000FF"/>
                  <w:w w:val="99"/>
                </w:rPr>
                <w:t>reference to Exhibit 3.1 to Drilling Tools International Corporation’s Current Report on Form 8-K (File No. 001-41103), filed with</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the Securities and Exchange Commission on June 27,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3">
              <w:r>
                <w:rPr>
                  <w:rFonts w:ascii="Arial" w:cs="Arial" w:eastAsia="Arial" w:hAnsi="Arial"/>
                  <w:sz w:val="18"/>
                  <w:szCs w:val="18"/>
                  <w:color w:val="0000FF"/>
                </w:rPr>
                <w:t>Amended and Restated Bylaws of Drilling Tools International Corporation (incorporated by reference to Exhibit 3.2 to Drilling</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Tools International Corporation’s Current Report on Form 8-K (File No. 001-41103), filed with the Securities and Exchange</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Commission on June 27,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4">
              <w:r>
                <w:rPr>
                  <w:rFonts w:ascii="Arial" w:cs="Arial" w:eastAsia="Arial" w:hAnsi="Arial"/>
                  <w:sz w:val="18"/>
                  <w:szCs w:val="18"/>
                  <w:color w:val="0000FF"/>
                </w:rPr>
                <w:t>Form of Specimen Common Stock Certificate of Drilling Tools International Corporation (incorporated by reference to Exhibit</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Drilling Tools International Corporation’s Current Report on Form 8-K (File No. 001-41103), filed with the Securities and</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Exchange Commission on June 27,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5">
              <w:r>
                <w:rPr>
                  <w:rFonts w:ascii="Arial" w:cs="Arial" w:eastAsia="Arial" w:hAnsi="Arial"/>
                  <w:sz w:val="18"/>
                  <w:szCs w:val="18"/>
                  <w:color w:val="0000FF"/>
                </w:rPr>
                <w:t>Form of Subscription Agreement (incorporated by reference to Exhibit 10.13 to ROC Energy Acquisition Corp.’s Registration</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76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Statement on Form S-4 (File No. 333-269763), filed with the Securities and Exchange Commission on April 21,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76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6">
              <w:r>
                <w:rPr>
                  <w:rFonts w:ascii="Arial" w:cs="Arial" w:eastAsia="Arial" w:hAnsi="Arial"/>
                  <w:sz w:val="18"/>
                  <w:szCs w:val="18"/>
                  <w:color w:val="0000FF"/>
                </w:rPr>
                <w:t>Form of Amendment to the Subscription Agreement (incorporated by reference to Exhibit 10.2 to Drilling Tools International</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76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Corporation’s Current Report on Form 8-K (File No. 001-41103), filed with the Securities and Exchange Commission on June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940" w:type="dxa"/>
            <w:vAlign w:val="bottom"/>
            <w:gridSpan w:val="4"/>
          </w:tcPr>
          <w:p>
            <w:pPr>
              <w:ind w:left="120"/>
              <w:spacing w:after="0" w:line="182" w:lineRule="exact"/>
              <w:rPr>
                <w:rFonts w:ascii="Arial" w:cs="Arial" w:eastAsia="Arial" w:hAnsi="Arial"/>
                <w:sz w:val="18"/>
                <w:szCs w:val="18"/>
                <w:color w:val="0000FF"/>
                <w:w w:val="96"/>
              </w:rPr>
            </w:pPr>
            <w:hyperlink r:id="rId286">
              <w:r>
                <w:rPr>
                  <w:rFonts w:ascii="Arial" w:cs="Arial" w:eastAsia="Arial" w:hAnsi="Arial"/>
                  <w:sz w:val="18"/>
                  <w:szCs w:val="18"/>
                  <w:color w:val="0000FF"/>
                  <w:w w:val="96"/>
                </w:rPr>
                <w:t>27, 2023).</w:t>
              </w:r>
            </w:hyperlink>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7">
              <w:r>
                <w:rPr>
                  <w:rFonts w:ascii="Arial" w:cs="Arial" w:eastAsia="Arial" w:hAnsi="Arial"/>
                  <w:sz w:val="18"/>
                  <w:szCs w:val="18"/>
                  <w:color w:val="0000FF"/>
                </w:rPr>
                <w:t>Form of Exchange Agreement (incorporated by reference to Exhibit 10.3 to Drilling Tools International Corporation’s Current</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560" w:type="dxa"/>
            <w:vAlign w:val="bottom"/>
            <w:tcBorders>
              <w:right w:val="single" w:sz="8" w:color="0000FF"/>
            </w:tcBorders>
            <w:gridSpan w:val="5"/>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Report on Form 8-K (File No. 001-41103), filed with the Securities and Exchange Commission on June 27,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560" w:type="dxa"/>
            <w:vAlign w:val="bottom"/>
            <w:tcBorders>
              <w:right w:val="single" w:sz="8" w:color="0000FF"/>
            </w:tcBorders>
            <w:gridSpan w:val="5"/>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8">
              <w:r>
                <w:rPr>
                  <w:rFonts w:ascii="Arial" w:cs="Arial" w:eastAsia="Arial" w:hAnsi="Arial"/>
                  <w:sz w:val="18"/>
                  <w:szCs w:val="18"/>
                  <w:color w:val="0000FF"/>
                </w:rPr>
                <w:t>Amended and Restated Revolving Credit, Term Loan and Security Agreement, dated as of June 20, 2023, by and among</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560" w:type="dxa"/>
            <w:vAlign w:val="bottom"/>
            <w:tcBorders>
              <w:right w:val="single" w:sz="8" w:color="0000FF"/>
            </w:tcBorders>
            <w:gridSpan w:val="5"/>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Drilling Tools International, Inc., certain of its subsidiaries and PNC Bank, National Association (incorporated by reference to</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560" w:type="dxa"/>
            <w:vAlign w:val="bottom"/>
            <w:tcBorders>
              <w:right w:val="single" w:sz="8" w:color="0000FF"/>
            </w:tcBorders>
            <w:gridSpan w:val="5"/>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Exhibit 10.5 to Drilling Tools International Corporation’s Current Report on Form 8-K (File No. 001-41103), filed with the</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560" w:type="dxa"/>
            <w:vAlign w:val="bottom"/>
            <w:tcBorders>
              <w:right w:val="single" w:sz="8" w:color="0000FF"/>
            </w:tcBorders>
            <w:gridSpan w:val="5"/>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Securities and Exchange Commission on June 27,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560" w:type="dxa"/>
            <w:vAlign w:val="bottom"/>
            <w:tcBorders>
              <w:right w:val="single" w:sz="8" w:color="0000EE"/>
            </w:tcBorders>
            <w:gridSpan w:val="5"/>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89">
              <w:r>
                <w:rPr>
                  <w:rFonts w:ascii="Arial" w:cs="Arial" w:eastAsia="Arial" w:hAnsi="Arial"/>
                  <w:sz w:val="18"/>
                  <w:szCs w:val="18"/>
                  <w:color w:val="0000FF"/>
                </w:rPr>
                <w:t>Form of Lock-up Agreement (incorporated by reference to Exhibit 10.12 to ROC Energy Acquisition Corp.’s Registration</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Statement on Form S-4 (File No. 333-269763), filed with the Securities and Exchange Commission on February 14,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90">
              <w:r>
                <w:rPr>
                  <w:rFonts w:ascii="Arial" w:cs="Arial" w:eastAsia="Arial" w:hAnsi="Arial"/>
                  <w:sz w:val="18"/>
                  <w:szCs w:val="18"/>
                  <w:color w:val="0000FF"/>
                </w:rPr>
                <w:t>Form of Indemnification Agreement (incorporated by reference to Exhibit 10.7 to Drilling Tools International Corporation’s</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90">
              <w:r>
                <w:rPr>
                  <w:rFonts w:ascii="Arial" w:cs="Arial" w:eastAsia="Arial" w:hAnsi="Arial"/>
                  <w:sz w:val="18"/>
                  <w:szCs w:val="18"/>
                  <w:color w:val="0000FF"/>
                </w:rPr>
                <w:t>Current Report on Form 8-K (File No. 001-41103), filed with the Securities and Exchange Commission on June 27,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4"/>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91">
              <w:r>
                <w:rPr>
                  <w:rFonts w:ascii="Arial" w:cs="Arial" w:eastAsia="Arial" w:hAnsi="Arial"/>
                  <w:sz w:val="18"/>
                  <w:szCs w:val="18"/>
                  <w:color w:val="0000FF"/>
                </w:rPr>
                <w:t>Amended and Restated Registration Rights Agreement, dated as of February 13, 2023, between ROC Energy Acquisition</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91">
              <w:r>
                <w:rPr>
                  <w:rFonts w:ascii="Arial" w:cs="Arial" w:eastAsia="Arial" w:hAnsi="Arial"/>
                  <w:sz w:val="18"/>
                  <w:szCs w:val="18"/>
                  <w:color w:val="0000FF"/>
                </w:rPr>
                <w:t>Corp., ROC Energy Holdings, LLC, EarlyBird Capital, Inc., HHEP</w:t>
              </w:r>
              <w:r>
                <w:rPr>
                  <w:rFonts w:ascii="MS PGothic" w:cs="MS PGothic" w:eastAsia="MS PGothic" w:hAnsi="MS PGothic"/>
                  <w:sz w:val="18"/>
                  <w:szCs w:val="18"/>
                  <w:color w:val="0000FF"/>
                </w:rPr>
                <w:t>‑</w:t>
              </w:r>
              <w:r>
                <w:rPr>
                  <w:rFonts w:ascii="Arial" w:cs="Arial" w:eastAsia="Arial" w:hAnsi="Arial"/>
                  <w:sz w:val="18"/>
                  <w:szCs w:val="18"/>
                  <w:color w:val="0000FF"/>
                </w:rPr>
                <w:t>Directional, L.P., RobJon Holdings, L.P. and Michael W.</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91">
              <w:r>
                <w:rPr>
                  <w:rFonts w:ascii="Arial" w:cs="Arial" w:eastAsia="Arial" w:hAnsi="Arial"/>
                  <w:sz w:val="18"/>
                  <w:szCs w:val="18"/>
                  <w:color w:val="0000FF"/>
                </w:rPr>
                <w:t>Domino, Jr. (incorporated by reference to Exhibit 10.18 to ROC Energy Acquisition Corp.’s Registration Statement on Form</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91">
              <w:r>
                <w:rPr>
                  <w:rFonts w:ascii="Arial" w:cs="Arial" w:eastAsia="Arial" w:hAnsi="Arial"/>
                  <w:sz w:val="18"/>
                  <w:szCs w:val="18"/>
                  <w:color w:val="0000FF"/>
                </w:rPr>
                <w:t>S</w:t>
              </w:r>
              <w:r>
                <w:rPr>
                  <w:rFonts w:ascii="MS PGothic" w:cs="MS PGothic" w:eastAsia="MS PGothic" w:hAnsi="MS PGothic"/>
                  <w:sz w:val="18"/>
                  <w:szCs w:val="18"/>
                  <w:color w:val="0000FF"/>
                </w:rPr>
                <w:t>‑</w:t>
              </w:r>
              <w:r>
                <w:rPr>
                  <w:rFonts w:ascii="Arial" w:cs="Arial" w:eastAsia="Arial" w:hAnsi="Arial"/>
                  <w:sz w:val="18"/>
                  <w:szCs w:val="18"/>
                  <w:color w:val="0000FF"/>
                </w:rPr>
                <w:t>4 (File No. 333-269763), filed with the Securities and Exchange Commission on February 14,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92">
              <w:r>
                <w:rPr>
                  <w:rFonts w:ascii="Arial" w:cs="Arial" w:eastAsia="Arial" w:hAnsi="Arial"/>
                  <w:sz w:val="18"/>
                  <w:szCs w:val="18"/>
                  <w:color w:val="0000FF"/>
                </w:rPr>
                <w:t>Form of 2023 Omnibus Incentive Plan (incorporated by reference to Exhibit 10.1 to ROC Energy Acquisition Corp.’s</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92">
              <w:r>
                <w:rPr>
                  <w:rFonts w:ascii="Arial" w:cs="Arial" w:eastAsia="Arial" w:hAnsi="Arial"/>
                  <w:sz w:val="18"/>
                  <w:szCs w:val="18"/>
                  <w:color w:val="0000FF"/>
                </w:rPr>
                <w:t>Registration Statement on Form S-4 (File No. 333-269763), filed with the Securities and Exchange Commission on February</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940" w:type="dxa"/>
            <w:vAlign w:val="bottom"/>
            <w:gridSpan w:val="4"/>
          </w:tcPr>
          <w:p>
            <w:pPr>
              <w:ind w:left="120"/>
              <w:spacing w:after="0" w:line="182" w:lineRule="exact"/>
              <w:rPr>
                <w:rFonts w:ascii="Arial" w:cs="Arial" w:eastAsia="Arial" w:hAnsi="Arial"/>
                <w:sz w:val="18"/>
                <w:szCs w:val="18"/>
                <w:color w:val="0000FF"/>
                <w:w w:val="96"/>
              </w:rPr>
            </w:pPr>
            <w:hyperlink r:id="rId292">
              <w:r>
                <w:rPr>
                  <w:rFonts w:ascii="Arial" w:cs="Arial" w:eastAsia="Arial" w:hAnsi="Arial"/>
                  <w:sz w:val="18"/>
                  <w:szCs w:val="18"/>
                  <w:color w:val="0000FF"/>
                  <w:w w:val="96"/>
                </w:rPr>
                <w:t>14, 2023).</w:t>
              </w:r>
            </w:hyperlink>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rFonts w:ascii="Arial" w:cs="Arial" w:eastAsia="Arial" w:hAnsi="Arial"/>
                <w:sz w:val="18"/>
                <w:szCs w:val="18"/>
                <w:color w:val="0000FF"/>
              </w:rPr>
            </w:pPr>
            <w:hyperlink r:id="rId293">
              <w:r>
                <w:rPr>
                  <w:rFonts w:ascii="Arial" w:cs="Arial" w:eastAsia="Arial" w:hAnsi="Arial"/>
                  <w:sz w:val="18"/>
                  <w:szCs w:val="18"/>
                  <w:color w:val="0000FF"/>
                </w:rPr>
                <w:t>Assignment and Assumption Agreement, dated as of June 20, 2023, between Drilling Tools International Holdings, Inc. and</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93">
              <w:r>
                <w:rPr>
                  <w:rFonts w:ascii="Arial" w:cs="Arial" w:eastAsia="Arial" w:hAnsi="Arial"/>
                  <w:sz w:val="18"/>
                  <w:szCs w:val="18"/>
                  <w:color w:val="0000FF"/>
                </w:rPr>
                <w:t>Drilling Tools International Corporation (incorporated by reference to Exhibit 10.13 to Drilling Tools International Corporation’s</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rFonts w:ascii="Arial" w:cs="Arial" w:eastAsia="Arial" w:hAnsi="Arial"/>
                <w:sz w:val="18"/>
                <w:szCs w:val="18"/>
                <w:color w:val="0000FF"/>
              </w:rPr>
            </w:pPr>
            <w:hyperlink r:id="rId293">
              <w:r>
                <w:rPr>
                  <w:rFonts w:ascii="Arial" w:cs="Arial" w:eastAsia="Arial" w:hAnsi="Arial"/>
                  <w:sz w:val="18"/>
                  <w:szCs w:val="18"/>
                  <w:color w:val="0000FF"/>
                </w:rPr>
                <w:t>Registration Statement on Form S-1 (File No. 333-273348), filed with the Securities and Exchange Commission on July 20,</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640" w:type="dxa"/>
            <w:vAlign w:val="bottom"/>
            <w:gridSpan w:val="3"/>
          </w:tcPr>
          <w:p>
            <w:pPr>
              <w:ind w:left="120"/>
              <w:spacing w:after="0" w:line="182" w:lineRule="exact"/>
              <w:rPr>
                <w:rFonts w:ascii="Arial" w:cs="Arial" w:eastAsia="Arial" w:hAnsi="Arial"/>
                <w:sz w:val="18"/>
                <w:szCs w:val="18"/>
                <w:color w:val="0000FF"/>
                <w:w w:val="93"/>
              </w:rPr>
            </w:pPr>
            <w:hyperlink r:id="rId293">
              <w:r>
                <w:rPr>
                  <w:rFonts w:ascii="Arial" w:cs="Arial" w:eastAsia="Arial" w:hAnsi="Arial"/>
                  <w:sz w:val="18"/>
                  <w:szCs w:val="18"/>
                  <w:color w:val="0000FF"/>
                  <w:w w:val="93"/>
                </w:rPr>
                <w:t>2023).</w:t>
              </w:r>
            </w:hyperlink>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FF"/>
            </w:tcBorders>
            <w:gridSpan w:val="7"/>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180" w:type="dxa"/>
            <w:vAlign w:val="bottom"/>
            <w:tcBorders>
              <w:right w:val="single" w:sz="8" w:color="0000EE"/>
            </w:tcBorders>
            <w:gridSpan w:val="7"/>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5"/>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40" w:type="dxa"/>
            <w:vAlign w:val="bottom"/>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gridSpan w:val="1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439"/>
        </w:trPr>
        <w:tc>
          <w:tcPr>
            <w:tcW w:w="10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560" w:type="dxa"/>
            <w:vAlign w:val="bottom"/>
            <w:tcBorders>
              <w:top w:val="single" w:sz="8" w:color="0000FF"/>
            </w:tcBorders>
            <w:gridSpan w:val="5"/>
          </w:tcPr>
          <w:p>
            <w:pPr>
              <w:jc w:val="right"/>
              <w:ind w:right="20"/>
              <w:spacing w:after="0"/>
              <w:rPr>
                <w:sz w:val="20"/>
                <w:szCs w:val="20"/>
                <w:color w:val="auto"/>
              </w:rPr>
            </w:pPr>
            <w:r>
              <w:rPr>
                <w:rFonts w:ascii="Arial" w:cs="Arial" w:eastAsia="Arial" w:hAnsi="Arial"/>
                <w:sz w:val="18"/>
                <w:szCs w:val="18"/>
                <w:color w:val="auto"/>
              </w:rPr>
              <w:t>45</w:t>
            </w:r>
          </w:p>
        </w:tc>
        <w:tc>
          <w:tcPr>
            <w:tcW w:w="30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47" w:name="page48"/>
    <w:bookmarkEnd w:id="47"/>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gridSpan w:val="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7740" w:type="dxa"/>
            <w:vAlign w:val="bottom"/>
            <w:shd w:val="clear" w:color="auto" w:fill="0000FF"/>
          </w:tcPr>
          <w:p>
            <w:pPr>
              <w:spacing w:after="0" w:line="20" w:lineRule="exact"/>
              <w:rPr>
                <w:sz w:val="1"/>
                <w:szCs w:val="1"/>
                <w:color w:val="auto"/>
              </w:rPr>
            </w:pPr>
          </w:p>
        </w:tc>
      </w:tr>
      <w:tr>
        <w:trPr>
          <w:trHeight w:val="182"/>
        </w:trPr>
        <w:tc>
          <w:tcPr>
            <w:tcW w:w="1160" w:type="dxa"/>
            <w:vAlign w:val="bottom"/>
          </w:tcPr>
          <w:p>
            <w:pPr>
              <w:spacing w:after="0"/>
              <w:rPr>
                <w:sz w:val="15"/>
                <w:szCs w:val="15"/>
                <w:color w:val="auto"/>
              </w:rPr>
            </w:pPr>
          </w:p>
        </w:tc>
        <w:tc>
          <w:tcPr>
            <w:tcW w:w="10040" w:type="dxa"/>
            <w:vAlign w:val="bottom"/>
            <w:gridSpan w:val="2"/>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196"/>
        </w:trPr>
        <w:tc>
          <w:tcPr>
            <w:tcW w:w="1160" w:type="dxa"/>
            <w:vAlign w:val="bottom"/>
          </w:tcPr>
          <w:p>
            <w:pPr>
              <w:spacing w:after="0" w:line="195" w:lineRule="exact"/>
              <w:rPr>
                <w:sz w:val="20"/>
                <w:szCs w:val="20"/>
                <w:color w:val="auto"/>
              </w:rPr>
            </w:pPr>
            <w:r>
              <w:rPr>
                <w:rFonts w:ascii="Arial" w:cs="Arial" w:eastAsia="Arial" w:hAnsi="Arial"/>
                <w:sz w:val="18"/>
                <w:szCs w:val="18"/>
                <w:color w:val="auto"/>
              </w:rPr>
              <w:t>32.2*</w:t>
            </w:r>
          </w:p>
        </w:tc>
        <w:tc>
          <w:tcPr>
            <w:tcW w:w="10040" w:type="dxa"/>
            <w:vAlign w:val="bottom"/>
            <w:gridSpan w:val="2"/>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0040" w:type="dxa"/>
            <w:vAlign w:val="bottom"/>
            <w:gridSpan w:val="2"/>
            <w:shd w:val="clear" w:color="auto" w:fill="0000FF"/>
          </w:tcPr>
          <w:p>
            <w:pPr>
              <w:spacing w:after="0" w:line="20" w:lineRule="exact"/>
              <w:rPr>
                <w:sz w:val="1"/>
                <w:szCs w:val="1"/>
                <w:color w:val="auto"/>
              </w:rPr>
            </w:pPr>
          </w:p>
        </w:tc>
      </w:tr>
      <w:tr>
        <w:trPr>
          <w:trHeight w:val="182"/>
        </w:trPr>
        <w:tc>
          <w:tcPr>
            <w:tcW w:w="1160" w:type="dxa"/>
            <w:vAlign w:val="bottom"/>
          </w:tcPr>
          <w:p>
            <w:pPr>
              <w:spacing w:after="0"/>
              <w:rPr>
                <w:sz w:val="15"/>
                <w:szCs w:val="15"/>
                <w:color w:val="auto"/>
              </w:rPr>
            </w:pPr>
          </w:p>
        </w:tc>
        <w:tc>
          <w:tcPr>
            <w:tcW w:w="10040" w:type="dxa"/>
            <w:vAlign w:val="bottom"/>
            <w:gridSpan w:val="2"/>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2"/>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r>
      <w:tr>
        <w:trPr>
          <w:trHeight w:val="216"/>
        </w:trPr>
        <w:tc>
          <w:tcPr>
            <w:tcW w:w="11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3820" w:firstLine="21"/>
        <w:spacing w:after="0" w:line="351" w:lineRule="auto"/>
        <w:tabs>
          <w:tab w:leader="none" w:pos="1146"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9505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ind w:firstLine="8"/>
        <w:spacing w:after="0" w:line="234"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Drilling Tools International Corporation</w:t>
      </w:r>
    </w:p>
    <w:p>
      <w:pPr>
        <w:spacing w:after="0" w:line="251"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 /s/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13970</wp:posOffset>
            </wp:positionV>
            <wp:extent cx="33134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R. Johnson</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right="20" w:hanging="512"/>
        <w:spacing w:after="0" w:line="24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20" w:hanging="512"/>
        <w:spacing w:after="0" w:line="24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20" w:hanging="512"/>
        <w:spacing w:after="0" w:line="24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20" w:hanging="512"/>
        <w:spacing w:after="0" w:line="24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20" w:hanging="504"/>
        <w:spacing w:after="0" w:line="259"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13970</wp:posOffset>
            </wp:positionV>
            <wp:extent cx="32448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R. Wayne Prejean</w:t>
      </w:r>
    </w:p>
    <w:p>
      <w:pPr>
        <w:spacing w:after="0" w:line="34"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right="2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2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2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2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020" w:hanging="504"/>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20" w:hanging="504"/>
        <w:spacing w:after="0" w:line="259"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13970</wp:posOffset>
            </wp:positionV>
            <wp:extent cx="32448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David R. Johnson</w:t>
      </w:r>
    </w:p>
    <w:p>
      <w:pPr>
        <w:spacing w:after="0" w:line="34"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connection with the Quarterly Report of Drilling Tools International (the “Company”) on Form 10-Q for the period ending June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13970</wp:posOffset>
            </wp:positionV>
            <wp:extent cx="33134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4"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June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13970</wp:posOffset>
            </wp:positionV>
            <wp:extent cx="33134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4"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lvl w:ilvl="1">
      <w:lvlJc w:val="left"/>
      <w:lvlText w:val="%2"/>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280" Type="http://schemas.openxmlformats.org/officeDocument/2006/relationships/hyperlink" Target="https://www.sec.gov/Archives/edgar/data/1884516/000110465923020480/tm236420d1_ex2-1.htm" TargetMode="External"/><Relationship Id="rId281" Type="http://schemas.openxmlformats.org/officeDocument/2006/relationships/hyperlink" Target="https://www.sec.gov/Archives/edgar/data/1884516/000110465923069995/tm2317528d1_ex2-1.htm" TargetMode="External"/><Relationship Id="rId282" Type="http://schemas.openxmlformats.org/officeDocument/2006/relationships/hyperlink" Target="https://www.sec.gov/Archives/edgar/data/1884516/000119312523175331/d498600dex31.htm" TargetMode="External"/><Relationship Id="rId283" Type="http://schemas.openxmlformats.org/officeDocument/2006/relationships/hyperlink" Target="https://www.sec.gov/Archives/edgar/data/1884516/000119312523175331/d498600dex32.htm" TargetMode="External"/><Relationship Id="rId284" Type="http://schemas.openxmlformats.org/officeDocument/2006/relationships/hyperlink" Target="https://www.sec.gov/Archives/edgar/data/1884516/000119312523175331/d498600dex41.htm" TargetMode="External"/><Relationship Id="rId285" Type="http://schemas.openxmlformats.org/officeDocument/2006/relationships/hyperlink" Target="https://www.sec.gov/Archives/edgar/data/1884516/000110465923048548/tm236205d14_ex10-13.htm" TargetMode="External"/><Relationship Id="rId286" Type="http://schemas.openxmlformats.org/officeDocument/2006/relationships/hyperlink" Target="https://www.sec.gov/Archives/edgar/data/1884516/000119312523175331/d498600dex102.htm" TargetMode="External"/><Relationship Id="rId287" Type="http://schemas.openxmlformats.org/officeDocument/2006/relationships/hyperlink" Target="https://www.sec.gov/Archives/edgar/data/1884516/000119312523175331/d498600dex103.htm" TargetMode="External"/><Relationship Id="rId288" Type="http://schemas.openxmlformats.org/officeDocument/2006/relationships/hyperlink" Target="https://www.sec.gov/Archives/edgar/data/1884516/000119312523175331/d498600dex105.htm" TargetMode="External"/><Relationship Id="rId289" Type="http://schemas.openxmlformats.org/officeDocument/2006/relationships/hyperlink" Target="https://www.sec.gov/Archives/edgar/data/1884516/000110465923021677/rocau-20220930xex10d12.htm" TargetMode="External"/><Relationship Id="rId290" Type="http://schemas.openxmlformats.org/officeDocument/2006/relationships/hyperlink" Target="https://www.sec.gov/Archives/edgar/data/1884516/000119312523175331/d498600dex107.htm" TargetMode="External"/><Relationship Id="rId291" Type="http://schemas.openxmlformats.org/officeDocument/2006/relationships/hyperlink" Target="https://www.sec.gov/Archives/edgar/data/1884516/000110465923021677/rocau-20220930xex10d18.htm" TargetMode="External"/><Relationship Id="rId292" Type="http://schemas.openxmlformats.org/officeDocument/2006/relationships/hyperlink" Target="https://www.sec.gov/ix?doc=/Archives/edgar/data/0001884516/000110465923021677/rocau-20220930xs4.htm#AnnexC_86635" TargetMode="External"/><Relationship Id="rId293" Type="http://schemas.openxmlformats.org/officeDocument/2006/relationships/hyperlink" Target="https://www.sec.gov/Archives/edgar/data/1884516/000119312523190490/d537847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2023-08-14T10:00:47Z</dcterms:created>
  <dcterms:modified xsi:type="dcterms:W3CDTF">2023-08-14T10:00:47Z</dcterms:modified>
</cp:coreProperties>
</file>