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59"/>
        <w:spacing w:after="0" w:line="342"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960" w:right="1600" w:hanging="393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DRILLING TOOLS INTERNATIONAL CORPORATION</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10370 Richmond Ave.</w:t>
      </w:r>
    </w:p>
    <w:p>
      <w:pPr>
        <w:spacing w:after="0" w:line="1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27"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5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4" w:lineRule="exact"/>
        <w:rPr>
          <w:sz w:val="24"/>
          <w:szCs w:val="24"/>
          <w:color w:val="auto"/>
        </w:rPr>
      </w:pPr>
    </w:p>
    <w:p>
      <w:pPr>
        <w:jc w:val="both"/>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7640" w:val="left"/>
          <w:tab w:leader="none" w:pos="82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4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August 14, 2025, the registrant had 35,661,297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243"/>
        </w:trPr>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200" w:lineRule="exact"/>
        <w:rPr>
          <w:sz w:val="20"/>
          <w:szCs w:val="20"/>
          <w:color w:val="auto"/>
        </w:rPr>
      </w:pPr>
    </w:p>
    <w:p>
      <w:pPr>
        <w:spacing w:after="0" w:line="31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4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26"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9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10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industry or securities analysts changing their recommendation, or failing to cover, the DTIC Common Stock;</w:t>
      </w:r>
    </w:p>
    <w:p>
      <w:pPr>
        <w:spacing w:after="0" w:line="115"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9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108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(UNADUDITED)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68,076</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230,279</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500,000,000 as of June 30, 2025 and December</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2024, 35,661,297 issued and outstanding as of June 30, 2025 and 34,704,696 shares issued and</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Treasury stock at cost, 202,611 and 0 shares as of June 30, 2025 and December 31, 2024,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(1,877)</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119,959</w:t>
            </w:r>
          </w:p>
        </w:tc>
        <w:tc>
          <w:tcPr>
            <w:tcW w:w="100" w:type="dxa"/>
            <w:vAlign w:val="bottom"/>
          </w:tcPr>
          <w:p>
            <w:pPr>
              <w:spacing w:after="0"/>
              <w:rPr>
                <w:sz w:val="18"/>
                <w:szCs w:val="18"/>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230,279</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shd w:val="clear" w:color="auto" w:fill="CFF0FC"/>
          </w:tcPr>
          <w:p>
            <w:pPr>
              <w:spacing w:after="0"/>
              <w:rPr>
                <w:sz w:val="19"/>
                <w:szCs w:val="19"/>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-4619625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-1824990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5"/>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198"/>
        </w:trPr>
        <w:tc>
          <w:tcPr>
            <w:tcW w:w="52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Revenue, net: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Tool rental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32,756</w:t>
            </w:r>
          </w:p>
        </w:tc>
        <w:tc>
          <w:tcPr>
            <w:tcW w:w="22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28,328</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67,289</w:t>
            </w:r>
          </w:p>
        </w:tc>
        <w:tc>
          <w:tcPr>
            <w:tcW w:w="22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58,294</w:t>
            </w:r>
          </w:p>
        </w:tc>
        <w:tc>
          <w:tcPr>
            <w:tcW w:w="120" w:type="dxa"/>
            <w:vAlign w:val="bottom"/>
          </w:tcPr>
          <w:p>
            <w:pPr>
              <w:spacing w:after="0"/>
              <w:rPr>
                <w:sz w:val="17"/>
                <w:szCs w:val="17"/>
                <w:color w:val="auto"/>
              </w:rPr>
            </w:pP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Product sale</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6,665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9,205</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16,213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74,507</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Costs and other deductions: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Cost of tool rental revenue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13,482</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 revenue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6,051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5,053</w:t>
            </w:r>
          </w:p>
        </w:tc>
        <w:tc>
          <w:tcPr>
            <w:tcW w:w="12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42,633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37,560</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5,681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13,552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11,047</w:t>
            </w:r>
          </w:p>
        </w:tc>
        <w:tc>
          <w:tcPr>
            <w:tcW w:w="12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(gain) on asset disposal</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Loss (gain) on remeasurement of previously held equity interest</w:t>
            </w:r>
          </w:p>
        </w:tc>
        <w:tc>
          <w:tcPr>
            <w:tcW w:w="18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(729)</w:t>
            </w: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Other operating and non-operating expense,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120" w:type="dxa"/>
            <w:vAlign w:val="bottom"/>
          </w:tcPr>
          <w:p>
            <w:pPr>
              <w:spacing w:after="0"/>
              <w:rPr>
                <w:sz w:val="17"/>
                <w:szCs w:val="17"/>
                <w:color w:val="auto"/>
              </w:rPr>
            </w:pPr>
          </w:p>
        </w:tc>
      </w:tr>
      <w:tr>
        <w:trPr>
          <w:trHeight w:val="19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costs and other deductions</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41,082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37,250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85,790</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70,161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income tax expense</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(1,661)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(3,489)</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4,346</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(746)</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(587)</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(854)</w:t>
            </w:r>
          </w:p>
        </w:tc>
      </w:tr>
      <w:tr>
        <w:trPr>
          <w:trHeight w:val="20"/>
        </w:trPr>
        <w:tc>
          <w:tcPr>
            <w:tcW w:w="5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(2,407)</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(4,076)</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(0.07)</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(0.11)</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2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52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Diluted earnings (loss) per share</w:t>
            </w: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7"/>
                <w:szCs w:val="17"/>
                <w:color w:val="auto"/>
              </w:rPr>
              <w:t>(0.07)</w:t>
            </w:r>
          </w:p>
        </w:tc>
        <w:tc>
          <w:tcPr>
            <w:tcW w:w="260" w:type="dxa"/>
            <w:vAlign w:val="bottom"/>
          </w:tcPr>
          <w:p>
            <w:pPr>
              <w:jc w:val="right"/>
              <w:ind w:right="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15"/>
                <w:szCs w:val="15"/>
                <w:color w:val="auto"/>
              </w:rPr>
            </w:pPr>
          </w:p>
        </w:tc>
        <w:tc>
          <w:tcPr>
            <w:tcW w:w="34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7"/>
                <w:szCs w:val="17"/>
                <w:color w:val="auto"/>
              </w:rPr>
              <w:t>(0.11)</w:t>
            </w:r>
          </w:p>
        </w:tc>
        <w:tc>
          <w:tcPr>
            <w:tcW w:w="280" w:type="dxa"/>
            <w:vAlign w:val="bottom"/>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0.12</w:t>
            </w:r>
          </w:p>
        </w:tc>
        <w:tc>
          <w:tcPr>
            <w:tcW w:w="12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Basic weighted-average common shares outstanding</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35,573,749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29,816,202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35,583,139</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29,792,385</w:t>
            </w:r>
          </w:p>
        </w:tc>
        <w:tc>
          <w:tcPr>
            <w:tcW w:w="120" w:type="dxa"/>
            <w:vAlign w:val="bottom"/>
            <w:shd w:val="clear" w:color="auto" w:fill="CFF0FC"/>
          </w:tcPr>
          <w:p>
            <w:pPr>
              <w:spacing w:after="0"/>
              <w:rPr>
                <w:sz w:val="15"/>
                <w:szCs w:val="15"/>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35,573,749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30,873,436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35,583,139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30,321,002</w:t>
            </w:r>
          </w:p>
        </w:tc>
        <w:tc>
          <w:tcPr>
            <w:tcW w:w="12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(2,407)</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(4,076)</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12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tax</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(409)</w:t>
            </w:r>
          </w:p>
        </w:tc>
      </w:tr>
      <w:tr>
        <w:trPr>
          <w:trHeight w:val="20"/>
        </w:trPr>
        <w:tc>
          <w:tcPr>
            <w:tcW w:w="5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comprehensive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(208)</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(935)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-3093720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-3093720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-3093720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-1534160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-1534160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-1534160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-1534160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-1268095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-1268095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-1268095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-993775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-976630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-993775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-976630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-993775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-976630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-162560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left="340" w:right="1740"/>
        <w:spacing w:after="0" w:line="27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CONDENSED CONSOLIDATED STATEMENTS OF CHANGES IN SHAREHOLDERS’ EQUITY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0"/>
                <w:szCs w:val="20"/>
                <w:color w:val="auto"/>
              </w:rPr>
            </w:pPr>
          </w:p>
        </w:tc>
        <w:tc>
          <w:tcPr>
            <w:tcW w:w="21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sive</w:t>
            </w:r>
          </w:p>
        </w:tc>
        <w:tc>
          <w:tcPr>
            <w:tcW w:w="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 and per share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data)</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7"/>
        </w:trPr>
        <w:tc>
          <w:tcPr>
            <w:tcW w:w="19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(6,306)</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95,426</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(3,180)</w:t>
            </w:r>
          </w:p>
        </w:tc>
        <w:tc>
          <w:tcPr>
            <w:tcW w:w="20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vMerge w:val="continue"/>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200" w:type="dxa"/>
            <w:vAlign w:val="bottom"/>
            <w:gridSpan w:val="2"/>
            <w:vMerge w:val="continue"/>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Exercise of stock</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due to</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June 30,</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29,802,564</w:t>
            </w:r>
          </w:p>
        </w:tc>
        <w:tc>
          <w:tcPr>
            <w:tcW w:w="22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96,536</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-1816735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-1799590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-1816735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-1799590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-1816735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-1799590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-1816735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-1799590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-1816735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-1799590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-1816735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-1799590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-1816735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-1799590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208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228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ve</w:t>
            </w: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8"/>
        </w:trPr>
        <w:tc>
          <w:tcPr>
            <w:tcW w:w="1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and per share data)</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80"/>
        </w:trPr>
        <w:tc>
          <w:tcPr>
            <w:tcW w:w="19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December</w:t>
            </w: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34,704,696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(3,582)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(1,877)</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related to business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combination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adjustment, net</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tax</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March 31,</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35,592,737</w:t>
            </w:r>
          </w:p>
        </w:tc>
        <w:tc>
          <w:tcPr>
            <w:tcW w:w="2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128,878</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(5,251)</w:t>
            </w:r>
          </w:p>
        </w:tc>
        <w:tc>
          <w:tcPr>
            <w:tcW w:w="24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(935)</w:t>
            </w:r>
          </w:p>
        </w:tc>
        <w:tc>
          <w:tcPr>
            <w:tcW w:w="26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9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translation adjustment, net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due to</w:t>
            </w: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June 30,</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35,661,297</w:t>
            </w:r>
          </w:p>
        </w:tc>
        <w:tc>
          <w:tcPr>
            <w:tcW w:w="2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vMerge w:val="restart"/>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202,611</w:t>
            </w:r>
          </w:p>
        </w:tc>
        <w:tc>
          <w:tcPr>
            <w:tcW w:w="20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(608)</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129,520</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(7,657)</w:t>
            </w:r>
          </w:p>
        </w:tc>
        <w:tc>
          <w:tcPr>
            <w:tcW w:w="24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shd w:val="clear" w:color="auto" w:fill="CFF0FC"/>
          </w:tcPr>
          <w:p>
            <w:pPr>
              <w:spacing w:after="0"/>
              <w:rPr>
                <w:sz w:val="15"/>
                <w:szCs w:val="15"/>
                <w:color w:val="auto"/>
              </w:rPr>
            </w:pPr>
          </w:p>
        </w:tc>
        <w:tc>
          <w:tcPr>
            <w:tcW w:w="26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-1448435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-1430655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-1448435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-1430655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-1448435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-1430655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-1448435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-1430655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-1448435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-1430655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-1448435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-1430655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-1448435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-1430655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UNAUDITED 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on currency translation</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 off of excess and obsolete inventory</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 off of excess and obsolete property and equipment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expense</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on equity securities</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lost-in-hole equipment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on related party note receivable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(2,226)</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(3,745)</w:t>
            </w: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8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(18,261)</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(16,312)</w:t>
            </w: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lost-in-hole equipment</w:t>
            </w:r>
          </w:p>
        </w:tc>
        <w:tc>
          <w:tcPr>
            <w:tcW w:w="8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(26,728)</w:t>
            </w: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term loan</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term loan</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on revolving line of credit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8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8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-2819400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-2819400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-1988185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-1988185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-590550</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-590550</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-24765</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-7620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15, 2024 (the “CTG Acquisition Date”), the Company entered into a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$20.9 million. For further details regarding the acquisition, refer to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2024, the Company entered into an agreement and plan of merger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accordance with the terms of the Merger Agreement, the closing of the Merger occurred on July 31, 2024 (the “SDPI Closing Date” or “SDPI Closing”) for total consideration of $47.9 million. For further details regarding the acquisition, refer to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30, 2024, the Company’s wholly owned subsidiary, Drilling Tools International, Inc., entered into a Share Purchase Agreement with European Drilling Projects B.V. (“EDP”), and the sole shareholder of EDP, to acquire 100% of the shares of EDP. The closing of the acquisition occurred on October 3, 2024 for total consideration of $13.9 million. For further details regarding the acquisition, refer to Note 3 – </w:t>
      </w:r>
      <w:r>
        <w:rPr>
          <w:rFonts w:ascii="Times New Roman" w:cs="Times New Roman" w:eastAsia="Times New Roman" w:hAnsi="Times New Roman"/>
          <w:sz w:val="18"/>
          <w:szCs w:val="18"/>
          <w:i w:val="1"/>
          <w:iCs w:val="1"/>
          <w:color w:val="auto"/>
        </w:rPr>
        <w:t>Business Combinations.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2, 2025, the Company’s wholly owned subsidiary, Drilling Tools International, Inc., completed the acquisition of 100% of the shares of Titan Tools Group Limited (“Titan”) for a total consideration of $10.8 million. For further details regarding the acquisition, refer to Note 3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June 30, 2025, and its results of operations for the three and six months ended June 30, 2025 and 2024, and cash flows for the six months ended June 30, 2025 and 2024. The condensed consolidated balance sheet at December 31, 2024, was derived from the audited annual financial statements but does not contain all of the footnote disclosures from the annual financial statements.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the Company changed the presentation of its interim condensed consolidated statements of comprehensive income (loss) from a two-step format to a one-step format. Under the previous two-step format, operating income was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presented as a subtotal. Under the new one-step format, all revenues are presented, followed by all expenses and losses, including income taxes, without the presentation of intermediate subtotals such as operating income. This change was made to simplify the presentation and enhance comparability with peer companies that use a similar format. The prior period’s income statement has been revised to conform to the current year’s presentation. This change in format does not affect the recognition, measurement, or classification of individual line items and has no impact on net income or other key financial metrics.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entities, Casing Technologies Group Limited and Titan Tools Services, which operate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comprehensive income (loss)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other operating and non-operating expenses, net in the accompanying unaudited condensed consolidated statements of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upon the customer’s notification to the Company of the occurrence of one of these noted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Contract assets were recorded in accounts receivable, net in the accompanying unaudited condensed consolidated balance sheets. The changes in contract assets for the year ended December 31, 2024 and six months ended June 30, 2025 were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(54,522)</w:t>
            </w:r>
          </w:p>
        </w:tc>
      </w:tr>
      <w:tr>
        <w:trPr>
          <w:trHeight w:val="209"/>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Borders>
              <w:top w:val="single" w:sz="8" w:color="CFF0FC"/>
            </w:tcBorders>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44,129</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(41,604)</w:t>
            </w:r>
          </w:p>
        </w:tc>
      </w:tr>
      <w:tr>
        <w:trPr>
          <w:trHeight w:val="23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2603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June 30, 2025, December 31, 2024 and December 31, 2023, the Company did not have any contract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June 30,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as well as contract assets for work complete but not yet billed.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2024 and the six months ended June 30, 2025 were as follows (in thousands):</w:t>
      </w:r>
    </w:p>
    <w:p>
      <w:pPr>
        <w:sectPr>
          <w:pgSz w:w="11900" w:h="16838" w:orient="portrait"/>
          <w:cols w:equalWidth="0" w:num="1">
            <w:col w:w="11240"/>
          </w:cols>
          <w:pgMar w:left="320" w:top="985" w:right="339" w:bottom="1440" w:gutter="0" w:footer="0" w:header="0"/>
        </w:sectPr>
      </w:pP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Utilization of allowances for credit losses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Utilization of allowances for credit losses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15" w:hanging="1115"/>
        <w:spacing w:after="0"/>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w:t>
      </w:r>
    </w:p>
    <w:p>
      <w:pPr>
        <w:spacing w:after="0" w:line="27" w:lineRule="exact"/>
        <w:rPr>
          <w:rFonts w:ascii="Times New Roman" w:cs="Times New Roman" w:eastAsia="Times New Roman" w:hAnsi="Times New Roman"/>
          <w:sz w:val="18"/>
          <w:szCs w:val="18"/>
          <w:color w:val="auto"/>
        </w:rPr>
      </w:pPr>
    </w:p>
    <w:p>
      <w:pPr>
        <w:ind w:left="12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w:t>
      </w:r>
    </w:p>
    <w:p>
      <w:pPr>
        <w:spacing w:after="0" w:line="9" w:lineRule="exact"/>
        <w:rPr>
          <w:rFonts w:ascii="Times New Roman" w:cs="Times New Roman" w:eastAsia="Times New Roman" w:hAnsi="Times New Roman"/>
          <w:sz w:val="18"/>
          <w:szCs w:val="18"/>
          <w:color w:val="auto"/>
        </w:rPr>
      </w:pPr>
    </w:p>
    <w:p>
      <w:pPr>
        <w:ind w:left="1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w:t>
      </w:r>
    </w:p>
    <w:p>
      <w:pPr>
        <w:spacing w:after="0" w:line="9" w:lineRule="exact"/>
        <w:rPr>
          <w:sz w:val="20"/>
          <w:szCs w:val="20"/>
          <w:color w:val="auto"/>
        </w:rPr>
      </w:pPr>
    </w:p>
    <w:p>
      <w:pPr>
        <w:ind w:left="1115" w:hanging="1115"/>
        <w:spacing w:after="0"/>
        <w:tabs>
          <w:tab w:leader="none" w:pos="11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(1,690)</w:t>
      </w:r>
    </w:p>
    <w:p>
      <w:pPr>
        <w:spacing w:after="0" w:line="22" w:lineRule="exact"/>
        <w:rPr>
          <w:rFonts w:ascii="Times New Roman" w:cs="Times New Roman" w:eastAsia="Times New Roman" w:hAnsi="Times New Roman"/>
          <w:sz w:val="18"/>
          <w:szCs w:val="18"/>
          <w:color w:val="auto"/>
        </w:rPr>
      </w:pPr>
    </w:p>
    <w:p>
      <w:pPr>
        <w:ind w:left="12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w:t>
      </w:r>
    </w:p>
    <w:p>
      <w:pPr>
        <w:spacing w:after="0" w:line="9" w:lineRule="exact"/>
        <w:rPr>
          <w:rFonts w:ascii="Times New Roman" w:cs="Times New Roman" w:eastAsia="Times New Roman" w:hAnsi="Times New Roman"/>
          <w:sz w:val="18"/>
          <w:szCs w:val="18"/>
          <w:color w:val="auto"/>
        </w:rPr>
      </w:pPr>
    </w:p>
    <w:p>
      <w:pPr>
        <w:ind w:left="13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115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1115" w:hanging="1115"/>
        <w:spacing w:after="0"/>
        <w:tabs>
          <w:tab w:leader="none" w:pos="11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(2,227)</w:t>
      </w:r>
    </w:p>
    <w:p>
      <w:pPr>
        <w:spacing w:after="0" w:line="663" w:lineRule="exact"/>
        <w:rPr>
          <w:sz w:val="20"/>
          <w:szCs w:val="20"/>
          <w:color w:val="auto"/>
        </w:rPr>
      </w:pPr>
    </w:p>
    <w:p>
      <w:pPr>
        <w:sectPr>
          <w:pgSz w:w="11900" w:h="16838" w:orient="portrait"/>
          <w:cols w:equalWidth="0" w:num="2">
            <w:col w:w="8265" w:space="720"/>
            <w:col w:w="2255"/>
          </w:cols>
          <w:pgMar w:left="320" w:top="985"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customer concentration may impact its overall credit risk, either positively or negatively, in that these entities may be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similarly affected by changes in economic or other conditions affecting the oil and gas industry.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generated approximately 25% and 25%, respectively, of its revenue from 2 customers. During the six months ended June 30, 2025 and 2024, the Company generated approximately 27% and 27%, respectively, of its revenue from two customers. Amounts due from these customers included in accounts receivable at June 30, 2025 and December 31, 2024 were approximately $6.7 million and $5.4 million,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did not have any vendors that represented over 10% of total purchases. Additionally, during the six months ended June 30, 2025 and 2024, the Company did not have any vendors that represented over 10% of total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the operating costs section of the unaudited condensed consolidated statements of comprehensive income (loss) and establish a new cost basis for the inventory. Inventory includes raw material, work in progress, and finished goods.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expense when incurred. When property, plant and equipment is retired or otherwise disposed of, the related cost and accumulated depreciation are removed from the accounts and any resulting gain or loss is included in loss (gain) on asset disposal.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 six months ended June 30, 2025 and 2024, management determined that there were no triggering events necessitating impairment testing of property, plant and equipment, net. The segment realignment that occurred on January 1, 2025, did trigger a goodwill impairment test as required. Please refer to Note 7 - </w:t>
      </w: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b w:val="1"/>
          <w:bCs w:val="1"/>
          <w:color w:val="auto"/>
        </w:rPr>
        <w:t xml:space="preserve"> for discussion around segment realignment and the Company's impairment analysis during the six months ended June 30,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To align with our change in reporting segments and reporting units referenced in Note 7 – </w:t>
      </w: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b w:val="1"/>
          <w:bCs w:val="1"/>
          <w:color w:val="auto"/>
        </w:rPr>
        <w:t xml:space="preserve">, the Company has changed its annual goodwill impairment assessment date from December 31 to October 31 starting in 2025. This change will not have a material impact on the annual assessment.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 Refer to Note 7 - </w:t>
      </w: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b w:val="1"/>
          <w:bCs w:val="1"/>
          <w:color w:val="auto"/>
        </w:rPr>
        <w:t xml:space="preserve"> for discussion around segment realignment and the Company's impairment analysis during the six months ended June 30, 2025.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Level 1 – Valuation inputs are unadjusted quoted market prices for identical assets or liabilities in active markets.</w:t>
      </w:r>
    </w:p>
    <w:p>
      <w:pPr>
        <w:spacing w:after="0" w:line="22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Level 2 – Valuation inputs are quoted prices for identical assets or liabilities in markets that are not active, quoted market prices for similar assets and liabilities in active markets and other observable inputs directly or indirectly related to the assets or liabilities being measured.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Level 3 – Valuation inputs are unobservable and significant to the fair value measurement.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In determining the appropriate levels, the Company performs a detailed analysis of the assets and liabilities that are measured and reported on a fair value basis. The valuation of assets and liabilities recognized in business combinations are considered level 3 fair value measurements on the closing date of the acquisition. These assets and liabilities are not remeasured at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2024, the Company did not have any Level 1, 2 or 3 assets or liabilities measured on a 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comprehensive income (loss). All indirect operating costs, including labor, freight, contract labor and others, are included in selling, general, and administrative expense in the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 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cost method to record treasury stock purchases whereby the entire cost of the acquired shares of our common stock is recorded as treasury stock (at cost). When we subsequently reissue these shares, proceeds in excess of cost upon the issuance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treasury shares are credited to additional paid-in-capital, while any deficiency is charged to retained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dividing the diluted net income (loss) by the weighted-average number of common shares outstanding for the period, including potential dilutive common stock. For the purposes of this calculation, outstanding stock options are considered potential dilutive common stock and are excluded from the computation of net loss per share if their effect is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uncertain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June 30, 2025 and December 31, 2024. The Company believes there are no tax positions taken or expected to be taken that would significantly increase or decrease unrecognized tax benefits within twelve months of the reporting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comprehensive income (loss) for the three and six months ended June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purposes of making operations decisions, allocating resources and evaluating financial performance.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coinciding with the closing of the Company’s acquisition of Titan Tools Services Limited, the Company has realigned its operations to support its strategic initiatives to expand its global operations and reach new markets, particularly in the Eastern Hemisphere. As a result, the Company realigned its reportable segments to correspond with changes to its operating model, management structure, and organizational responsibilities. Consequently, the Company has determined it operates in two operating and reportable segments: Eastern Hemisphere and Western Hemisphere. This realignment is reflected within the Company's unaudited condensed consolidated financial statements and prior periods are retrospectively revised to reflect this change in reportable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restructuring charges in accordance with ASC 420, Exist or Disposal Cost Obligations. Restructuring costs primarily include severance and other employee-related termination benefits, as well as reorganization costs associated with strategic initiatives to streamline operations or reduce overhead. These costs are recognized when a formal plan has been approved, communicated to affected employees, and the obligation is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Adoption of Segment Reporting Standard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2B333D"/>
        </w:rPr>
        <w:t xml:space="preserve">In November 2023, FASB issued Accounting Standard Update (“ASU”) 2023-07, Segment Reporting (Topic 280) - Improvements to Reportable Segment Disclosures, which includes requirements for more robust disclosures of significant segment expenses and information used in assessing segment performance on an annual and interim basis. The guidance also requires that a public entity that has a single reportable segment provide all the disclosures required by the guidance and all existing segment disclosures under the FASB Accounting Standards Codification (“ASC”) Topic 280, Segment Reporting. This standard was effective for the Company’s annual period beginning January 1, 2024 and is effective for the Company's interim periods beginning January 1, 2025. The Company applied the standard retrospectively to all comparative periods. Refer to Note 17 - </w:t>
      </w:r>
      <w:r>
        <w:rPr>
          <w:rFonts w:ascii="Times New Roman" w:cs="Times New Roman" w:eastAsia="Times New Roman" w:hAnsi="Times New Roman"/>
          <w:sz w:val="18"/>
          <w:szCs w:val="18"/>
          <w:i w:val="1"/>
          <w:iCs w:val="1"/>
          <w:color w:val="2B333D"/>
        </w:rPr>
        <w:t>Segment Information</w:t>
      </w:r>
      <w:r>
        <w:rPr>
          <w:rFonts w:ascii="Times New Roman" w:cs="Times New Roman" w:eastAsia="Times New Roman" w:hAnsi="Times New Roman"/>
          <w:sz w:val="18"/>
          <w:szCs w:val="18"/>
          <w:color w:val="2B333D"/>
        </w:rPr>
        <w:t xml:space="preserve"> for the required segment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Adoption of Income Taxes - Improvements to Income Tax Disclosures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333D"/>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currently evaluating the effects of adopting this new accounting guidance on its disclosures but does not currently expect adoption will have a material impact on the Company’s consolidated financial statements. The new disclosure requirements will be effective for the 2025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B333D"/>
        </w:rPr>
        <w:t>Accounting Standards Issued But Not Yet Effective - Expense Disaggregation Disclosures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333D"/>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REVISIONS OF PREVIOSULY ISSED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certain errors in its previously issued December 31, 2023 audited consolidated financial statements related to the presentation between cost of tool rental revenue and cost of product sale revenue. Through management's review of classification within the consolidated statements of income and comprehensive income, the Company identified that the cost of revenue for the sale of accessories was historically presented within cost of tool rental revenue, as opposed to correctly presented within cost of product sale revenue, whereas the associated accessory revenue is presented in product sale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these errors in accordance with SEC Staff Accounting Bulletin Number 99, Materiality (“SAB 99”), which is since codified in Accounting Standards Codification 250, Accounting Changes and Error Corrections (“ASC 250”). The Company performed a quantitative and qualitative assessment of the errors and determine that the errors did not have a material impact to previously issued financial statements. Management noted that the presentation errors identified resulted in a net zero impact to total costs and other deductions or net income. Therefore, these immaterial errors have been corrected in the current period in accordance with the guidance under SAB 99 and ASC 250.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presented herein for the three and six months ended June 30, 2024 have been revised to correct the errors described above in accordance with SEC SAB Topic 1.M, as codified in ASC 250.</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Total Adjustment</w:t>
            </w:r>
          </w:p>
        </w:tc>
        <w:tc>
          <w:tcPr>
            <w:tcW w:w="320" w:type="dxa"/>
            <w:vAlign w:val="bottom"/>
          </w:tcPr>
          <w:p>
            <w:pPr>
              <w:spacing w:after="0"/>
              <w:rPr>
                <w:sz w:val="16"/>
                <w:szCs w:val="16"/>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1"/>
                <w:szCs w:val="11"/>
                <w:color w:val="auto"/>
              </w:rPr>
            </w:pPr>
          </w:p>
        </w:tc>
        <w:tc>
          <w:tcPr>
            <w:tcW w:w="14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Total Adjustment</w:t>
            </w:r>
          </w:p>
        </w:tc>
        <w:tc>
          <w:tcPr>
            <w:tcW w:w="320" w:type="dxa"/>
            <w:vAlign w:val="bottom"/>
          </w:tcPr>
          <w:p>
            <w:pPr>
              <w:spacing w:after="0"/>
              <w:rPr>
                <w:sz w:val="16"/>
                <w:szCs w:val="16"/>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1"/>
                <w:szCs w:val="11"/>
                <w:color w:val="auto"/>
              </w:rPr>
            </w:pPr>
          </w:p>
        </w:tc>
        <w:tc>
          <w:tcPr>
            <w:tcW w:w="14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(973)</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Acquisition of CTG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On the March 15, 2024, the Company’s wholly owned subsidiary, Drilling Tools International, Inc., entered into and consummated the Share Purchase Agreement with CTG, the shareholders of CTG, and a representative of CTG, to acquire 100% of the shares of CTG for a gross cash purchase consideration of $20.9 million.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CTG Acquisition has been accounted for as a business combination in accordance with ASC 805, </w:t>
      </w:r>
      <w:r>
        <w:rPr>
          <w:rFonts w:ascii="Times New Roman" w:cs="Times New Roman" w:eastAsia="Times New Roman" w:hAnsi="Times New Roman"/>
          <w:sz w:val="18"/>
          <w:szCs w:val="18"/>
          <w:b w:val="1"/>
          <w:bCs w:val="1"/>
          <w:i w:val="1"/>
          <w:iCs w:val="1"/>
          <w:color w:val="auto"/>
        </w:rPr>
        <w:t>Business Combinations (“</w:t>
      </w:r>
      <w:r>
        <w:rPr>
          <w:rFonts w:ascii="Times New Roman" w:cs="Times New Roman" w:eastAsia="Times New Roman" w:hAnsi="Times New Roman"/>
          <w:sz w:val="18"/>
          <w:szCs w:val="18"/>
          <w:b w:val="1"/>
          <w:bCs w:val="1"/>
          <w:color w:val="auto"/>
        </w:rPr>
        <w:t>ASC 805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allocation of the purchase price is as follows: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Measurement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Preliminary</w:t>
            </w:r>
          </w:p>
        </w:tc>
        <w:tc>
          <w:tcPr>
            <w:tcW w:w="12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March 15, 2024</w:t>
            </w: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 adjusted March 15, 2024</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FF0FC"/>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ROU asset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2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100" w:type="dxa"/>
            <w:vAlign w:val="bottom"/>
            <w:shd w:val="clear" w:color="auto" w:fill="CFF0FC"/>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-170815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$0.4 million and $1.1 million, respectively, during the three and six months ended June 30, 2024, which is included in other operating and non-operating expenses, net in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Superior Drilling Products, Inc.</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On March 6, 2024,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 In accordance with the terms of the Merger Agreement, the closing of the Merger occurred on July 31, 2024 (the “SDPI Closing Date” or “SDPI Closing”) for total consideration of $47.9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 UT bit repair business supporting major OEMs of PDC drill bits, and leverage their high-spec machine shop. In addition, we acquired over 30 patents and patents pending, the majority of which have been granted.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acquisition of SDPI has been accounted for as a business combination in accordance with ASC 805, Business Combinations. The Company has been treated as the accounting acquirer. Accordingly, SDPI's tangible and identifiable intangible assets acquired and its liabilities assumed were recorded at their estimated fair values on the SDPI Closing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allocation of the purchase is as follows (in thousands):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note receivable, noncurrent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 As of June 30, 2025, the Company is complete with the process of allocating the purchase price and valuing the acquired assets and liabilities assumed.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$0.7 million and $0.8 million, respectively, during the three and six months ended June 30, 2024, which is included in other operating and non-operating expenses, net in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European Drilling Projects B.V.</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the Company’s wholly owned subsidiary, Drilling Tools International, Inc., entered the Share Purchase Agreement with European Drilling Projects B.V. (“EDP”), and the sole shareholder of EDP, to acquire 100% of the shares of EDP. European Drilling Products is a global provider of next-generation stabilizers, specialty reamers, and wellbore optimization technology for the drilling industry. EDP designs and manufactures bespoke drilling equipment tailored to address specific industry challenges. The integration of EDP's expertise aligns seamlessly with DTI's international growth strategy and commitment to technological differentiation.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terms of the Merger Agreement, the closing of the acquisition occurred on October 3, 2024 (the “EDP Closing Date” or “EDP Closing”) for total consideration of $13.9 million, including a Promissory Note payable to parent company of EDP for $5.2 million. On April 22, 2025, the First Amendment to the Promissory Note was entered into, reducing the balance owed on the Promissory Note by $0.3 million. As the amendment was signed within a year of the acquisition date of September 30, 2024 and related to additional information about matters which existed as of the acquisition date, the Company accounted for the amendment as a measurement period adjustment. Please refer to the table below for the impact of the reduction. Additionally,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for further information regarding the Promissory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EDP has been accounted for as a business combination in accordance with ASC 805, Business Combinations (“ASC 805”). Drilling Tools International, Inc. has been treated as the accounting acquirer. Accordingly, EDP’s tangible and identifiable intangible assets acquired, and its liabilities assumed were recorded at their estimated fair values on the EDP Closing Date. The purchase price allocation for the Merger is preliminary and subject to revision. Additional information that existed as of the EDP Closing Date may become known during the remainder of the measurement period, which will not extend beyond one year from the EDP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 (in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Preliminary</w:t>
            </w:r>
          </w:p>
        </w:tc>
        <w:tc>
          <w:tcPr>
            <w:tcW w:w="500" w:type="dxa"/>
            <w:vAlign w:val="bottom"/>
          </w:tcPr>
          <w:p>
            <w:pPr>
              <w:spacing w:after="0"/>
              <w:rPr>
                <w:sz w:val="24"/>
                <w:szCs w:val="24"/>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Measurement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adjusted</w:t>
            </w: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Period</w:t>
            </w: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-1576705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-1576705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-462280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EDP as the acquisition not only enhances DTI's competitive edge, but also reinforces its position as a leader in providing innovative drilling solutions to the global oil and gas industry. Goodwill will be evaluated for impairment at least annually. Goodwill attributable to the acquisition of EDP is not deductible for tax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 measurement period adjustment was identified as it relates to the consideration transferred and the recognition of deferred tax assets and liabilities. The total measurement period adjustment was $1.7 million. The measurement period adjustment impacted the goodwill recognized on September 30, 2024. As of June 30, 2025, the Company is in the process of allocating the purchase price and valuing the acquired assets and liabilities assumed, specifically as it relates to applicable foreign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Titan is a full-service, down-hole tool rental company for land and offshore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focused on wellbore construction rental items for both traditional hydrocarbon extraction and geothermal industries. Titan's primary operations are located in the United Kingdom, Europe, and Africa.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to Titan shareholders</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Titan transaction costs to be paid by DTI</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Closing date equity consideration</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Effective settlement of preexisting relationship between DTI and Titan </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1680" w:hanging="175"/>
        <w:spacing w:after="0"/>
        <w:tabs>
          <w:tab w:leader="none" w:pos="16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1500" w:right="2700" w:firstLine="5"/>
        <w:spacing w:after="0"/>
        <w:tabs>
          <w:tab w:leader="none" w:pos="167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 The purchase price allocation for the acquisition is preliminary and subject to revision. Additional information that existed as of the Titan Closing Date may become known during the remainder of the measurement period, which will not extend beyond one year from the Titan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is as follows (in thousands):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Titan Closing Date, and the methodologies used to determine the fair values of those intangible assets (in thousands):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Useful life</w:t>
            </w:r>
          </w:p>
        </w:tc>
        <w:tc>
          <w:tcPr>
            <w:tcW w:w="3640" w:type="dxa"/>
            <w:vAlign w:val="bottom"/>
            <w:tcBorders>
              <w:top w:val="single" w:sz="8" w:color="auto"/>
            </w:tcBorders>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(in years)</w:t>
            </w:r>
          </w:p>
        </w:tc>
        <w:tc>
          <w:tcPr>
            <w:tcW w:w="36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Fair value methodology</w:t>
            </w:r>
          </w:p>
        </w:tc>
      </w:tr>
      <w:tr>
        <w:trPr>
          <w:trHeight w:val="209"/>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36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25</w:t>
            </w:r>
          </w:p>
        </w:tc>
        <w:tc>
          <w:tcPr>
            <w:tcW w:w="3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3796030</wp:posOffset>
            </wp:positionH>
            <wp:positionV relativeFrom="page">
              <wp:posOffset>624840</wp:posOffset>
            </wp:positionV>
            <wp:extent cx="85725" cy="316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-170815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$0.3 million and $0.5 million, respectively, during the three and six months ended June 30, 2025, which is included in other operating and non-operating expenses, net in the consolidated statements of income and comprehensive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income and comprehensive income for the three and six months ended June 30, 2025, include Titan’s revenues of $3.0 million and $5.6 million, respectively, and net income of $0.6 million and $0.7 million, respectively from the Titan Closing Date to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 (unaudited)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and six months ended June 30, 2025 and 2024, combine the consolidated results of the Company, SDPI and CTG, giving effect to the mergers as if they had been completed on January 1, 2024. The unaudited supplemental pro forma financial results to not give effect to the impact of the Titan or EDP Acquisition as these were not considered significant individually or in the aggregate. This unaudited supplemental pro forma financial information is presented for informational purposes only and is not indicative of future operations or results had the acquisition been completed as of January 1, 2024, or any other date.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vMerge w:val="restart"/>
          </w:tcPr>
          <w:p>
            <w:pPr>
              <w:spacing w:after="0"/>
              <w:rPr>
                <w:sz w:val="20"/>
                <w:szCs w:val="20"/>
                <w:color w:val="auto"/>
              </w:rPr>
            </w:pPr>
          </w:p>
        </w:tc>
        <w:tc>
          <w:tcPr>
            <w:tcW w:w="20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4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4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39,421</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(2,407)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2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846"/>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Six months ended June 30,</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80" w:type="dxa"/>
            <w:vAlign w:val="bottom"/>
            <w:vMerge w:val="continue"/>
          </w:tcPr>
          <w:p>
            <w:pPr>
              <w:spacing w:after="0"/>
              <w:rPr>
                <w:sz w:val="18"/>
                <w:szCs w:val="18"/>
                <w:color w:val="auto"/>
              </w:rPr>
            </w:pPr>
          </w:p>
        </w:tc>
        <w:tc>
          <w:tcPr>
            <w:tcW w:w="1080" w:type="dxa"/>
            <w:vAlign w:val="bottom"/>
            <w:gridSpan w:val="2"/>
          </w:tcPr>
          <w:p>
            <w:pPr>
              <w:spacing w:after="0"/>
              <w:rPr>
                <w:sz w:val="18"/>
                <w:szCs w:val="18"/>
                <w:color w:val="auto"/>
              </w:rPr>
            </w:pPr>
          </w:p>
        </w:tc>
        <w:tc>
          <w:tcPr>
            <w:tcW w:w="1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2980" w:type="dxa"/>
            <w:vAlign w:val="bottom"/>
            <w:gridSpan w:val="3"/>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2980" w:type="dxa"/>
            <w:vAlign w:val="bottom"/>
            <w:gridSpan w:val="3"/>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(4,076)</w:t>
            </w:r>
          </w:p>
        </w:tc>
        <w:tc>
          <w:tcPr>
            <w:tcW w:w="240" w:type="dxa"/>
            <w:vAlign w:val="bottom"/>
          </w:tcPr>
          <w:p>
            <w:pPr>
              <w:spacing w:after="0"/>
              <w:rPr>
                <w:sz w:val="20"/>
                <w:szCs w:val="20"/>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-452120</wp:posOffset>
            </wp:positionV>
            <wp:extent cx="8572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-452120</wp:posOffset>
            </wp:positionV>
            <wp:extent cx="8572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0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3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8"/>
                <w:szCs w:val="18"/>
                <w:color w:val="auto"/>
              </w:rPr>
              <w:t>21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-1062355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-1062355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on inventory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income tax</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rent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equipment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prepaid expenses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insurance</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property taxes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monitoring fees</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income</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9,927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7,864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213,878</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205,939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224,988</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216,234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deprecation</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(148,780)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6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76,208</w:t>
            </w:r>
          </w:p>
        </w:tc>
        <w:tc>
          <w:tcPr>
            <w:tcW w:w="10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74,031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79,310</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75,571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1090"/>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-3462655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-3445510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-3462655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-3445510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-916305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-899160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-916305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-899160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three months ended June 30, 2025 and 2024 was approximately $6.2 million and $5.6 million, respectively. Total depreciation expense for the six months ended June 30, 2025 and 2024 was approximately $12.3 million and $10.9 million, respectively. The Company has not acquired any property, plant and equipment under capital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54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39,714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(3,808)</w:t>
            </w:r>
          </w:p>
        </w:tc>
        <w:tc>
          <w:tcPr>
            <w:tcW w:w="28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(2,482)</w:t>
            </w: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4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37,232</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weighted-average remaining amortization period for trade names as of June 30, 2025 was 12.2 years. The weighted-average remaining amortization period for developed technology as of June 30, 2025 was 15.1 years. The weighted-average remaining amortization period for customer relationships as of June 30, 2025 was 19.9 years.The weighted-average remaining amortization period for patents as of June 30, 2025 was 12.9 years. Total amortization expense for the three months ended June 30, 2025 and 2024 was approximately $0.6 million and $0.1 million, respectively. Total amortization expense for the six months ended June 30, 2025 and 2024 was approximately $1.3 million and $0.1 million, respectively. Estimated future amortization expense for the next five years is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8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40,666</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six months ended June 30, 2025 was as follows (in thousands):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2024</w:t>
            </w: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(1,901)</w:t>
            </w:r>
          </w:p>
        </w:tc>
      </w:tr>
      <w:tr>
        <w:trPr>
          <w:trHeight w:val="203"/>
        </w:trPr>
        <w:tc>
          <w:tcPr>
            <w:tcW w:w="832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3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balance as of June 30, 2025</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14,704</w:t>
            </w:r>
          </w:p>
        </w:tc>
        <w:tc>
          <w:tcPr>
            <w:tcW w:w="100" w:type="dxa"/>
            <w:vAlign w:val="bottom"/>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Units and Goodwill Impairment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2025, the Company realigned its reportable segments to correspond with changes to its operating model, management structure, and organizational responsibilities. We bifurcated results into two segments: Eastern Hemisphere and Western Hemisphere. As a result, we split into four reporting units and reallocated goodwill among our affected reporting units on a relative fair value basis.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We performed a goodwill impairment assessment immediately before and after our business reorganization. We concluded based on our pre-reorganization impairment test that goodwill was not impaired. As a result of the post-reorganization impairment test, we recognized a non-cash goodwill impairment loss of $1.9 million during the six months ended June 30, 2025, related to our Diamond Products and Deep Casing reporting units as the estimated fair values of the new reporting units was lower than the related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 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“Revolving Line of Credit”)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the Company is required to make an annual payment of up to $5,000,000, to be determined based on the Excess Cash Flows generated each fiscal year commencing with the year ended December 31, 2024, as defined in the Credit Facility. Based on the calculation for Excess Cash Flows laid forth in the agreement, no payment was owed in April 2025.</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interest on the amount drawn on the Revolving Line of Credit and Term Loan and the outstanding Term Loan balance are based on the Secured Overnight Financing Rate ("SOFR") or the bank’s base lending rate plus applicable margin (approximately 6.78% and 8.30%, respectively, at June 30, 2025). The Credit Facility is collateralized by substantially all the assets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was $33.1 million drawn against the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 of EDP, the Company issued an unsecured Promissory Note to the former parent company of EDP, totaling $5.2 million. On April 22, 2025, the First Amendment to the note was signed, reducing the balance by $0.3 million. The note bears an interest rate of 8% per annum. The note matures in December 2029 and payments are made quarterly. The note is a foreign currency denominated monetary liability (issuance and payments are denominated Euro), and as such, is measured at the end of each reporting unit based on the exchange rate at that date. The remaining balance on the Promissory Note was $4.6 million as of June 30, 2025. For the three and six months ended June 30, 2025 and 2024, the Company recognized a loss of $0.4 million and $0.3 million, respectively, on the condensed consolidated statements of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future maturities of long-term debt consisted of the following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 term debt</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56,916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from the host contract and was to be accounted for at fair value. In accordance with ASC 815-15, the Company bifurcated the Default Rate feature of the note and determined the derivative is liability classified.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June 30, 2025 and December 31, 2024 and therefore no amounts were recorded as of June 30, 2025 or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and benefit on the unaudited condensed consolidated statements of comprehensive income (loss) of $0.7 million and $0.1 million for the three months ended June 30, 2025 and 2024, respectively. Additionally, the Company recorded income tax expense on the unaudited condensed consolidated statements of comprehensive income (loss) of $0.6 million and $0.9 million for the six months ended June 30, 2025 and 2024,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expense for the six months ended June 30, 2025 was calculated using a discrete approach. This methodology was used because changes in the Company's results of operations and acquisitions can materially impact the estimated annual effective tax rate. The Company’s effective tax rate for the six months ended June 30, 2025 and 2024 were provisions of 16.8% and 19.6%, respectively. Such rates differed from the Federal Statutory rate of 21.0% primarily due to the state taxes, foreign income taxes on the Company’s international operations, and permanent differences.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six months ended June 30, 2025 and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still evaluating the tax impact of the Titan Acquisition, including the impact of the transaction costs. Additionally, the Company continues to evaluate the deferred tax assets and liabilities and corresponding valuation allowance in connection with the Titan Acquisition.</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 the U.S. The OBBBA includes significant provisions, such as the permanent extension of certain expiring provisions of the Tax Cuts and Jobs Act, modifications to the international tax framework and restoration of favorable tax treatment for certain business provisions. The legislation has multiple effective dates, with certain provisions effective in 2025 and others implemented through 2027. We do not believe it will have a material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June 30, 2025, there were 1,045,226 shares of Common Stock available for issuance under the 2023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model. Expected volatilities 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38"/>
        </w:trPr>
        <w:tc>
          <w:tcPr>
            <w:tcW w:w="2960" w:type="dxa"/>
            <w:vAlign w:val="bottom"/>
          </w:tcPr>
          <w:p>
            <w:pPr>
              <w:spacing w:after="0"/>
              <w:rPr>
                <w:sz w:val="20"/>
                <w:szCs w:val="20"/>
                <w:color w:val="auto"/>
              </w:rPr>
            </w:pPr>
          </w:p>
        </w:tc>
        <w:tc>
          <w:tcPr>
            <w:tcW w:w="1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4,963,626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June 30, 2025</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4,963,626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FF0FC"/>
          </w:tcPr>
          <w:p>
            <w:pPr>
              <w:spacing w:after="0"/>
              <w:rPr>
                <w:sz w:val="19"/>
                <w:szCs w:val="19"/>
                <w:color w:val="auto"/>
              </w:rPr>
            </w:pPr>
          </w:p>
        </w:tc>
        <w:tc>
          <w:tcPr>
            <w:tcW w:w="2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UNVESTED, June 30, 2025</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1,656,666</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7"/>
                <w:szCs w:val="17"/>
                <w:color w:val="auto"/>
              </w:rPr>
            </w:pPr>
          </w:p>
        </w:tc>
        <w:tc>
          <w:tcPr>
            <w:tcW w:w="2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8.63</w:t>
            </w:r>
          </w:p>
        </w:tc>
        <w:tc>
          <w:tcPr>
            <w:tcW w:w="46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June 30, 2025</w:t>
            </w:r>
          </w:p>
        </w:tc>
        <w:tc>
          <w:tcPr>
            <w:tcW w:w="1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3,306,960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3.90</w:t>
            </w:r>
          </w:p>
        </w:tc>
        <w:tc>
          <w:tcPr>
            <w:tcW w:w="46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-350520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-333375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-350520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-333375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$0.4 million and $0.4 million, respectively, of stock-based compensation expense related to stock options within selling, general, and administrative expenses on the unaudited condensed consolidated statements of comprehensive income (loss). During the six months ended June 30, 2025 and 2024, the Company recognized $0.8 million and $0.6 million, respectively, of stock-based compensation expense within selling, general, and administrative expenses on the unaudited condensed consolidated statements of comprehensive income (loss). As of June 30, 2025, total unrecognized compensation expense related to the stock options totaled $2.4 million. The unrecognized compensation expense will be recognized over the weighted average remaining vesting term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are granted to the members of the Board of Directors annually. Additionally, in February 2025, 909,321 RSUs were granted to key employees and officers.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June 30, 2025:</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Exercise</w:t>
            </w:r>
          </w:p>
        </w:tc>
      </w:tr>
      <w:tr>
        <w:trPr>
          <w:trHeight w:val="238"/>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1,052,451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(68,560)</w:t>
            </w: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June 30, 2025</w:t>
            </w:r>
          </w:p>
        </w:tc>
        <w:tc>
          <w:tcPr>
            <w:tcW w:w="1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1,052,451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$0.3 million and $0.4 million, respectively, of stock- based compensation related to RSUs within selling, general, and administrative expenses on the unaudited condensed consolidated statements of comprehensive income (loss). During the six months ended June 30, 2025 and 2024, the Company recognized $0.4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ind w:firstLine="79"/>
        <w:spacing w:after="0" w:line="266" w:lineRule="auto"/>
        <w:rPr>
          <w:sz w:val="20"/>
          <w:szCs w:val="20"/>
          <w:color w:val="auto"/>
        </w:rPr>
      </w:pPr>
      <w:r>
        <w:rPr>
          <w:rFonts w:ascii="Times New Roman" w:cs="Times New Roman" w:eastAsia="Times New Roman" w:hAnsi="Times New Roman"/>
          <w:sz w:val="18"/>
          <w:szCs w:val="18"/>
          <w:color w:val="auto"/>
        </w:rPr>
        <w:t>and $0.4 million, respectively, of stock based compensation related to RSUs within selling, general, and administrative expenses on the unaudited condensed consolidated statements of comprehensive income (loss). As of June 30, 2025, unrecognized compensation expense related to the RSUs totaled $3.0 million. The unrecognized compensation expense will be recognized over the weighted average remaining vesting term of 3.3 years.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OPERATING AND NON-OPERATING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three months ended June 30, 2025 and 2024 (in thousands):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8"/>
        </w:trPr>
        <w:tc>
          <w:tcPr>
            <w:tcW w:w="4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expesnes, net</w:t>
            </w:r>
          </w:p>
        </w:tc>
        <w:tc>
          <w:tcPr>
            <w:tcW w:w="10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12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six months ended June 30, 2025 and 2024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18"/>
                <w:szCs w:val="18"/>
                <w:color w:val="auto"/>
              </w:rPr>
            </w:pPr>
          </w:p>
        </w:tc>
        <w:tc>
          <w:tcPr>
            <w:tcW w:w="2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38"/>
        </w:trPr>
        <w:tc>
          <w:tcPr>
            <w:tcW w:w="4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1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expesnes, net</w:t>
            </w:r>
          </w:p>
        </w:tc>
        <w:tc>
          <w:tcPr>
            <w:tcW w:w="11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12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management fees paid to Hicks Holdings Operating LLC ("HHLLC"), a shareholder of the Company, were approximately $0.2 million and $0.2 million, respectively. For the six months ended June 30, 2025 and 2024, management fees paid to Hicks Holdings Operating LLC were approximately $0.4 million and $0.4 million, respectively. Management fees paid to a shareholder are included in selling, general and administrative expense in the accompanying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fees for the three months ended June 30, 2025 and 2024, director fees paid to Board were approximately $0.1 million and $0.2 million, respectively. Director fees for the six months ended June 30, 2025 and 2024, director fees paid to Board members were approximately $0.2 million and $0.3 million, respectively. Director fees are included in selling, general and administrative expense in the accompanying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Pursuant to the Sixth Amendment and Restated Promissory Note, Tronco will make payments to the Company of $1.3 million annually, commencing on the first anniversary of the Closing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fifth anniversary of the Closing Date. Per the agreement, if the 20-day volume-weighted average price of DTI falls below $3.20 per share, the principal that otherwise would have been due shall be deferred and apportioned over the remaining payment dates under specified in the agreement. Any payments due and not received by the Company before the fifth date following the anniversary date will bear interest from the date of nonpayment until paid equal to 3%. In accordance with ASC 805, the receivable's fair value was measured at the present value of future cash flows upon the Closing Date. The carrying value of the note as of June 30, 2025 was $5.4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the components of the Company’s lease expense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414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0" w:type="dxa"/>
            <w:vAlign w:val="bottom"/>
          </w:tcPr>
          <w:p>
            <w:pPr>
              <w:spacing w:after="0"/>
              <w:rPr>
                <w:sz w:val="1"/>
                <w:szCs w:val="1"/>
                <w:color w:val="auto"/>
              </w:rPr>
            </w:pPr>
          </w:p>
        </w:tc>
      </w:t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720" w:type="dxa"/>
            <w:vAlign w:val="bottom"/>
            <w:gridSpan w:val="2"/>
            <w:shd w:val="clear" w:color="auto" w:fill="CFF0FC"/>
          </w:tcPr>
          <w:p>
            <w:pPr>
              <w:ind w:left="25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4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78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Six months ended June 30, 2024</w:t>
      </w:r>
    </w:p>
    <w:p>
      <w:pPr>
        <w:spacing w:after="0" w:line="1" w:lineRule="exact"/>
        <w:rPr>
          <w:sz w:val="20"/>
          <w:szCs w:val="20"/>
          <w:color w:val="auto"/>
        </w:rPr>
      </w:pPr>
    </w:p>
    <w:p>
      <w:pPr>
        <w:sectPr>
          <w:pgSz w:w="11900" w:h="16838" w:orient="portrait"/>
          <w:cols w:equalWidth="0" w:num="2">
            <w:col w:w="8640" w:space="640"/>
            <w:col w:w="1960"/>
          </w:cols>
          <w:pgMar w:left="320" w:top="985" w:right="33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6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cost</w:t>
            </w:r>
          </w:p>
        </w:tc>
        <w:tc>
          <w:tcPr>
            <w:tcW w:w="640" w:type="dxa"/>
            <w:vAlign w:val="bottom"/>
            <w:shd w:val="clear" w:color="auto" w:fill="CFF0FC"/>
          </w:tcPr>
          <w:p>
            <w:pPr>
              <w:jc w:val="right"/>
              <w:ind w:right="4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3,476</w:t>
            </w:r>
          </w:p>
        </w:tc>
        <w:tc>
          <w:tcPr>
            <w:tcW w:w="860" w:type="dxa"/>
            <w:vAlign w:val="bottom"/>
            <w:gridSpan w:val="2"/>
            <w:shd w:val="clear" w:color="auto" w:fill="CFF0FC"/>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FF0FC"/>
          </w:tcPr>
          <w:p>
            <w:pPr>
              <w:spacing w:after="0"/>
              <w:rPr>
                <w:sz w:val="16"/>
                <w:szCs w:val="16"/>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3,758</w:t>
            </w: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3,273</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21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16"/>
        </w:trPr>
        <w:tc>
          <w:tcPr>
            <w:tcW w:w="58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16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6.89</w:t>
            </w:r>
          </w:p>
        </w:tc>
        <w:tc>
          <w:tcPr>
            <w:tcW w:w="18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7.19</w:t>
            </w:r>
          </w:p>
        </w:tc>
      </w:tr>
      <w:tr>
        <w:trPr>
          <w:trHeight w:val="234"/>
        </w:trPr>
        <w:tc>
          <w:tcPr>
            <w:tcW w:w="5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7.95%</w:t>
            </w:r>
          </w:p>
        </w:tc>
        <w:tc>
          <w:tcPr>
            <w:tcW w:w="18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7.35%</w:t>
            </w:r>
          </w:p>
        </w:tc>
      </w:tr>
    </w:tbl>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June 30, 2025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78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478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30,378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478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23,213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19"/>
        </w:trPr>
        <w:tc>
          <w:tcPr>
            <w:tcW w:w="580" w:type="dxa"/>
            <w:vAlign w:val="bottom"/>
          </w:tcPr>
          <w:p>
            <w:pPr>
              <w:spacing w:after="0"/>
              <w:rPr>
                <w:sz w:val="24"/>
                <w:szCs w:val="24"/>
                <w:color w:val="auto"/>
              </w:rPr>
            </w:pPr>
          </w:p>
        </w:tc>
        <w:tc>
          <w:tcPr>
            <w:tcW w:w="366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tcPr>
          <w:p>
            <w:pPr>
              <w:jc w:val="right"/>
              <w:ind w:right="2090"/>
              <w:spacing w:after="0"/>
              <w:rPr>
                <w:sz w:val="20"/>
                <w:szCs w:val="20"/>
                <w:color w:val="auto"/>
              </w:rPr>
            </w:pPr>
            <w:r>
              <w:rPr>
                <w:rFonts w:ascii="Arial" w:cs="Arial" w:eastAsia="Arial" w:hAnsi="Arial"/>
                <w:sz w:val="18"/>
                <w:szCs w:val="18"/>
                <w:color w:val="auto"/>
              </w:rPr>
              <w:t>28</w:t>
            </w:r>
          </w:p>
        </w:tc>
        <w:tc>
          <w:tcPr>
            <w:tcW w:w="1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-899160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and six months ended June 30, 2025, tool rental revenue was approximately $32.8 million and $67.3 million, respectively. For the three and six months ended June 30, 2024, tool rental revenue was approximately $28.3 million and $58.3 million, respectively. Our lease contract periods are short-term in nature and are typically daily, monthly, per well, or footage based. Due to the short term nature of the contracts, no maturity table is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three months ended June 30, 2025 and 2024 was approximately $0.3 million and $0.2 million, respectively. The total expense for the six months ended June 30, 2025 and 2024 was approximately $0.6 million and $0.4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208"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accumulated depreciation amount, as defined in the management agreement (refer to Note 12 –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Transactions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and six months ended June 30, 2025 and 2024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in computing</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35,573,749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29,816,202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35,583,139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29,792,385</w:t>
            </w:r>
          </w:p>
        </w:tc>
        <w:tc>
          <w:tcPr>
            <w:tcW w:w="120" w:type="dxa"/>
            <w:vAlign w:val="bottom"/>
          </w:tcPr>
          <w:p>
            <w:pPr>
              <w:spacing w:after="0"/>
              <w:rPr>
                <w:sz w:val="20"/>
                <w:szCs w:val="20"/>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436,674</w:t>
            </w:r>
          </w:p>
        </w:tc>
        <w:tc>
          <w:tcPr>
            <w:tcW w:w="12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164,132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82,066</w:t>
            </w:r>
          </w:p>
        </w:tc>
        <w:tc>
          <w:tcPr>
            <w:tcW w:w="12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35,573,749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30,873,436</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35,583,139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30,321,002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FF0FC"/>
          </w:tcPr>
          <w:p>
            <w:pPr>
              <w:spacing w:after="0"/>
              <w:rPr>
                <w:sz w:val="18"/>
                <w:szCs w:val="18"/>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-350520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-334010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-350520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-334010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-350520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-334010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Company’s potentially dilutive securities consisted of options to purchase common stock. Based on the amounts outstanding as of the three and six months ended June 30, 2025 and 2024, the Company excluded the following potential common shares from the computation of diluted net income per share because including them would have had an anti-dilutive effect:</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60" w:type="dxa"/>
            <w:vAlign w:val="bottom"/>
          </w:tcPr>
          <w:p>
            <w:pPr>
              <w:spacing w:after="0"/>
              <w:rPr>
                <w:sz w:val="18"/>
                <w:szCs w:val="18"/>
                <w:color w:val="auto"/>
              </w:rPr>
            </w:pPr>
          </w:p>
        </w:tc>
        <w:tc>
          <w:tcPr>
            <w:tcW w:w="21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4,429,563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4,396,855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stock units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1,052,451</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1,052,451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4,963,626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4,930,918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3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7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Company’s two operating segments derives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stock-option expense and monitoring fees. Additionally, the Company’s CODM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three months ended June 30, 2025 and 2024 is summarized below: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980" w:type="dxa"/>
            <w:vAlign w:val="bottom"/>
            <w:tcBorders>
              <w:bottom w:val="single" w:sz="8" w:color="auto"/>
            </w:tcBorders>
            <w:gridSpan w:val="5"/>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29,794</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5,333</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35,128</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7,791</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8,545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37,585</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6,087</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43,672</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(4,251)</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39,421</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3,921</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24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11,441</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2,706</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14,146</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(4,251)</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14,039</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income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12,106</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12,151</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(1,661)</w:t>
            </w: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980" w:type="dxa"/>
            <w:vAlign w:val="bottom"/>
            <w:tcBorders>
              <w:bottom w:val="single" w:sz="8" w:color="auto"/>
            </w:tcBorders>
            <w:gridSpan w:val="5"/>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29,952</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569</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30,521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3,613</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35,556</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39,738</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(2,205)</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37,533</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24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10,405</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1,798</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(2,205)</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9,998</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13,653</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income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11,498</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912</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12,409</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82"/>
        </w:trPr>
        <w:tc>
          <w:tcPr>
            <w:tcW w:w="20" w:type="dxa"/>
            <w:vAlign w:val="bottom"/>
          </w:tcPr>
          <w:p>
            <w:pPr>
              <w:spacing w:after="0"/>
              <w:rPr>
                <w:sz w:val="15"/>
                <w:szCs w:val="15"/>
                <w:color w:val="auto"/>
              </w:rPr>
            </w:pPr>
          </w:p>
        </w:tc>
        <w:tc>
          <w:tcPr>
            <w:tcW w:w="4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income before taxes</w:t>
            </w:r>
          </w:p>
        </w:tc>
        <w:tc>
          <w:tcPr>
            <w:tcW w:w="2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-4405630</wp:posOffset>
            </wp:positionV>
            <wp:extent cx="6772275" cy="939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-3428365</wp:posOffset>
            </wp:positionV>
            <wp:extent cx="6772275" cy="939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-4508500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-4122420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-4122420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-4122420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-3531235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-3531235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-3531235</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-2759710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-2742565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-1670685</wp:posOffset>
            </wp:positionV>
            <wp:extent cx="6772275" cy="939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-694055</wp:posOffset>
            </wp:positionV>
            <wp:extent cx="6772275" cy="946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2275" cy="946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-1774190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-1388110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-1388110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-796290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-796290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-796290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6" w:lineRule="exact"/>
        <w:rPr>
          <w:sz w:val="20"/>
          <w:szCs w:val="20"/>
          <w:color w:val="auto"/>
        </w:rPr>
      </w:pPr>
    </w:p>
    <w:p>
      <w:pPr>
        <w:ind w:left="1500" w:right="1360" w:firstLine="5"/>
        <w:spacing w:after="0" w:line="233" w:lineRule="auto"/>
        <w:tabs>
          <w:tab w:leader="none" w:pos="17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six months ended June 30, 2025 and 2024 is summarized below:</w:t>
      </w: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79" w:right="619"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940" w:type="dxa"/>
            <w:vAlign w:val="bottom"/>
            <w:tcBorders>
              <w:bottom w:val="single" w:sz="8" w:color="auto"/>
            </w:tcBorders>
            <w:gridSpan w:val="5"/>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62,456</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9,858</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72,314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16,325</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78,781</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11,139</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89,920</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(7,619)</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82,301</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7,671</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8,644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23,581</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5,179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28,760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(7,619)</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21,141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29,518</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6,103</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income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25,682</w:t>
            </w:r>
          </w:p>
        </w:tc>
        <w:tc>
          <w:tcPr>
            <w:tcW w:w="248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25,539</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5,453</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13,552</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5,616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(3,489)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940" w:type="dxa"/>
            <w:vAlign w:val="bottom"/>
            <w:tcBorders>
              <w:bottom w:val="single" w:sz="8" w:color="auto"/>
            </w:tcBorders>
            <w:gridSpan w:val="5"/>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62,054</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992</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63,047</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11,808</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4,436</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73,863</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5,429</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79,291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(4,784)</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74,507</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3,602</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21,044</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(4,784)</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27,807</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29,630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income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25,011</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26,342</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6,491</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income before taxes</w:t>
            </w:r>
          </w:p>
        </w:tc>
        <w:tc>
          <w:tcPr>
            <w:tcW w:w="2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4,346</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-4362450</wp:posOffset>
            </wp:positionV>
            <wp:extent cx="6772275"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-3385185</wp:posOffset>
            </wp:positionV>
            <wp:extent cx="6772275" cy="939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-4465320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-4079875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-4079875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-4079875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-3488690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-3488690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-3488690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-2725420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-1670685</wp:posOffset>
            </wp:positionV>
            <wp:extent cx="6772275" cy="93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-694055</wp:posOffset>
            </wp:positionV>
            <wp:extent cx="6772275" cy="946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2275" cy="946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-1774190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-1388110</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-1388110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-796290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-796290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-796290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3" w:lineRule="exact"/>
        <w:rPr>
          <w:sz w:val="20"/>
          <w:szCs w:val="20"/>
          <w:color w:val="auto"/>
        </w:rPr>
      </w:pPr>
    </w:p>
    <w:p>
      <w:pPr>
        <w:ind w:left="1500" w:right="1360" w:firstLine="5"/>
        <w:spacing w:after="0" w:line="233" w:lineRule="auto"/>
        <w:tabs>
          <w:tab w:leader="none" w:pos="17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as of June 30, 2025 and 2024 is summarized below:</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79" w:right="619" w:bottom="1440" w:gutter="0" w:footer="0" w:header="0"/>
        </w:sectPr>
      </w:pPr>
    </w:p>
    <w:bookmarkStart w:id="34" w:name="page35"/>
    <w:bookmarkEnd w:id="34"/>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Segment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154,445</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68,689</w:t>
            </w: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230,279</w:t>
            </w:r>
          </w:p>
        </w:tc>
        <w:tc>
          <w:tcPr>
            <w:tcW w:w="4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166,873</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-1002030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-1002030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-436245</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-436245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-153670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500" w:right="1540" w:firstLine="5"/>
        <w:spacing w:after="0" w:line="229" w:lineRule="auto"/>
        <w:tabs>
          <w:tab w:leader="none" w:pos="17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goodwill allocated to the four reporting units is included within their respective segment asset totals. The goodwill amount included in segment assets is net of impairment losses of $0.9 million and $1.0 million at the Western Hemisphere and Eastern Hemisphere segments, respectively. Refer to </w:t>
      </w:r>
      <w:r>
        <w:rPr>
          <w:rFonts w:ascii="Times New Roman" w:cs="Times New Roman" w:eastAsia="Times New Roman" w:hAnsi="Times New Roman"/>
          <w:sz w:val="14"/>
          <w:szCs w:val="14"/>
          <w:i w:val="1"/>
          <w:iCs w:val="1"/>
          <w:color w:val="auto"/>
        </w:rPr>
        <w:t>Note 7 - Goodwill</w:t>
      </w:r>
      <w:r>
        <w:rPr>
          <w:rFonts w:ascii="Times New Roman" w:cs="Times New Roman" w:eastAsia="Times New Roman" w:hAnsi="Times New Roman"/>
          <w:sz w:val="14"/>
          <w:szCs w:val="14"/>
          <w:color w:val="auto"/>
        </w:rPr>
        <w:t xml:space="preserve"> for further details.</w:t>
      </w:r>
    </w:p>
    <w:p>
      <w:pPr>
        <w:ind w:left="1700" w:hanging="195"/>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consists of cash, related party notes receivables,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24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1,227</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 related to EDP Acquisition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1,671</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of CTG liabilities assumed in CTG Acquisition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Titan liabilities assumed in Titan Acquisition</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4,045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consideration in Titan Acquisition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4,597</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198"/>
        </w:trPr>
        <w:tc>
          <w:tcPr>
            <w:tcW w:w="300" w:type="dxa"/>
            <w:vAlign w:val="bottom"/>
          </w:tcPr>
          <w:p>
            <w:pPr>
              <w:spacing w:after="0"/>
              <w:rPr>
                <w:sz w:val="17"/>
                <w:szCs w:val="17"/>
                <w:color w:val="auto"/>
              </w:rPr>
            </w:pPr>
          </w:p>
        </w:tc>
        <w:tc>
          <w:tcPr>
            <w:tcW w:w="7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Purchases of inventory included in accounts payable and accrued expenses and other current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1,128</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98"/>
        </w:trPr>
        <w:tc>
          <w:tcPr>
            <w:tcW w:w="300" w:type="dxa"/>
            <w:vAlign w:val="bottom"/>
          </w:tcPr>
          <w:p>
            <w:pPr>
              <w:spacing w:after="0"/>
              <w:rPr>
                <w:sz w:val="17"/>
                <w:szCs w:val="17"/>
                <w:color w:val="auto"/>
              </w:rPr>
            </w:pPr>
          </w:p>
        </w:tc>
        <w:tc>
          <w:tcPr>
            <w:tcW w:w="77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w:t>
            </w: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exercise of stock options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witheld from exercise of stock options for payment of taxes</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financing fees included in accounts payable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20"/>
        </w:trPr>
        <w:tc>
          <w:tcPr>
            <w:tcW w:w="8000" w:type="dxa"/>
            <w:vAlign w:val="bottom"/>
            <w:gridSpan w:val="2"/>
          </w:tcPr>
          <w:p>
            <w:pPr>
              <w:jc w:val="right"/>
              <w:ind w:right="2190"/>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46"/>
        </w:trPr>
        <w:tc>
          <w:tcPr>
            <w:tcW w:w="3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NOTE 19 – SHARE REPURCHASES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December 31,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During the three months ended June 30, 2025, the Company repurchased 202,611 shares of the Company’s Common Stock for an aggregate $0.6 million, net of fees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June 30, 2025, and for the three and six months ended June 30, 2025 and 2024, included elsewhere herein. For additional information pertaining to our business, including risk factors which should be considered before investing in our common stock, refer to our Annual Report on Form 10-K for the fiscal year ended December 31, 2024. Our historical results are not necessarily indicative of the results that may be expected for any period in the future. All dollar amounts are expressed in thousands of United States dollars (“$”), unless otherwise indicated. Capitalized terms used in this section, but not otherwise defined, have the meanings ascribed to them in the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ended June 30, 2025 and 2024, we derived 83% and 75% of total revenues from tool rentals and 17% and 25% from product sales, respectively. During the six months ended June 30, 2025 and 2024, we derived 82% and 78% from tool rentals and 18% and 22% from product sales,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reporting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half of 2025, the oil and gas market witnessed a dynamic interplay of geopolitical tensions, shifting demand dynamics, and evolving geopolitical and economic factors. U.S. oil production reached record highs, averaging 13.5 million barrels per day, driven by the Permian Basin and offshore developments. However, this surge in supply coincided with an increasing surplus in global oil supply over demand, leading to downward pressure on prices. Crude oil prices experienced declines, specially WTI, whose quarterly average decreased from $78.41 per barrel to $64.63 per barrel from the fourth quarter of 2024 to the second quarter of 2025. Despite the high volatility in spot oil prices described above, our customers tend to be more focused on medium-term and long term commodity prices when making investment decisions due to the longer lead times for offshore projects.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half of 2025, U.S. natural gas prices experienced a notable rebound following the record lows of 2024. The Henry Hub spot price averaged approximately $3.19 per million British thermal units (MMBtu) during the first quarter, or a 30% increase compared to the fourth quarter of 2024, reflecting seasonal increases due to heightened heating demand during colder-than-average weather in January. This uptick in demand is expected to outpace any expected growth in U.S. production, leading to a tightening of inventories and supporting higher prices through the remainder of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both the Western and Eastern Hemisphere. During the three and six months ended June 30, 2025, the weekly average Western Hemisphere rig count, as reported by Baker Hughes was 832 and 881 rigs, respectively, compared to 897 and 946 rigs for the three and six months ended June 30, 2024. Additionally, during the three and six months ended June 30, 2025, the weekly average Eastern Hemisphere rig count, as reported by Baker Hughes was 714 and 719 rigs, respectively, compared to 764 and 760 rigs for the three and six months ended June 30, 2024. However, notwithstanding the impact of longer laterals, improved rig efficiencies have partially offset the impact of this reduction.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5"/>
                <w:szCs w:val="15"/>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2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(4,251)</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(2,205)</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(2,047)</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income/(loss)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income/(loss)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asset disposal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(1,661)</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(2,407)</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(2,773)</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(7,619)</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(4,784)</w:t>
            </w: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(2,835)</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income/(loss)</w:t>
            </w: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(1,473)</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asset disposal</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(854)</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-5579745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-5579745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-5579745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-5579745</wp:posOffset>
            </wp:positionV>
            <wp:extent cx="1200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-3916680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-3916680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-3916680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-3916680</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-3342640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-3325495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-3342640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-3325495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-3342640</wp:posOffset>
            </wp:positionV>
            <wp:extent cx="6858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-3342640</wp:posOffset>
            </wp:positionV>
            <wp:extent cx="1200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2603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-2407920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-2407920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-2407920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-2407920</wp:posOffset>
            </wp:positionV>
            <wp:extent cx="120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-1842135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-1842135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-1842135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-1842135</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-453390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-453390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-453390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-453390</wp:posOffset>
            </wp:positionV>
            <wp:extent cx="1200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(1) Corporate and other includes stock compensation expense, monitoring expenses, and unallocated corporate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Western Hemisphere revenue was $37.6 million for the three months ended June 30, 2025, a increase of $2.0 million, or 6%, compared to the three months ended June 30, 2024. The increase in revenues was driven by the addition of our Diamond Products Division ("DPD") in August of 2024. The increase in Western Hemisphere segment income was insignificant despite the increase in revenue due to increases in personnel 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Eastern Hemisphere revenue was $6.1 million for the three months ended June 30, 2025, a increase of $1.9 million, or 46% compared to the three months ended June 30, 2024. The increase in revenues was driven by the recent acquisitions of tool rental businesses located within the Eastern Hemisphere. Eastern Hemisphere segment income was $45.3 thousand, a decrease of $0.9 million, or 95%, compared to three months ended June 30, 2024. The decrease was driven by increased headcount as a result of the acquisitions and an activity decline seen in the Middle Eastern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expenses was $3.6 million for the three months ended June 30, 2025, an decrease of $0.8 million, or 19%, compared to the three months ended June 30, 2025 and 2024. The decrease was primarily driven by the reallocation of certain corporate expenses as a result of the recent segment reorganization in January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was $6.8 million for the three months ended June 30, 2025, an increase of $1.1 million, or 20%, compared to the three months ended June 30, 2025 and 2024. The increase corresponds with the increasing property, plant, and equipment and intangible asset balances as a result of acquisitions and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$1.3 million for the three months ended June 30, 2025, an increase of $0.5 million, or 65%, compared to the three months ended June 30, 2025 and 2024. The increase was primarily a result of interest on the term loan, entered into in March 2024, interest on amounts drawn on the credit facility, and interest on the promissory note, entered into in September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$1.9 million for the three months ended June 30, 2025, an increase of $0.2 million, or 14%, compared to the three months ended June 30, 2025 and 2024. The increase was primarily a result expenses incurred during the second quarter of 2025 related to software implementation costs and restructuring charges.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Western Hemisphere revenue was $78.8 million for the six months ended June 30, 2025, an increase of $4.9 million, or 7%, compared to the six months ended June 30, 2024. The increase in revenues was driven by the addition of our Diamond Products Division ("DPD") in August of 2024. The increase in Western Hemisphere segment income was insignificant despite the increase in revenue due to increases in personnel 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Eastern Hemisphere revenue was $11.1 million for the six months ended June 30, 2025, an increase of $5.7 million, or 105% compared to the six months ended June 30, 2024. The increase in revenues was driven by the recent acquisitions of tool rental businesses located within the Eastern Hemisphere. Eastern Hemisphere segment loss was $0.1 million, a decrease of $1.5 million, or 111%, compared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six months ended June 30, 2024. The decrease was driven by increased headcount as a result of the acquisitions and an activity decline seen in the Middle Eastern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expenses was $7.0 million for the six months ended June 30, 2025, a decrease of $0.9 million, or 12%, compared to the six months ended June 30, 2024. The decrease was primarily driven by the reallocation of certain corporate expenses as a result of the recent segment reorganization in January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Deprecation and amortization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Deprecation and amortization expenses was $13.5 million for the six months ended June 30, 2025, an increase of $2.5 million, or 23%, compared to the six months ended June 30, 2024. The increase corresponds with the increasing property, plant, and equipment and intangible asset balances as a result of acquisitions and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net was $2.6 million for the six months ended June 30, 2025, an increase of $1.7 million, or 167%, compared to the six months ended June 30, 2024. The increase was primarily a result of interest on the term loan, entered into in March 2024, interest on amounts drawn on the credit facility, and interest on the promissory note, entered into in September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$3.8 million for the six months ended June 30, 2025, an increase of $1.1 million, or 37%, compared to the six months ended June 30, 2024. The increase was primarily a result expenses incurred during the first six months of 2025 related to software implementation costs and restructuring charges.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operating and non-operating expense, net,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spacing w:after="0" w:line="176" w:lineRule="exact"/>
        <w:rPr>
          <w:sz w:val="20"/>
          <w:szCs w:val="20"/>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and six months ended June 30, 2025 and 2024 (non-recurring transaction expenses recorded to other (income) expense are presented separately within Adjusted EBITDA):</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30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(2,407)</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expense</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30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(4,076)</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 expense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expense</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June 30, 2025, we had $1.1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 </w:t>
      </w:r>
      <w:r>
        <w:rPr>
          <w:rFonts w:ascii="Times New Roman" w:cs="Times New Roman" w:eastAsia="Times New Roman" w:hAnsi="Times New Roman"/>
          <w:sz w:val="18"/>
          <w:szCs w:val="18"/>
          <w:i w:val="1"/>
          <w:iCs w:val="1"/>
          <w:color w:val="auto"/>
        </w:rPr>
        <w:t>Long Term Debt</w:t>
      </w:r>
      <w:r>
        <w:rPr>
          <w:rFonts w:ascii="Times New Roman" w:cs="Times New Roman" w:eastAsia="Times New Roman" w:hAnsi="Times New Roman"/>
          <w:sz w:val="18"/>
          <w:szCs w:val="18"/>
          <w:color w:val="auto"/>
        </w:rPr>
        <w:t>, of the notes to Interim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15 -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(26,728)</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23,495</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$4.6 million, the driver being a net loss of $4.0 million and a decrease in net working capital of $4.8 million offset by non-cash adjustments of $13.5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$4.4 million, the driver being net income of $3.5 million, including non-cash charges of $8.6 million, offset by a decrease in net working capital of $7.7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$12.1 million resulting from purchases of property, plant, and equipment of $12.6 million, purchases of intangible assets of $1.1 million, and the acquisition of Titan for $5.6 million, partially offset by proceeds from rental tool recovery sales of $7.1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$26.7 million, resulting from purchases of property, plant, and equipment of $16.3 million and the acquisition of Deep Casing Tools for $18.2 million were partially offset by proceeds from rental tool recovery sales of $7.8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$2.4 million, resulting from net debt increases of $3.1 million offset by purchases of treasury stock of $0.6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$23.5 million, resulting from net debt increases of $24.2 million offset by the payment of debt issuance costs of $0.7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across the Eastern Hemisphere. Therefore, foreign exchange risk exposures arise from transactions denominated in currencies other than the United States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 trade practices. Foreign governments have imposed, and may impose in the future, retaliatory tariffs on goods that their countries import from the U.S. Such changes can make it difficult or costly for us to do business in, or import our products from, those countries.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2025, the Company’s disclosure controls and procedures were deemed ineffective by management, including the Chief Executive Officer and Chief Financial Officer. This conclusion stems from the continued presence of a material weakness in internal control over financial reporting, originally identified during the audits of the 2022 and 2023 financial statements. Despite ongoing remediation efforts and improvements made throughout 2024 and 2025, the Company has not fully addressed all prior audit findings and therefore cannot rely on its disclosure controls as of the reporting date.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material weakness relates to ineffective monitoring activities to assess the operation of internal control over financial reporting. While progress has been made, such as implementing a control testing plan based on applicable reporting frameworks, further improvements are needed. The elements of our remediation plan can only be accomplished over time, and we can offer no assurance that these initiatives will ultimately have the intended effects.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15, 2024, we acquired Deep Casing Tools. As the acquisition date has exceeded one year, we are now required to assess internal controls over financial reporting. Additionally, on January 2, 2025, we completed the acquisition of Titan Tools. We are permitted to omit an assessment of an acquired business' internal control over financial reporting from our assessment of internal control over financial reporting for a period not to exceed one year from the date of the acquisition. Accordingly, we have excluded the internal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control over financial reporting of Titan Tools from management's assessment of internal control over financial reporting as of June 30, 2025.</w:t>
      </w:r>
    </w:p>
    <w:p>
      <w:pPr>
        <w:sectPr>
          <w:pgSz w:w="11900" w:h="16838" w:orient="portrait"/>
          <w:cols w:equalWidth="0" w:num="1">
            <w:col w:w="10220"/>
          </w:cols>
          <w:pgMar w:left="320" w:top="985" w:right="1359" w:bottom="1440" w:gutter="0" w:footer="0" w:header="0"/>
        </w:sectPr>
      </w:pP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985" w:right="135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 Note 15 to our consolidated financial statements entitled “Commitments and Contingencies,” which is incorporated in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 filed with the SEC on March 14, 2025,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We remain authorized to purchase 9.4 million shares of common shares under this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during the three months ended June 30, 2025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20" w:type="dxa"/>
            <w:vAlign w:val="bottom"/>
            <w:shd w:val="clear" w:color="auto" w:fill="CFF0FC"/>
          </w:tcPr>
          <w:p>
            <w:pPr>
              <w:spacing w:after="0"/>
              <w:rPr>
                <w:sz w:val="17"/>
                <w:szCs w:val="17"/>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 of</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2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240" w:type="dxa"/>
            <w:vAlign w:val="bottom"/>
            <w:gridSpan w:val="3"/>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Aggregate purchase price</w:t>
            </w:r>
          </w:p>
        </w:tc>
        <w:tc>
          <w:tcPr>
            <w:tcW w:w="220" w:type="dxa"/>
            <w:vAlign w:val="bottom"/>
            <w:shd w:val="clear" w:color="auto" w:fill="CFF0FC"/>
          </w:tcPr>
          <w:p>
            <w:pPr>
              <w:spacing w:after="0"/>
              <w:rPr>
                <w:sz w:val="17"/>
                <w:szCs w:val="17"/>
                <w:color w:val="auto"/>
              </w:rPr>
            </w:pPr>
          </w:p>
        </w:tc>
        <w:tc>
          <w:tcPr>
            <w:tcW w:w="22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remaining</w:t>
            </w:r>
          </w:p>
        </w:tc>
        <w:tc>
          <w:tcPr>
            <w:tcW w:w="0" w:type="dxa"/>
            <w:vAlign w:val="bottom"/>
          </w:tcPr>
          <w:p>
            <w:pPr>
              <w:spacing w:after="0"/>
              <w:rPr>
                <w:sz w:val="1"/>
                <w:szCs w:val="1"/>
                <w:color w:val="auto"/>
              </w:rPr>
            </w:pPr>
          </w:p>
        </w:tc>
      </w:tr>
      <w:tr>
        <w:trPr>
          <w:trHeight w:val="108"/>
        </w:trPr>
        <w:tc>
          <w:tcPr>
            <w:tcW w:w="21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92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0" w:type="dxa"/>
            <w:vAlign w:val="bottom"/>
            <w:vMerge w:val="restart"/>
            <w:shd w:val="clear" w:color="auto" w:fill="CFF0FC"/>
          </w:tcPr>
          <w:p>
            <w:pPr>
              <w:jc w:val="center"/>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220" w:type="dxa"/>
            <w:vAlign w:val="bottom"/>
            <w:shd w:val="clear" w:color="auto" w:fill="CFF0FC"/>
          </w:tcPr>
          <w:p>
            <w:pPr>
              <w:spacing w:after="0"/>
              <w:rPr>
                <w:sz w:val="9"/>
                <w:szCs w:val="9"/>
                <w:color w:val="auto"/>
              </w:rPr>
            </w:pPr>
          </w:p>
        </w:tc>
        <w:tc>
          <w:tcPr>
            <w:tcW w:w="2200" w:type="dxa"/>
            <w:vAlign w:val="bottom"/>
            <w:gridSpan w:val="2"/>
            <w:vMerge w:val="restart"/>
            <w:shd w:val="clear" w:color="auto" w:fill="CFF0FC"/>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shares authorized for</w:t>
            </w:r>
          </w:p>
        </w:tc>
        <w:tc>
          <w:tcPr>
            <w:tcW w:w="0" w:type="dxa"/>
            <w:vAlign w:val="bottom"/>
          </w:tcPr>
          <w:p>
            <w:pPr>
              <w:spacing w:after="0"/>
              <w:rPr>
                <w:sz w:val="1"/>
                <w:szCs w:val="1"/>
                <w:color w:val="auto"/>
              </w:rPr>
            </w:pPr>
          </w:p>
        </w:tc>
      </w:tr>
      <w:tr>
        <w:trPr>
          <w:trHeight w:val="88"/>
        </w:trPr>
        <w:tc>
          <w:tcPr>
            <w:tcW w:w="2120" w:type="dxa"/>
            <w:vAlign w:val="bottom"/>
            <w:vMerge w:val="restart"/>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0" w:type="dxa"/>
            <w:vAlign w:val="bottom"/>
            <w:shd w:val="clear" w:color="auto" w:fill="CFF0FC"/>
          </w:tcPr>
          <w:p>
            <w:pPr>
              <w:spacing w:after="0"/>
              <w:rPr>
                <w:sz w:val="7"/>
                <w:szCs w:val="7"/>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Purchases</w:t>
            </w:r>
          </w:p>
        </w:tc>
        <w:tc>
          <w:tcPr>
            <w:tcW w:w="240" w:type="dxa"/>
            <w:vAlign w:val="bottom"/>
            <w:shd w:val="clear" w:color="auto" w:fill="CFF0FC"/>
          </w:tcPr>
          <w:p>
            <w:pPr>
              <w:spacing w:after="0"/>
              <w:rPr>
                <w:sz w:val="7"/>
                <w:szCs w:val="7"/>
                <w:color w:val="auto"/>
              </w:rPr>
            </w:pPr>
          </w:p>
        </w:tc>
        <w:tc>
          <w:tcPr>
            <w:tcW w:w="2020" w:type="dxa"/>
            <w:vAlign w:val="bottom"/>
            <w:gridSpan w:val="2"/>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 of Common Stock</w:t>
            </w:r>
          </w:p>
        </w:tc>
        <w:tc>
          <w:tcPr>
            <w:tcW w:w="2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20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120" w:type="dxa"/>
            <w:vAlign w:val="bottom"/>
            <w:vMerge w:val="continue"/>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80" w:type="dxa"/>
            <w:vAlign w:val="bottom"/>
            <w:vMerge w:val="continue"/>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20" w:type="dxa"/>
            <w:vAlign w:val="bottom"/>
            <w:gridSpan w:val="2"/>
            <w:vMerge w:val="continue"/>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center"/>
              <w:ind w:right="110"/>
              <w:spacing w:after="0" w:line="258" w:lineRule="exact"/>
              <w:rPr>
                <w:sz w:val="20"/>
                <w:szCs w:val="20"/>
                <w:color w:val="auto"/>
              </w:rPr>
            </w:pPr>
            <w:r>
              <w:rPr>
                <w:rFonts w:ascii="Times New Roman" w:cs="Times New Roman" w:eastAsia="Times New Roman" w:hAnsi="Times New Roman"/>
                <w:sz w:val="18"/>
                <w:szCs w:val="18"/>
                <w:b w:val="1"/>
                <w:bCs w:val="1"/>
                <w:color w:val="auto"/>
                <w:w w:val="98"/>
              </w:rPr>
              <w:t>repurchases</w:t>
            </w:r>
            <w:r>
              <w:rPr>
                <w:rFonts w:ascii="Times New Roman" w:cs="Times New Roman" w:eastAsia="Times New Roman" w:hAnsi="Times New Roman"/>
                <w:sz w:val="24"/>
                <w:szCs w:val="24"/>
                <w:b w:val="1"/>
                <w:bCs w:val="1"/>
                <w:color w:val="auto"/>
                <w:w w:val="98"/>
                <w:vertAlign w:val="superscript"/>
              </w:rPr>
              <w:t>1</w:t>
            </w:r>
          </w:p>
        </w:tc>
        <w:tc>
          <w:tcPr>
            <w:tcW w:w="220" w:type="dxa"/>
            <w:vAlign w:val="bottom"/>
            <w:shd w:val="clear" w:color="auto" w:fill="CFF0FC"/>
          </w:tcPr>
          <w:p>
            <w:pPr>
              <w:spacing w:after="0"/>
              <w:rPr>
                <w:sz w:val="22"/>
                <w:szCs w:val="22"/>
                <w:color w:val="auto"/>
              </w:rPr>
            </w:pPr>
          </w:p>
        </w:tc>
        <w:tc>
          <w:tcPr>
            <w:tcW w:w="2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0" w:type="dxa"/>
            <w:vAlign w:val="bottom"/>
          </w:tcPr>
          <w:p>
            <w:pPr>
              <w:spacing w:after="0"/>
              <w:rPr>
                <w:sz w:val="1"/>
                <w:szCs w:val="1"/>
                <w:color w:val="auto"/>
              </w:rPr>
            </w:pPr>
          </w:p>
        </w:tc>
      </w:tr>
      <w:tr>
        <w:trPr>
          <w:trHeight w:val="191"/>
        </w:trPr>
        <w:tc>
          <w:tcPr>
            <w:tcW w:w="2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April 1, 2025 - April 30,</w:t>
            </w:r>
          </w:p>
        </w:tc>
        <w:tc>
          <w:tcPr>
            <w:tcW w:w="120" w:type="dxa"/>
            <w:vAlign w:val="bottom"/>
            <w:tcBorders>
              <w:top w:val="single" w:sz="8" w:color="CFF0FC"/>
            </w:tcBorders>
          </w:tcPr>
          <w:p>
            <w:pPr>
              <w:spacing w:after="0"/>
              <w:rPr>
                <w:sz w:val="16"/>
                <w:szCs w:val="16"/>
                <w:color w:val="auto"/>
              </w:rPr>
            </w:pPr>
          </w:p>
        </w:tc>
        <w:tc>
          <w:tcPr>
            <w:tcW w:w="2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1, 2025 - May 31, 2025</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160,120</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9,839,880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141,083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447,541</w:t>
            </w:r>
          </w:p>
        </w:tc>
        <w:tc>
          <w:tcPr>
            <w:tcW w:w="22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202,611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607,661</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9,392,339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-702310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-702310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-702310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-702310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Michael Domino, President, Directional Tool Rentals Division adopted a pre-arranged stock trading plan in accordance with Rule 10b5-1 under the Securities Exchange Act of 1934, as amended. The trading plans is intended to satisfy the affirmative defense conditions of Rule 10b5-1(c) and allow for the sale of a specified number of shares of the Company’s common stock over a designated period of time, subject to certain price, timing, and volume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was adopted during an open trading window in accordance with the Company’s insider trading policy and are further described below:</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Name/Title</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 Arrangement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Nature of Arrangement</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number of shares</w:t>
            </w:r>
          </w:p>
        </w:tc>
      </w:tr>
      <w:tr>
        <w:trPr>
          <w:trHeight w:val="174"/>
        </w:trPr>
        <w:tc>
          <w:tcPr>
            <w:tcW w:w="190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Michael Domino,</w:t>
            </w:r>
          </w:p>
        </w:tc>
        <w:tc>
          <w:tcPr>
            <w:tcW w:w="1000" w:type="dxa"/>
            <w:vAlign w:val="bottom"/>
            <w:tcBorders>
              <w:right w:val="single" w:sz="8" w:color="auto"/>
            </w:tcBorders>
          </w:tcPr>
          <w:p>
            <w:pPr>
              <w:jc w:val="right"/>
              <w:ind w:right="70"/>
              <w:spacing w:after="0" w:line="175" w:lineRule="exact"/>
              <w:rPr>
                <w:sz w:val="20"/>
                <w:szCs w:val="20"/>
                <w:color w:val="auto"/>
              </w:rPr>
            </w:pPr>
            <w:r>
              <w:rPr>
                <w:rFonts w:ascii="Times New Roman" w:cs="Times New Roman" w:eastAsia="Times New Roman" w:hAnsi="Times New Roman"/>
                <w:sz w:val="18"/>
                <w:szCs w:val="18"/>
                <w:color w:val="auto"/>
              </w:rPr>
              <w:t>5/16/2025</w:t>
            </w:r>
          </w:p>
        </w:tc>
        <w:tc>
          <w:tcPr>
            <w:tcW w:w="21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Rule 10b5-1 Trading Plan</w:t>
            </w:r>
          </w:p>
        </w:tc>
        <w:tc>
          <w:tcPr>
            <w:tcW w:w="2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Sale of Common Stock</w:t>
            </w:r>
          </w:p>
        </w:tc>
        <w:tc>
          <w:tcPr>
            <w:tcW w:w="12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15 months</w:t>
            </w:r>
          </w:p>
        </w:tc>
        <w:tc>
          <w:tcPr>
            <w:tcW w:w="2720" w:type="dxa"/>
            <w:vAlign w:val="bottom"/>
            <w:tcBorders>
              <w:right w:val="single" w:sz="8" w:color="auto"/>
            </w:tcBorders>
          </w:tcPr>
          <w:p>
            <w:pPr>
              <w:jc w:val="right"/>
              <w:ind w:right="990"/>
              <w:spacing w:after="0" w:line="175" w:lineRule="exact"/>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1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President - Directional</w:t>
            </w:r>
          </w:p>
        </w:tc>
        <w:tc>
          <w:tcPr>
            <w:tcW w:w="10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Tool Rentals Division</w:t>
            </w:r>
          </w:p>
        </w:tc>
        <w:tc>
          <w:tcPr>
            <w:tcW w:w="100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632"/>
        </w:trPr>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60" w:type="dxa"/>
            <w:vAlign w:val="bottom"/>
          </w:tcPr>
          <w:p>
            <w:pPr>
              <w:jc w:val="right"/>
              <w:ind w:right="1490"/>
              <w:spacing w:after="0"/>
              <w:rPr>
                <w:sz w:val="20"/>
                <w:szCs w:val="20"/>
                <w:color w:val="auto"/>
              </w:rPr>
            </w:pPr>
            <w:r>
              <w:rPr>
                <w:rFonts w:ascii="Arial" w:cs="Arial" w:eastAsia="Arial" w:hAnsi="Arial"/>
                <w:sz w:val="18"/>
                <w:szCs w:val="18"/>
                <w:color w:val="auto"/>
              </w:rPr>
              <w:t>44</w:t>
            </w:r>
          </w:p>
        </w:tc>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46"/>
        </w:trPr>
        <w:tc>
          <w:tcPr>
            <w:tcW w:w="1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101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20" w:firstLine="8"/>
        <w:spacing w:after="0" w:line="250" w:lineRule="auto"/>
        <w:tabs>
          <w:tab w:leader="none" w:pos="1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19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August 14, 2025</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David R. Johnson</w:t>
      </w:r>
    </w:p>
    <w:p>
      <w:pPr>
        <w:ind w:left="60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August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 Wayne Prejean</w:t>
      </w:r>
    </w:p>
    <w:p>
      <w:pPr>
        <w:jc w:val="center"/>
        <w:ind w:left="6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August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David R. Johnson</w:t>
      </w: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August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August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2025-08-14T10:44:00Z</dcterms:created>
  <dcterms:modified xsi:type="dcterms:W3CDTF">2025-08-14T10:44:00Z</dcterms:modified>
</cp:coreProperties>
</file>