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8409d8k.htm"/>
      <w:bookmarkStart w:id="1" w:name="ksd16840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DRILLING TOOLS INTERNATIONAL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985"/>
        <w:gridCol w:w="60"/>
        <w:gridCol w:w="1055"/>
        <w:gridCol w:w="60"/>
        <w:gridCol w:w="188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001-41103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87-2488708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3935"/>
        <w:gridCol w:w="60"/>
        <w:gridCol w:w="358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10370 Richmond Avenue, Suite 1000</w:t>
            </w:r>
          </w:p>
          <w:p>
            <w:pPr>
              <w:pStyle w:val="TableContents"/>
              <w:bidi w:val="0"/>
              <w:spacing w:before="0" w:after="20"/>
              <w:jc w:val="center"/>
              <w:rPr>
                <w:rFonts w:ascii="Times New Roman" w:hAnsi="Times New Roman"/>
                <w:b/>
                <w:sz w:val="20"/>
              </w:rPr>
            </w:pPr>
            <w:r>
              <w:rPr>
                <w:rFonts w:ascii="Times New Roman" w:hAnsi="Times New Roman"/>
                <w:b/>
                <w:sz w:val="20"/>
              </w:rPr>
              <w:t>Houston, Texas</w:t>
            </w:r>
          </w:p>
        </w:tc>
        <w:tc>
          <w:tcPr>
            <w:tcW w:w="60" w:type="dxa"/>
            <w:vMerge w:val="restart"/>
            <w:tcBorders/>
            <w:vAlign w:val="center"/>
          </w:tcPr>
          <w:p>
            <w:pPr>
              <w:pStyle w:val="TableContents"/>
              <w:bidi w:val="0"/>
              <w:spacing w:before="0" w:after="283"/>
              <w:jc w:val="left"/>
              <w:rPr/>
            </w:pPr>
            <w:r>
              <w:rPr/>
              <w:t> </w:t>
            </w:r>
          </w:p>
        </w:tc>
        <w:tc>
          <w:tcPr>
            <w:tcW w:w="3585" w:type="dxa"/>
            <w:vMerge w:val="restart"/>
            <w:tcBorders/>
            <w:vAlign w:val="center"/>
          </w:tcPr>
          <w:p>
            <w:pPr>
              <w:pStyle w:val="TableContents"/>
              <w:bidi w:val="0"/>
              <w:spacing w:before="0" w:after="283"/>
              <w:jc w:val="center"/>
              <w:rPr/>
            </w:pPr>
            <w:r>
              <w:rPr/>
              <w:drawing>
                <wp:inline distT="0" distB="0" distL="0" distR="0">
                  <wp:extent cx="22764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3524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77042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vMerge w:val="continue"/>
            <w:tcBorders/>
            <w:vAlign w:val="center"/>
          </w:tcPr>
          <w:p>
            <w:pPr>
              <w:pStyle w:val="Normal"/>
              <w:bidi w:val="0"/>
              <w:jc w:val="left"/>
              <w:rPr/>
            </w:pPr>
            <w:r>
              <w:rPr/>
            </w:r>
          </w:p>
        </w:tc>
        <w:tc>
          <w:tcPr>
            <w:tcW w:w="35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(832) 742-8500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DTI</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b/>
          <w:sz w:val="20"/>
        </w:rPr>
      </w:pPr>
      <w:r>
        <w:rPr>
          <w:rFonts w:ascii="Times New Roman" w:hAnsi="Times New Roman"/>
          <w:b/>
          <w:sz w:val="20"/>
        </w:rPr>
        <w:t xml:space="preserve">Share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8, 2026, Drilling Tools International Corporation, a Delaware corporation (the “Company” or “Parent”), entered into a Share Purchase Agreement (the “Purchase Agreement”), by and among the Company; Casing Technologies Group Limited, a private limited company incorporated in Scotland (company number SC328867) and a wholly owned subsidiary of the Company (the “Buyer”); Saltire Energy Limited, a private limited company incorporated in Scotland (company number SC165384) (“Saltire”); Foxley Energy Limited, a private limited company incorporated in Scotland (company number SC539080) (“Foxley” and, together with Saltire, the “Group”); Michael David Loggie, Michael David John Loggie, Jack William Loggie, Michael David Loggie and Jack William Loggie, solely in their capacity as trustees of The Loggie Family Trust (the “Loggie Trustee Sellers”), and Optimus Corporate Services Limited, solely in its capacity as trustee of the Cansco Limited Employee Trust 2007 (the “Trustee Seller” and, collectively with the other individuals and the Loggie Trustee Sellers, the “Sellers”); and Jack William Loggie, in his capacity as representative of the Sellers (the “Seller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Under the Purchase Agreement, and subject to its terms and conditions, the Buyer will acquire from the Sellers all of the issued share capital of the Group, consisting of 1,240 ordinary shares of £1.00 each of Saltire and 100 ordinary shares of £1.00 each of Foxley (the “Transaction”). Upon the closing of the Transaction (the “Closing”), the Group will become indirect wholly owned subsidiaries of the Company, and their respective subsidiaries will become indirect subsidiaries of the Company. </w:t>
      </w:r>
    </w:p>
    <w:p>
      <w:pPr>
        <w:pStyle w:val="TextBody"/>
        <w:bidi w:val="0"/>
        <w:spacing w:before="240" w:after="0"/>
        <w:jc w:val="left"/>
        <w:rPr>
          <w:rFonts w:ascii="Times New Roman" w:hAnsi="Times New Roman"/>
          <w:sz w:val="20"/>
        </w:rPr>
      </w:pPr>
      <w:r>
        <w:rPr>
          <w:rFonts w:ascii="Times New Roman" w:hAnsi="Times New Roman"/>
          <w:b/>
          <w:i/>
          <w:sz w:val="20"/>
        </w:rPr>
        <w:t xml:space="preserve">Consideration. </w:t>
      </w:r>
      <w:r>
        <w:rPr>
          <w:rFonts w:ascii="Times New Roman" w:hAnsi="Times New Roman"/>
          <w:sz w:val="20"/>
        </w:rPr>
        <w:t xml:space="preserve">The aggregate consideration payable to the Sellers at Closing consists of (i) £60,289,856.60 in cash (approximately $81 million based on the exchange rate of $1.343 per £1.00 specified in the Purchase Agreement) (the “Closing Date Cash Consideration”), and (ii) unsecured loan notes issued by the Buyer to the Sellers (other than the Trustee Seller) which, pursuant to rollover loan note instruments and put and call option agreements among the Sellers (other than the Trustee Seller), the Buyer and certain subsidiaries of the Company (the “Rollover Documents”), will be exchanged at Closing for an aggregate of 17,355,139 shares of the Company’s common stock, par value $0.0001 per share (“Common Stock”) (the “Closing Date Equity Consideration”). The Closing Date Cash Consideration reflects an equity value agreed by reference to locked box accounts and the EV to Equity Bridge (as defined in the Purchase Agreement) of the Group as of June 30, 2026 and is subject to the adjustments described in the Purchase Agreement, including (a) an increase by a daily profit ticker of £23,354 for each day from July 1, 2026 until the Closing, (b) reductions for any agreed known leakage and for an agreed amount in respect of historic lease taxes, and (c) an increase or decrease for an agreed adjustment relating to an employee benefit trust tax liability. Any amounts owed by the Sellers and their related persons to the Group as of the Closing will be repaid to the Group out of the adjusted Closing Date Cash Consideration. The number of shares of Common Stock in the Closing Date Equity Consideration is fixed and will not be adjusted for changes in the market price of the Common Stock before the Closing. There is no escrow, earnout, or post-Closing true-up. The Trustee Seller will receive its consideration entirely in cash. Under rollover arrangements, the other Sellers will receive a correspondingly greater portion of their consideration in Common Stock. Following the Closing, and assuming the conversion of the Rollover Documents, the Sellers are expected to own approximately 30% of the outstanding Common Stock. </w:t>
      </w:r>
    </w:p>
    <w:p>
      <w:pPr>
        <w:pStyle w:val="TextBody"/>
        <w:bidi w:val="0"/>
        <w:spacing w:before="240" w:after="0"/>
        <w:jc w:val="left"/>
        <w:rPr>
          <w:rFonts w:ascii="Times New Roman" w:hAnsi="Times New Roman"/>
          <w:sz w:val="20"/>
        </w:rPr>
      </w:pPr>
      <w:r>
        <w:rPr>
          <w:rFonts w:ascii="Times New Roman" w:hAnsi="Times New Roman"/>
          <w:b/>
          <w:i/>
          <w:sz w:val="20"/>
        </w:rPr>
        <w:t>Representations and Warranties.</w:t>
      </w:r>
      <w:r>
        <w:rPr>
          <w:rFonts w:ascii="Times New Roman" w:hAnsi="Times New Roman"/>
          <w:sz w:val="20"/>
        </w:rPr>
        <w:t xml:space="preserve"> The Sellers and the Group have made customary fundamental and commercial warranties regarding the Sellers, the Group and their businesses, qualified by a disclosure letter delivered by the Sellers (the “Disclosure Letter”). The Buyer and the Company have made customary warranties. The Buyer has obtained a warranty and indemnity insurance policy. The premium will be borne 50/50 by the Buyer and the Sellers, and the Buyer will bear the retention. </w:t>
      </w:r>
    </w:p>
    <w:p>
      <w:pPr>
        <w:pStyle w:val="TextBody"/>
        <w:bidi w:val="0"/>
        <w:spacing w:before="240" w:after="0"/>
        <w:jc w:val="left"/>
        <w:rPr>
          <w:rFonts w:ascii="Times New Roman" w:hAnsi="Times New Roman"/>
          <w:sz w:val="20"/>
        </w:rPr>
      </w:pPr>
      <w:r>
        <w:rPr>
          <w:rFonts w:ascii="Times New Roman" w:hAnsi="Times New Roman"/>
          <w:b/>
          <w:i/>
          <w:sz w:val="20"/>
        </w:rPr>
        <w:t>Covenants.</w:t>
      </w:r>
      <w:r>
        <w:rPr>
          <w:rFonts w:ascii="Times New Roman" w:hAnsi="Times New Roman"/>
          <w:sz w:val="20"/>
        </w:rPr>
        <w:t xml:space="preserve"> The Sellers have agreed to use commercially reasonable efforts to conduct the businesses of the Group in the ordinary course between signing and Closing, subject to specified exceptions, and not to solicit, encourage or engage in discussions regarding alternative transactions. The Company has agreed, among other things, to (i) file an additional listing application with The Nasdaq Stock Market LLC (“Nasdaq”) for the Closing Date Equity Consideration; (ii) prepare and file with the Securities and Exchange Commission (the “SEC”), within 45 days after the date of the Purchase Agreement, a registration statement on Form S-4 (the “Registration Statement”) that includes a proxy statement/prospectus, and use its reasonable best efforts to have it declared effective; (iii) duly call and hold a meeting of its stockholders (the “Parent Stockholders Meeting”) to obtain the Parent Stockholder Approval (as defined below); and (iv) include in the proxy statement/prospectus the recommendation of the Company’s board of directors (the “Board”) that stockholders vote in favor of the Parent Stockholder Approval (as defined below), which recommendation may not be withdrawn or modified in a manner adverse to the Sellers. There is no fiduciary out permitting the Board to withdraw or modify its recommendation in response to a superior proposal, and there is no termination right if the stockholders fail to approve the applicable proposal. The Company is required to adjourn the Parent Stockholders Meeting for up to 30 days as provided in Section 7.13(i) of the Purchase Agreement. After the Closing, the Company has agreed to remain current in its reporting obligations for purposes of Rule 144(c) under the Securities Act of 1933, as amended (the “Securities Act”) until 24 months after expiration of the Lock-Up Period (as defined below), and to remove restrictive legends within five business days after a written request following expiration of the Lock-Up Period. The Company has also agreed to maintain the listing of the Common Stock on Nasdaq. </w:t>
      </w:r>
    </w:p>
    <w:p>
      <w:pPr>
        <w:pStyle w:val="TextBody"/>
        <w:bidi w:val="0"/>
        <w:spacing w:before="240" w:after="0"/>
        <w:jc w:val="left"/>
        <w:rPr>
          <w:rFonts w:ascii="Times New Roman" w:hAnsi="Times New Roman"/>
          <w:sz w:val="20"/>
        </w:rPr>
      </w:pPr>
      <w:r>
        <w:rPr>
          <w:rFonts w:ascii="Times New Roman" w:hAnsi="Times New Roman"/>
          <w:b/>
          <w:i/>
          <w:sz w:val="20"/>
        </w:rPr>
        <w:t>Parent Stockholder Approval.</w:t>
      </w:r>
      <w:r>
        <w:rPr>
          <w:rFonts w:ascii="Times New Roman" w:hAnsi="Times New Roman"/>
          <w:sz w:val="20"/>
        </w:rPr>
        <w:t xml:space="preserve"> “Parent Stockholder Approval” means approval by the Company’s stockholders of (i) the issuance of the Closing Date Equity Consideration, as required by Nasdaq Listing Rule 5635(a), and (ii) the ratification under Section 204 of the Delaware General Corporation Law of certain prior corporate acts relating to the election of directors; provided that clause (ii) will be deemed satisfied if, in lieu of such ratification, a final, non-appealable order of the Delaware Court of Chancery validating such acts is obtained under Section 205 of the Delaware General Corporation Law. The Company’s certificate of incorporation contemplated a classified board, but all directors have historically been elected annually. See “Item 8.01 Other Events” below for additional information.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Conditions to Closing.</w:t>
      </w:r>
      <w:r>
        <w:rPr>
          <w:rFonts w:ascii="Times New Roman" w:hAnsi="Times New Roman"/>
          <w:sz w:val="20"/>
        </w:rPr>
        <w:t xml:space="preserve"> Each party’s obligation to complete the Transaction is subject to (i) the absence of any law or order restraining or prohibiting the Transaction; (ii) the Registration Statement having been declared effective; (iii) receipt of the Parent Stockholder Approval; and (iv) Nasdaq approval of the listing of the Closing Date Equity Consideration. The Buyer’s obligation is further subject to (a) the Sellers’ and the Group’s fundamental warranties being true and accurate, other than de minimis inaccuracies, at signing and at Closing; (b) the Sellers’ and the Group’s commercial warranties being true and accurate as of the date of the Purchase Agreement, except where the failure to be true and accurate would not reasonably be expected to have a material adverse effect on the Group; (c) performance of the Sellers’ and the Group’s covenants in all material respects; (d) the absence of a material adverse effect on the Group; and (e) the Buyer having obtained debt and/or equity financing on terms consistent with the agreed financing terms in the Purchase Agreement, in an aggregate amount sufficient to pay the adjusted Closing Date Cash Consideration and related fees and expenses. The Sellers’ obligation is further subject to (a) the warranties of the Buyer and the Company being true and accurate, except where the failure to be true and accurate would not reasonably be expected to have a material adverse effect on the ability of the Buyer or the Company to consummate the Transaction; (b) performance of the Buyer’s and the Company’s covenants in all material respects; (c) the Lock-up and Investor Rights Agreement (as defined below) being in full force and effect as of Closing; and (d) His Majesty’s Revenue and Customs having confirmed in writing under section 138 of the Taxation of Chargeable Gains Act 1992 and section 701 of the Income Tax Act 2007 (as applicable) that no counteraction notice will be issued in respect of the disposal of the shares of the Group or the exchange of loan notes for Common Stock, and that the exchange of shares for loan notes will be effected without arrangements to which section 137 of the Taxation of Chargeable Gains Act 1992 applies. </w:t>
      </w:r>
    </w:p>
    <w:p>
      <w:pPr>
        <w:pStyle w:val="TextBody"/>
        <w:bidi w:val="0"/>
        <w:spacing w:before="240" w:after="0"/>
        <w:jc w:val="left"/>
        <w:rPr>
          <w:rFonts w:ascii="Times New Roman" w:hAnsi="Times New Roman"/>
          <w:sz w:val="20"/>
        </w:rPr>
      </w:pPr>
      <w:r>
        <w:rPr>
          <w:rFonts w:ascii="Times New Roman" w:hAnsi="Times New Roman"/>
          <w:b/>
          <w:i/>
          <w:sz w:val="20"/>
        </w:rPr>
        <w:t>Termination.</w:t>
      </w:r>
      <w:r>
        <w:rPr>
          <w:rFonts w:ascii="Times New Roman" w:hAnsi="Times New Roman"/>
          <w:sz w:val="20"/>
        </w:rPr>
        <w:t xml:space="preserve"> The Purchase Agreement may be terminated (i) by mutual written consent of the Buyer and the Seller Representative; (ii) by the Buyer or the Seller Representative if the Closing has not occurred by March 31, 2027 (the “Outside Date”), except under certain circumstances; (iii) by the Buyer or the Seller Representative if a final, non-appealable order permanently prohibits the Transaction; (iv) by the Buyer upon the occurrence of a material adverse effect on the Group, subject to a 20 business day cure period, a dispute resolution process with the Seller Representative, and an expert determination procedure; (v) by the Seller Representative if the financing has not been obtained by November 30, 2026, the parties have completed a prescribed period of good faith discussions regarding the financing, and the Seller Representative and the Buyer determine, acting reasonably and in good faith, that there is no reasonable prospect of the financing being obtained by the Outside Date; (vi) by the Buyer or Seller Representative if the Buyer has not obtained the financing by the Outside Date despite using all reasonable efforts; or (vii) by the Buyer or the Seller Representative if a Closing condition becomes incapable of satisfaction prior to the Outside Date. If the Purchase Agreement is terminated in specified circumstances and, within 12 months after termination, the Group or the Sellers enter into an alternate transaction, the Sellers (other than the Trustee Seller) must reimburse the Buyer’s documented out-of-pocket expenses, up to £1,500,000. </w:t>
      </w:r>
    </w:p>
    <w:p>
      <w:pPr>
        <w:pStyle w:val="TextBody"/>
        <w:bidi w:val="0"/>
        <w:spacing w:before="240" w:after="0"/>
        <w:jc w:val="left"/>
        <w:rPr>
          <w:rFonts w:ascii="Times New Roman" w:hAnsi="Times New Roman"/>
          <w:sz w:val="20"/>
        </w:rPr>
      </w:pPr>
      <w:r>
        <w:rPr>
          <w:rFonts w:ascii="Times New Roman" w:hAnsi="Times New Roman"/>
          <w:b/>
          <w:i/>
          <w:sz w:val="20"/>
        </w:rPr>
        <w:t>Indemnification; Release; Remedies.</w:t>
      </w:r>
      <w:r>
        <w:rPr>
          <w:rFonts w:ascii="Times New Roman" w:hAnsi="Times New Roman"/>
          <w:sz w:val="20"/>
        </w:rPr>
        <w:t xml:space="preserve"> The Sellers (other than the Trustee Seller) have agreed to indemnify the Buyer for unprovided pre-Closing taxes of the Group and certain specified tax liabilities (including tax liabilities relating to historic Scottish leases, an employee benefit trust, and the voluntary dissolution of a Romanian subsidiary (Saltire Romania)), and to pay the Buyer for any leakage, in each case subject to the limitations and survival periods in the Purchase Agreement. Recourse for warranty claims and most tax indemnity claims is limited to the warranty and indemnity insurance policy. The Sellers’ aggregate liability for warranty claims and most tax indemnity claims is capped at £1, their aggregate liability for certain excluded tax claims is capped at £2,500,000, and their aggregate liability for all other claims (other than leakage, excluded tax and fraud claims) is capped at the adjusted Closing Date Cash Consideration received by them. The tax warranties and tax indemnities survive for five years following Closing (or, for the Romanian tax liability, until the later of five years and the resolution of the related proceedings and dissolution), while leakage claims survive for 12 months. At Closing, the Sellers will release the Group from specified claims. The parties are entitled to specific performance. The Buyer may assign its rights under the Purchase Agreement to its financing sources as collateral. </w:t>
      </w:r>
    </w:p>
    <w:p>
      <w:pPr>
        <w:pStyle w:val="TextBody"/>
        <w:bidi w:val="0"/>
        <w:spacing w:before="240" w:after="0"/>
        <w:jc w:val="left"/>
        <w:rPr>
          <w:rFonts w:ascii="Times New Roman" w:hAnsi="Times New Roman"/>
          <w:sz w:val="20"/>
        </w:rPr>
      </w:pPr>
      <w:r>
        <w:rPr>
          <w:rFonts w:ascii="Times New Roman" w:hAnsi="Times New Roman"/>
          <w:b/>
          <w:i/>
          <w:sz w:val="20"/>
        </w:rPr>
        <w:t>Lock-up and Investor Rights Agreement; Employment Agreements.</w:t>
      </w:r>
      <w:r>
        <w:rPr>
          <w:rFonts w:ascii="Times New Roman" w:hAnsi="Times New Roman"/>
          <w:sz w:val="20"/>
        </w:rPr>
        <w:t xml:space="preserve"> Concurrently with the execution of the Purchase Agreement, the Company and the Sellers entered into a Lock-up and Investor Rights Agreement (the “Lock-up and Investor Rights Agreement”), which will become effective as of the Closing. The Lock-up and Investor Rights Agreement provides for, among other things, (i) lock-up restrictions on transfers of the Closing Date Equity Consideration for a period of 24 months following the Closing, with tranches of shares released at 12, 18 and 24 months, subject to an early release mechanism (the “Lock-Up Period”), (ii) limitations on sales volume and restrictions on transfers to certain prohibited transferees, (iii) the Sellers’ right to participate in certain secondary offerings conducted by the Company, and (iv) the right of the Seller Representative to designate either a board member or a non-voting board observer to the Company’s Board of Directors, subject to specified fall-away thresholds based on the Sellers’ ownership percentage. </w:t>
      </w:r>
    </w:p>
    <w:p>
      <w:pPr>
        <w:pStyle w:val="TextBody"/>
        <w:bidi w:val="0"/>
        <w:spacing w:before="240" w:after="0"/>
        <w:jc w:val="left"/>
        <w:rPr>
          <w:rFonts w:ascii="Times New Roman" w:hAnsi="Times New Roman"/>
          <w:sz w:val="20"/>
        </w:rPr>
      </w:pPr>
      <w:r>
        <w:rPr>
          <w:rFonts w:ascii="Times New Roman" w:hAnsi="Times New Roman"/>
          <w:b/>
          <w:i/>
          <w:sz w:val="20"/>
        </w:rPr>
        <w:t>Financing.</w:t>
      </w:r>
      <w:r>
        <w:rPr>
          <w:rFonts w:ascii="Times New Roman" w:hAnsi="Times New Roman"/>
          <w:sz w:val="20"/>
        </w:rPr>
        <w:t xml:space="preserve"> The Buyer expects to fund the Closing Date Cash Consideration through new debt financing and borrowings under the Company’s existing credit facility. The Purchase Agreement requires the Buyer to keep the Seller Representative reasonably informed of the status of the financing, including providing written updates no less frequently than every five business days regarding key milestones and any developments that could prevent or delay the financing.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Purchase Agreement and the Lock-up and Investor Rights Agreement do not purport to be complete and are qualified in their entirety by reference to the full text of the Purchase Agreement and the Lock-up and Investor Rights Agreements, copies of which are filed as Exhibit 2.1 and 10.1 to this Current Report on Form 8-K and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Purchase Agreement has been included to provide investors and security holders with information regarding its terms. It is not intended to provide any other factual information about the Company, the Buyer, the Group or the Sellers. The representations, warranties and covenants in the Purchase Agreement were made only for purposes of that agreement and as of specific dates, solely for the benefit of the parties to it. They may be subject to limitations agreed upon by the contracting parties, including qualification by confidential disclosures in the Disclosure Letter, which were made for purposes of allocating contractual risk between the parties rather than establishing matters as facts. They may also be subject to standards of materiality that differ from those applicable to investors. Investors are not third-party beneficiaries under the Purchase Agreement and should not rely on the representations, warranties or covenants, or any descriptions of them, as characterizations of the actual state of facts or condition of any party. Information concerning the subject matter of the representations and warranties may change after the date of the Purchase Agreement, and that subsequent information may or may not be fully reflected in the Company’s public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October 8, 2026, the Company issued a press release announcing entry into the Purchase Agreement. A copy is furnished as Exhibit 99.1 and incorporated herein by reference. The Company also made available an investor presentation regarding the Transaction, which will be used on a conference call on October 8, 2026. A copy is furnished as Exhibit 99.2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Exhibits 99.1 and 99.2, is being furnished and shall not be deemed “filed” for purposes of Section 18 of the Securities Exchange Act of 1934, as amended (the “Exchange Act”), or otherwise subject to the liabilities of that section. It shall not be deemed incorporated by reference into any filing under the Securities Act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b/>
          <w:i/>
          <w:sz w:val="20"/>
        </w:rPr>
        <w:t>Ratification and Validation of Defective Corporate Acts.</w:t>
      </w:r>
      <w:r>
        <w:rPr>
          <w:rFonts w:ascii="Times New Roman" w:hAnsi="Times New Roman"/>
          <w:sz w:val="20"/>
        </w:rPr>
        <w:t xml:space="preserve"> As noted above, the Company’s certificate of incorporation contemplates a classified Board, but the Company has elected its full slate of directors annually. The Company intends to seek stockholder ratification and court validation under Sections 204 and 205 of the Delaware General Corporation Law of the 2024, 2025, and 2026 director elections and the related prior acts taken by the Board and its committees. The ratification proposal will be submitted at the Parent Stockholders Meeting as a proposal separate from the share issuance proposal in accordance with the procedures and resolutions authorized by the Board. Further information will be included in the proxy statement/prospectus. </w:t>
      </w:r>
    </w:p>
    <w:p>
      <w:pPr>
        <w:pStyle w:val="TextBody"/>
        <w:bidi w:val="0"/>
        <w:spacing w:before="240" w:after="0"/>
        <w:jc w:val="left"/>
        <w:rPr>
          <w:rFonts w:ascii="Times New Roman" w:hAnsi="Times New Roman"/>
          <w:sz w:val="20"/>
        </w:rPr>
      </w:pPr>
      <w:r>
        <w:rPr>
          <w:rFonts w:ascii="Times New Roman" w:hAnsi="Times New Roman"/>
          <w:b/>
          <w:sz w:val="20"/>
        </w:rPr>
        <w:t>Forward-Looking Statements.</w:t>
      </w:r>
      <w:r>
        <w:rPr>
          <w:rFonts w:ascii="Times New Roman" w:hAnsi="Times New Roman"/>
          <w:sz w:val="20"/>
        </w:rPr>
        <w:t xml:space="preserve"> This Current Report on Form 8-K contains forward-looking statements within the meaning of Section 27A of the Securities Act and Section 21E of the Exchange Act. These statements are based on current expectations and assumptions and are subject to risks and uncertainties that could cause actual results to differ materially, including the risks described under “Forward-Looking Statements” in Exhibit 99.1 and in Part I, Item 1A, “Risk Factors” of the Company’s Annual Report on Form 10-K filed with the SEC on March 6, 2026 and subsequent filings with the SEC. The forward-looking statements are expressly qualified by the safe-harbor provisions of Section 27A of the Securities Act and Section 21E of the Exchange Act. The Company undertakes no obligation to update any forward-looking statement except as required by law. </w:t>
      </w:r>
    </w:p>
    <w:p>
      <w:pPr>
        <w:pStyle w:val="TextBody"/>
        <w:bidi w:val="0"/>
        <w:spacing w:before="240" w:after="0"/>
        <w:jc w:val="left"/>
        <w:rPr>
          <w:rFonts w:ascii="Times New Roman" w:hAnsi="Times New Roman"/>
          <w:sz w:val="20"/>
        </w:rPr>
      </w:pPr>
      <w:r>
        <w:rPr>
          <w:rFonts w:ascii="Times New Roman" w:hAnsi="Times New Roman"/>
          <w:b/>
          <w:sz w:val="20"/>
        </w:rPr>
        <w:t>No Offer or Solicitation.</w:t>
      </w:r>
      <w:r>
        <w:rPr>
          <w:rFonts w:ascii="Times New Roman" w:hAnsi="Times New Roman"/>
          <w:sz w:val="20"/>
        </w:rPr>
        <w:t xml:space="preserve"> This Current Report on Form 8-K is not an offer to sell or a solicitation of an offer to buy any securities, nor is it a solicitation of a proxy, in any jurisdiction where the offer or solicitation is unlawful. No offering of securities will be made except by means of a prospectus meeting the requirements of Section 10 of the Securities Act or pursuant to an applicable exemption. </w:t>
      </w:r>
    </w:p>
    <w:p>
      <w:pPr>
        <w:pStyle w:val="TextBody"/>
        <w:bidi w:val="0"/>
        <w:spacing w:before="240" w:after="0"/>
        <w:jc w:val="left"/>
        <w:rPr>
          <w:rFonts w:ascii="Times New Roman" w:hAnsi="Times New Roman"/>
          <w:sz w:val="20"/>
        </w:rPr>
      </w:pPr>
      <w:r>
        <w:rPr>
          <w:rFonts w:ascii="Times New Roman" w:hAnsi="Times New Roman"/>
          <w:b/>
          <w:sz w:val="20"/>
        </w:rPr>
        <w:t>Additional Information and Where to Find It.</w:t>
      </w:r>
      <w:r>
        <w:rPr>
          <w:rFonts w:ascii="Times New Roman" w:hAnsi="Times New Roman"/>
          <w:sz w:val="20"/>
        </w:rPr>
        <w:t xml:space="preserve"> In connection with the proposed issuance of shares in the Transaction, the Company intends to file a registration statement on Form S-4 with the SEC that will include a proxy statement/prospectus. INVESTORS AND SECURITY HOLDERS ARE URGED TO READ THE FORM S-4, THE PROXY STATEMENT/PROSPECTUS AND ANY OTHER RELEVANT DOCUMENTS FILED WITH THE SEC CAREFULLY WHEN THEY BECOME AVAILABLE. Copies of these documents may be obtained free of charge through the SEC’s website at www.sec.gov and the Company’s website at investors.drillingtools.com, or by contacting the Company at 10370 Richmond Avenue, Suite 1000, Houston, Texas 77042, Attention: Investor Relations. </w:t>
      </w:r>
    </w:p>
    <w:p>
      <w:pPr>
        <w:pStyle w:val="TextBody"/>
        <w:bidi w:val="0"/>
        <w:spacing w:before="240" w:after="0"/>
        <w:jc w:val="left"/>
        <w:rPr>
          <w:rFonts w:ascii="Times New Roman" w:hAnsi="Times New Roman"/>
          <w:sz w:val="20"/>
        </w:rPr>
      </w:pPr>
      <w:r>
        <w:rPr>
          <w:rFonts w:ascii="Times New Roman" w:hAnsi="Times New Roman"/>
          <w:b/>
          <w:sz w:val="20"/>
        </w:rPr>
        <w:t>Participants in the Solicitation.</w:t>
      </w:r>
      <w:r>
        <w:rPr>
          <w:rFonts w:ascii="Times New Roman" w:hAnsi="Times New Roman"/>
          <w:sz w:val="20"/>
        </w:rPr>
        <w:t xml:space="preserve"> The Company and its directors and executive officers may be deemed participants in the solicitation of proxies from the Company’s stockholders in connection with the Transaction. Information about the Company’s directors and executive officers, including their direct and indirect interests and beneficial ownership of Common Stock, will be set forth in the Company’s registration statement on Form S-4 that will include a proxy statement/prospectus filed in connection with the Transaction and in other filings with the SEC. Additional information regarding interests in the Transaction will be included in the Form S-4 and proxy statement/prospectus when filed. The solicitation is subject to Rule 14a-12 and the disclosure requirements of Schedule 14A, including Items 4 and 5.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8409dex21.htm">
              <w:r>
                <w:rPr>
                  <w:rStyle w:val="InternetLink"/>
                </w:rPr>
                <w:t xml:space="preserve">Share Purchase Agreement, dated as of October 8, 2026, by and among Drilling Tools International Corporation, Casing Technologies Group Limited, Saltire Energy Limited, Foxley Energy Limited, the Sellers named therein and Jack William Loggie, as Seller Representative.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8409dex101.htm">
              <w:r>
                <w:rPr>
                  <w:rStyle w:val="InternetLink"/>
                </w:rPr>
                <w:t xml:space="preserve">Lock-up and Investor Rights Agreement, dated as of October 8, 2026, by and among Drilling Tools International Corporation and the Sellers named therein.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8409dex991.htm">
              <w:r>
                <w:rPr>
                  <w:rStyle w:val="InternetLink"/>
                </w:rPr>
                <w:t xml:space="preserve">Press Release, dated October 8,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68409dex992.htm">
              <w:r>
                <w:rPr>
                  <w:rStyle w:val="InternetLink"/>
                </w:rPr>
                <w:t xml:space="preserve">Investor Presentation, dated October 8,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to the Share Purchase Agreement have been omitted pursuant to Item 601(a)(5) of Regulation S-K. The Company undertakes to furnish supplementally a copy of any omitted schedule or exhibit to the SEC upon request.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October 8, 2026 </w:t>
      </w:r>
    </w:p>
    <w:p>
      <w:pPr>
        <w:pStyle w:val="TextBody"/>
        <w:bidi w:val="0"/>
        <w:spacing w:before="0" w:after="0"/>
        <w:jc w:val="left"/>
        <w:rPr/>
      </w:pPr>
      <w:r>
        <w:rPr/>
        <w:t> </w:t>
      </w:r>
    </w:p>
    <w:tbl>
      <w:tblPr>
        <w:tblW w:w="5927" w:type="dxa"/>
        <w:jc w:val="left"/>
        <w:tblInd w:w="0" w:type="dxa"/>
        <w:tblLayout w:type="fixed"/>
        <w:tblCellMar>
          <w:top w:w="0" w:type="dxa"/>
          <w:left w:w="0" w:type="dxa"/>
          <w:bottom w:w="0" w:type="dxa"/>
          <w:right w:w="0" w:type="dxa"/>
        </w:tblCellMar>
      </w:tblPr>
      <w:tblGrid>
        <w:gridCol w:w="448"/>
        <w:gridCol w:w="70"/>
        <w:gridCol w:w="306"/>
        <w:gridCol w:w="70"/>
        <w:gridCol w:w="5033"/>
      </w:tblGrid>
      <w:tr>
        <w:trPr/>
        <w:tc>
          <w:tcPr>
            <w:tcW w:w="44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5033" w:type="dxa"/>
            <w:tcBorders/>
            <w:vAlign w:val="center"/>
          </w:tcPr>
          <w:p>
            <w:pPr>
              <w:pStyle w:val="TableContents"/>
              <w:bidi w:val="0"/>
              <w:spacing w:before="0" w:after="283"/>
              <w:jc w:val="left"/>
              <w:rPr>
                <w:sz w:val="4"/>
                <w:szCs w:val="4"/>
              </w:rPr>
            </w:pPr>
            <w:r>
              <w:rPr>
                <w:sz w:val="4"/>
                <w:szCs w:val="4"/>
              </w:rPr>
            </w:r>
          </w:p>
        </w:tc>
      </w:tr>
      <w:tr>
        <w:trPr/>
        <w:tc>
          <w:tcPr>
            <w:tcW w:w="5927" w:type="dxa"/>
            <w:gridSpan w:val="5"/>
            <w:tcBorders/>
            <w:vAlign w:val="center"/>
          </w:tcPr>
          <w:p>
            <w:pPr>
              <w:pStyle w:val="TableContents"/>
              <w:bidi w:val="0"/>
              <w:spacing w:before="0" w:after="283"/>
              <w:jc w:val="left"/>
              <w:rPr/>
            </w:pPr>
            <w:r>
              <w:rPr/>
              <w:t>DRILLING TOOLS INTERNATIONAL CORPORATION</w:t>
            </w:r>
          </w:p>
        </w:tc>
      </w:tr>
      <w:tr>
        <w:trPr/>
        <w:tc>
          <w:tcPr>
            <w:tcW w:w="448" w:type="dxa"/>
            <w:tcBorders/>
            <w:vAlign w:val="center"/>
          </w:tcPr>
          <w:p>
            <w:pPr>
              <w:pStyle w:val="TableContents"/>
              <w:bidi w:val="0"/>
              <w:spacing w:before="0" w:after="283"/>
              <w:jc w:val="left"/>
              <w:rPr>
                <w:sz w:val="4"/>
                <w:szCs w:val="4"/>
              </w:rPr>
            </w:pPr>
            <w:r>
              <w:rPr>
                <w:sz w:val="4"/>
                <w:szCs w:val="4"/>
              </w:rPr>
            </w:r>
          </w:p>
        </w:tc>
        <w:tc>
          <w:tcPr>
            <w:tcW w:w="376" w:type="dxa"/>
            <w:gridSpan w:val="2"/>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vAlign w:val="center"/>
          </w:tcPr>
          <w:p>
            <w:pPr>
              <w:pStyle w:val="TableContents"/>
              <w:bidi w:val="0"/>
              <w:spacing w:before="0" w:after="283"/>
              <w:jc w:val="left"/>
              <w:rPr/>
            </w:pPr>
            <w:r>
              <w:rPr/>
              <w:t>By:</w:t>
            </w:r>
          </w:p>
        </w:tc>
        <w:tc>
          <w:tcPr>
            <w:tcW w:w="7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033"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R. Johnson</w:t>
            </w:r>
          </w:p>
        </w:tc>
      </w:tr>
      <w:tr>
        <w:trPr/>
        <w:tc>
          <w:tcPr>
            <w:tcW w:w="44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5033" w:type="dxa"/>
            <w:tcBorders/>
            <w:vAlign w:val="center"/>
          </w:tcPr>
          <w:p>
            <w:pPr>
              <w:pStyle w:val="TableContents"/>
              <w:bidi w:val="0"/>
              <w:spacing w:before="0" w:after="283"/>
              <w:jc w:val="left"/>
              <w:rPr/>
            </w:pPr>
            <w:r>
              <w:rPr/>
              <w:t>David R. Johnson</w:t>
            </w:r>
          </w:p>
        </w:tc>
      </w:tr>
      <w:tr>
        <w:trPr/>
        <w:tc>
          <w:tcPr>
            <w:tcW w:w="44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5033" w:type="dxa"/>
            <w:tcBorders/>
            <w:vAlign w:val="center"/>
          </w:tcPr>
          <w:p>
            <w:pPr>
              <w:pStyle w:val="TableContents"/>
              <w:bidi w:val="0"/>
              <w:spacing w:before="0" w:after="283"/>
              <w:jc w:val="left"/>
              <w:rPr/>
            </w:pPr>
            <w:r>
              <w:rPr/>
              <w:t>Chief Financial Officer</w:t>
            </w:r>
          </w:p>
        </w:tc>
      </w:tr>
      <w:tr>
        <w:trPr/>
        <w:tc>
          <w:tcPr>
            <w:tcW w:w="44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5033" w:type="dxa"/>
            <w:tcBorders/>
            <w:vAlign w:val="center"/>
          </w:tcPr>
          <w:p>
            <w:pPr>
              <w:pStyle w:val="TableContents"/>
              <w:bidi w:val="0"/>
              <w:spacing w:before="0" w:after="283"/>
              <w:jc w:val="left"/>
              <w:rPr/>
            </w:pPr>
            <w:r>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168409dex21.htm"/>
      <w:bookmarkStart w:id="3" w:name="ksd168409dex21"/>
      <w:bookmarkEnd w:id="2"/>
      <w:bookmarkEnd w:id="3"/>
      <w:r>
        <w:rPr>
          <w:rFonts w:ascii="Times New Roman" w:hAnsi="Times New Roman"/>
          <w:b/>
          <w:sz w:val="20"/>
        </w:rPr>
        <w:t xml:space="preserve">Exhibit 2.1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SHARE PURCHASE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DRILLING TOOLS INTERNATIONAL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CASING TECHNOLOGIES GROUP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SALTIRE ENERGY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FOXLEY ENERGY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THE SELLERS PARTY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THE SELLER REPRESENTATIVE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October 8,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3"/>
        <w:gridCol w:w="90"/>
        <w:gridCol w:w="8799"/>
        <w:gridCol w:w="145"/>
        <w:gridCol w:w="96"/>
        <w:gridCol w:w="419"/>
        <w:gridCol w:w="63"/>
      </w:tblGrid>
      <w:tr>
        <w:trPr/>
        <w:tc>
          <w:tcPr>
            <w:tcW w:w="593"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879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SALE AND PURCHASE</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593" w:type="dxa"/>
            <w:tcBorders/>
            <w:vAlign w:val="center"/>
          </w:tcPr>
          <w:p>
            <w:pPr>
              <w:pStyle w:val="TableContents"/>
              <w:bidi w:val="0"/>
              <w:spacing w:before="0" w:after="283"/>
              <w:jc w:val="left"/>
              <w:rPr>
                <w:sz w:val="4"/>
                <w:szCs w:val="4"/>
              </w:rPr>
            </w:pPr>
            <w:r>
              <w:rPr>
                <w:sz w:val="4"/>
                <w:szCs w:val="4"/>
              </w:rPr>
            </w:r>
          </w:p>
        </w:tc>
        <w:tc>
          <w:tcPr>
            <w:tcW w:w="8889"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Purchase and Sale of the Company Capital Stock; Purchase Price</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Closing Payments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Leakage</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Settlement of Consideration</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CLOSING AND DELIVERIES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593" w:type="dxa"/>
            <w:tcBorders/>
            <w:vAlign w:val="center"/>
          </w:tcPr>
          <w:p>
            <w:pPr>
              <w:pStyle w:val="TableContents"/>
              <w:bidi w:val="0"/>
              <w:spacing w:before="0" w:after="283"/>
              <w:jc w:val="left"/>
              <w:rPr>
                <w:sz w:val="4"/>
                <w:szCs w:val="4"/>
              </w:rPr>
            </w:pPr>
            <w:r>
              <w:rPr>
                <w:sz w:val="4"/>
                <w:szCs w:val="4"/>
              </w:rPr>
            </w:r>
          </w:p>
        </w:tc>
        <w:tc>
          <w:tcPr>
            <w:tcW w:w="8889"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Closing</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Deliveries by the Sellers or the Companies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Deliveries by Buyer and Parent</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WARRANTIES REGARDING THE COMPANIES AND THEIR SUBSIDIARIES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593" w:type="dxa"/>
            <w:tcBorders/>
            <w:vAlign w:val="center"/>
          </w:tcPr>
          <w:p>
            <w:pPr>
              <w:pStyle w:val="TableContents"/>
              <w:bidi w:val="0"/>
              <w:spacing w:before="0" w:after="283"/>
              <w:jc w:val="left"/>
              <w:rPr>
                <w:sz w:val="4"/>
                <w:szCs w:val="4"/>
              </w:rPr>
            </w:pPr>
            <w:r>
              <w:rPr>
                <w:sz w:val="4"/>
                <w:szCs w:val="4"/>
              </w:rPr>
            </w:r>
          </w:p>
        </w:tc>
        <w:tc>
          <w:tcPr>
            <w:tcW w:w="8889"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Organization and Standing</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Capitalization</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Subsidiaries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Authority, Validity and Effect</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Financial Statements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Taxes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Title to Personal Property</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Real Property</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Compliance with Laws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Permits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Employee Benefit Plans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Material Contracts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Legal Proceedings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Intellectual Property</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Cyber Security</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Insurance</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Personnel</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Environmental Matters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Conduct of Business in Ordinary Course</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No Brokers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Customers and Suppliers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Related Persons Transactions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No Undisclosed Liabilities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482" w:type="dxa"/>
            <w:gridSpan w:val="3"/>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WARRANTIES OF THE SELLERS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593" w:type="dxa"/>
            <w:tcBorders/>
            <w:vAlign w:val="center"/>
          </w:tcPr>
          <w:p>
            <w:pPr>
              <w:pStyle w:val="TableContents"/>
              <w:bidi w:val="0"/>
              <w:spacing w:before="0" w:after="283"/>
              <w:jc w:val="left"/>
              <w:rPr>
                <w:sz w:val="4"/>
                <w:szCs w:val="4"/>
              </w:rPr>
            </w:pPr>
            <w:r>
              <w:rPr>
                <w:sz w:val="4"/>
                <w:szCs w:val="4"/>
              </w:rPr>
            </w:r>
          </w:p>
        </w:tc>
        <w:tc>
          <w:tcPr>
            <w:tcW w:w="8889"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Authority; Enforceability; Title</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Solvency</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Legal Proceedings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593"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90" w:type="dxa"/>
            <w:tcBorders/>
            <w:vAlign w:val="bottom"/>
          </w:tcPr>
          <w:p>
            <w:pPr>
              <w:pStyle w:val="TableContents"/>
              <w:bidi w:val="0"/>
              <w:spacing w:before="0" w:after="283"/>
              <w:jc w:val="left"/>
              <w:rPr/>
            </w:pPr>
            <w:r>
              <w:rPr/>
              <w:t> </w:t>
            </w:r>
          </w:p>
        </w:tc>
        <w:tc>
          <w:tcPr>
            <w:tcW w:w="8799" w:type="dxa"/>
            <w:tcBorders/>
            <w:vAlign w:val="bottom"/>
          </w:tcPr>
          <w:p>
            <w:pPr>
              <w:pStyle w:val="TableContents"/>
              <w:bidi w:val="0"/>
              <w:spacing w:before="0" w:after="283"/>
              <w:jc w:val="left"/>
              <w:rPr/>
            </w:pPr>
            <w:r>
              <w:rPr/>
              <w:t>Consents</w:t>
            </w:r>
          </w:p>
        </w:tc>
        <w:tc>
          <w:tcPr>
            <w:tcW w:w="14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38"/>
        <w:gridCol w:w="96"/>
        <w:gridCol w:w="8941"/>
        <w:gridCol w:w="145"/>
        <w:gridCol w:w="60"/>
        <w:gridCol w:w="261"/>
        <w:gridCol w:w="64"/>
      </w:tblGrid>
      <w:tr>
        <w:trPr/>
        <w:tc>
          <w:tcPr>
            <w:tcW w:w="638"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8941"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No Brokers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No Conflicts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WARRANTIES OF BUYER AND PARENT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638" w:type="dxa"/>
            <w:tcBorders/>
            <w:vAlign w:val="center"/>
          </w:tcPr>
          <w:p>
            <w:pPr>
              <w:pStyle w:val="TableContents"/>
              <w:bidi w:val="0"/>
              <w:spacing w:before="0" w:after="283"/>
              <w:jc w:val="left"/>
              <w:rPr>
                <w:sz w:val="4"/>
                <w:szCs w:val="4"/>
              </w:rPr>
            </w:pPr>
            <w:r>
              <w:rPr>
                <w:sz w:val="4"/>
                <w:szCs w:val="4"/>
              </w:rPr>
            </w:r>
          </w:p>
        </w:tc>
        <w:tc>
          <w:tcPr>
            <w:tcW w:w="9037"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Securities Matters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Organization and Standing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Authorization, Validity and Effect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No Conflict; Required Filings and Consents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Legal Proceedings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No Brokers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Due Diligence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Independent Investigation; Acknowledgments; Non-Reliance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Sanctions Laws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Anti-Corruption Laws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Reports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COVENANTS AND AGREEMENTS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638" w:type="dxa"/>
            <w:tcBorders/>
            <w:vAlign w:val="center"/>
          </w:tcPr>
          <w:p>
            <w:pPr>
              <w:pStyle w:val="TableContents"/>
              <w:bidi w:val="0"/>
              <w:spacing w:before="0" w:after="283"/>
              <w:jc w:val="left"/>
              <w:rPr>
                <w:sz w:val="4"/>
                <w:szCs w:val="4"/>
              </w:rPr>
            </w:pPr>
            <w:r>
              <w:rPr>
                <w:sz w:val="4"/>
                <w:szCs w:val="4"/>
              </w:rPr>
            </w:r>
          </w:p>
        </w:tc>
        <w:tc>
          <w:tcPr>
            <w:tcW w:w="9037"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Interim Operations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Historic Scottish Leases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Reasonable Access; Confidentiality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Publicity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Records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W&amp;I Insurance</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7.8</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Continuing Indemnification for Companies Actors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7.9</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Reasonable Efforts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Cooperation and Payoff Letters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7.12</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No Shop</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7.13</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Parent Stockholder Meeting; Proxy Statement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7.14</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Financial Information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7.15</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Leased Real Properties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7.16</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EBT Tax Liability</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CONDITIONS TO CLOSING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rHeight w:val="120" w:hRule="atLeast"/>
        </w:trPr>
        <w:tc>
          <w:tcPr>
            <w:tcW w:w="638" w:type="dxa"/>
            <w:tcBorders/>
            <w:vAlign w:val="center"/>
          </w:tcPr>
          <w:p>
            <w:pPr>
              <w:pStyle w:val="TableContents"/>
              <w:bidi w:val="0"/>
              <w:spacing w:before="0" w:after="283"/>
              <w:jc w:val="left"/>
              <w:rPr>
                <w:sz w:val="4"/>
                <w:szCs w:val="4"/>
              </w:rPr>
            </w:pPr>
            <w:r>
              <w:rPr>
                <w:sz w:val="4"/>
                <w:szCs w:val="4"/>
              </w:rPr>
            </w:r>
          </w:p>
        </w:tc>
        <w:tc>
          <w:tcPr>
            <w:tcW w:w="9037"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Conditions to Obligations of the Parties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Conditions to Obligations of the Buyer</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Conditions to Obligations of the Sellers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Frustration of Closing Conditions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Financing Updates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TERMINATION OF AGREEMENT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638" w:type="dxa"/>
            <w:tcBorders/>
            <w:vAlign w:val="center"/>
          </w:tcPr>
          <w:p>
            <w:pPr>
              <w:pStyle w:val="TableContents"/>
              <w:bidi w:val="0"/>
              <w:spacing w:before="0" w:after="283"/>
              <w:jc w:val="left"/>
              <w:rPr>
                <w:sz w:val="4"/>
                <w:szCs w:val="4"/>
              </w:rPr>
            </w:pPr>
            <w:r>
              <w:rPr>
                <w:sz w:val="4"/>
                <w:szCs w:val="4"/>
              </w:rPr>
            </w:r>
          </w:p>
        </w:tc>
        <w:tc>
          <w:tcPr>
            <w:tcW w:w="9037"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Effect of Termination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Expense Reimbursement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120" w:hRule="atLeast"/>
        </w:trPr>
        <w:tc>
          <w:tcPr>
            <w:tcW w:w="9675" w:type="dxa"/>
            <w:gridSpan w:val="3"/>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96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SURVIVAL; REMEDIES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638" w:type="dxa"/>
            <w:tcBorders/>
            <w:vAlign w:val="center"/>
          </w:tcPr>
          <w:p>
            <w:pPr>
              <w:pStyle w:val="TableContents"/>
              <w:bidi w:val="0"/>
              <w:spacing w:before="0" w:after="283"/>
              <w:jc w:val="left"/>
              <w:rPr>
                <w:sz w:val="4"/>
                <w:szCs w:val="4"/>
              </w:rPr>
            </w:pPr>
            <w:r>
              <w:rPr>
                <w:sz w:val="4"/>
                <w:szCs w:val="4"/>
              </w:rPr>
            </w:r>
          </w:p>
        </w:tc>
        <w:tc>
          <w:tcPr>
            <w:tcW w:w="9037" w:type="dxa"/>
            <w:gridSpan w:val="2"/>
            <w:tcBorders/>
            <w:vAlign w:val="center"/>
          </w:tcPr>
          <w:p>
            <w:pPr>
              <w:pStyle w:val="TableContents"/>
              <w:bidi w:val="0"/>
              <w:spacing w:before="0" w:after="283"/>
              <w:jc w:val="left"/>
              <w:rPr>
                <w:sz w:val="4"/>
                <w:szCs w:val="4"/>
              </w:rPr>
            </w:pPr>
            <w:r>
              <w:rPr>
                <w:sz w:val="4"/>
                <w:szCs w:val="4"/>
              </w:rPr>
            </w:r>
          </w:p>
        </w:tc>
        <w:tc>
          <w:tcPr>
            <w:tcW w:w="530" w:type="dxa"/>
            <w:gridSpan w:val="4"/>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Survival</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96" w:type="dxa"/>
            <w:tcBorders/>
            <w:vAlign w:val="bottom"/>
          </w:tcPr>
          <w:p>
            <w:pPr>
              <w:pStyle w:val="TableContents"/>
              <w:bidi w:val="0"/>
              <w:spacing w:before="0" w:after="283"/>
              <w:jc w:val="left"/>
              <w:rPr/>
            </w:pPr>
            <w:r>
              <w:rPr/>
              <w:t> </w:t>
            </w:r>
          </w:p>
        </w:tc>
        <w:tc>
          <w:tcPr>
            <w:tcW w:w="8941" w:type="dxa"/>
            <w:tcBorders/>
            <w:vAlign w:val="bottom"/>
          </w:tcPr>
          <w:p>
            <w:pPr>
              <w:pStyle w:val="TableContents"/>
              <w:bidi w:val="0"/>
              <w:spacing w:before="0" w:after="283"/>
              <w:jc w:val="left"/>
              <w:rPr/>
            </w:pPr>
            <w:r>
              <w:rPr/>
              <w:t>Indemnification</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13"/>
        <w:gridCol w:w="109"/>
        <w:gridCol w:w="8744"/>
        <w:gridCol w:w="154"/>
        <w:gridCol w:w="60"/>
        <w:gridCol w:w="261"/>
        <w:gridCol w:w="64"/>
      </w:tblGrid>
      <w:tr>
        <w:trPr/>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744"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Procedures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Seller Release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Certain Limitations; Exclusive Remedy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rHeight w:val="120" w:hRule="atLeast"/>
        </w:trPr>
        <w:tc>
          <w:tcPr>
            <w:tcW w:w="9666" w:type="dxa"/>
            <w:gridSpan w:val="3"/>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TAX MATTERS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8853" w:type="dxa"/>
            <w:gridSpan w:val="2"/>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Tax Returns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Cooperation; Tax Actions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11.3</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Tax Contests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11.5</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Transfer &amp; Stamp Taxes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11.7</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Tax Exclusions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11.8</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Section 338(g) Election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rHeight w:val="120" w:hRule="atLeast"/>
        </w:trPr>
        <w:tc>
          <w:tcPr>
            <w:tcW w:w="9666" w:type="dxa"/>
            <w:gridSpan w:val="3"/>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966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 MISCELLANEOUS AND GENERAL</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rHeight w:val="120" w:hRule="atLeast"/>
        </w:trPr>
        <w:tc>
          <w:tcPr>
            <w:tcW w:w="813" w:type="dxa"/>
            <w:tcBorders/>
            <w:vAlign w:val="center"/>
          </w:tcPr>
          <w:p>
            <w:pPr>
              <w:pStyle w:val="TableContents"/>
              <w:bidi w:val="0"/>
              <w:spacing w:before="0" w:after="283"/>
              <w:jc w:val="left"/>
              <w:rPr>
                <w:sz w:val="4"/>
                <w:szCs w:val="4"/>
              </w:rPr>
            </w:pPr>
            <w:r>
              <w:rPr>
                <w:sz w:val="4"/>
                <w:szCs w:val="4"/>
              </w:rPr>
            </w:r>
          </w:p>
        </w:tc>
        <w:tc>
          <w:tcPr>
            <w:tcW w:w="8853" w:type="dxa"/>
            <w:gridSpan w:val="2"/>
            <w:tcBorders/>
            <w:vAlign w:val="center"/>
          </w:tcPr>
          <w:p>
            <w:pPr>
              <w:pStyle w:val="TableContents"/>
              <w:bidi w:val="0"/>
              <w:spacing w:before="0" w:after="283"/>
              <w:jc w:val="left"/>
              <w:rPr>
                <w:sz w:val="4"/>
                <w:szCs w:val="4"/>
              </w:rPr>
            </w:pPr>
            <w:r>
              <w:rPr>
                <w:sz w:val="4"/>
                <w:szCs w:val="4"/>
              </w:rPr>
            </w:r>
          </w:p>
        </w:tc>
        <w:tc>
          <w:tcPr>
            <w:tcW w:w="539" w:type="dxa"/>
            <w:gridSpan w:val="4"/>
            <w:tcBorders/>
            <w:vAlign w:val="center"/>
          </w:tcPr>
          <w:p>
            <w:pPr>
              <w:pStyle w:val="TableContents"/>
              <w:bidi w:val="0"/>
              <w:spacing w:before="0" w:after="283"/>
              <w:jc w:val="left"/>
              <w:rPr>
                <w:sz w:val="4"/>
                <w:szCs w:val="4"/>
              </w:rPr>
            </w:pPr>
            <w:r>
              <w:rPr>
                <w:sz w:val="4"/>
                <w:szCs w:val="4"/>
              </w:rPr>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Expenses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12.2</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Successors and Assigns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12.3</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[Reserved]</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12.4</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Further Assurances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12.5</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Notices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12.6</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Complete Agreement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12.7</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Captions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12.8</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Amendment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12.9</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Waiver</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12.10</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Governing Law; Jurisdiction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12.11</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Severability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12.12</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Counterparts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12.13</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Enforcement of Agreement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12.14</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Other Definitional and Interpretive Matters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12.15</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Disclosure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12.16</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Waiver of Transfer Restriction</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12.17</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Non-Recourse and Third Parties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12.18</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Privileged Deal Communications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12.19</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Fraud</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12.20</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Seller Representative</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813" w:type="dxa"/>
            <w:tcBorders/>
          </w:tcPr>
          <w:p>
            <w:pPr>
              <w:pStyle w:val="TableContents"/>
              <w:bidi w:val="0"/>
              <w:spacing w:before="0" w:after="0"/>
              <w:jc w:val="left"/>
              <w:rPr>
                <w:rFonts w:ascii="Times New Roman" w:hAnsi="Times New Roman"/>
                <w:sz w:val="20"/>
              </w:rPr>
            </w:pPr>
            <w:r>
              <w:rPr>
                <w:rFonts w:ascii="Times New Roman" w:hAnsi="Times New Roman"/>
                <w:sz w:val="20"/>
              </w:rPr>
              <w:t>12.21</w:t>
            </w:r>
          </w:p>
        </w:tc>
        <w:tc>
          <w:tcPr>
            <w:tcW w:w="109" w:type="dxa"/>
            <w:tcBorders/>
            <w:vAlign w:val="bottom"/>
          </w:tcPr>
          <w:p>
            <w:pPr>
              <w:pStyle w:val="TableContents"/>
              <w:bidi w:val="0"/>
              <w:spacing w:before="0" w:after="283"/>
              <w:jc w:val="left"/>
              <w:rPr/>
            </w:pPr>
            <w:r>
              <w:rPr/>
              <w:t> </w:t>
            </w:r>
          </w:p>
        </w:tc>
        <w:tc>
          <w:tcPr>
            <w:tcW w:w="8744" w:type="dxa"/>
            <w:tcBorders/>
            <w:vAlign w:val="bottom"/>
          </w:tcPr>
          <w:p>
            <w:pPr>
              <w:pStyle w:val="TableContents"/>
              <w:bidi w:val="0"/>
              <w:spacing w:before="0" w:after="283"/>
              <w:jc w:val="left"/>
              <w:rPr/>
            </w:pPr>
            <w:r>
              <w:rPr/>
              <w:t>Power of Attorney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gridCol w:w="101"/>
        <w:gridCol w:w="8574"/>
      </w:tblGrid>
      <w:tr>
        <w:trPr/>
        <w:tc>
          <w:tcPr>
            <w:tcW w:w="153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574"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Exhibit A</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Definitions</w:t>
            </w:r>
          </w:p>
        </w:tc>
      </w:tr>
      <w:tr>
        <w:trPr/>
        <w:tc>
          <w:tcPr>
            <w:tcW w:w="1530" w:type="dxa"/>
            <w:tcBorders/>
          </w:tcPr>
          <w:p>
            <w:pPr>
              <w:pStyle w:val="TableContents"/>
              <w:bidi w:val="0"/>
              <w:spacing w:before="0" w:after="283"/>
              <w:jc w:val="left"/>
              <w:rPr/>
            </w:pPr>
            <w:r>
              <w:rPr/>
              <w:t>Exhibit B</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Settlement Amounts</w:t>
            </w:r>
          </w:p>
        </w:tc>
      </w:tr>
      <w:tr>
        <w:trPr/>
        <w:tc>
          <w:tcPr>
            <w:tcW w:w="1530" w:type="dxa"/>
            <w:tcBorders/>
          </w:tcPr>
          <w:p>
            <w:pPr>
              <w:pStyle w:val="TableContents"/>
              <w:bidi w:val="0"/>
              <w:spacing w:before="0" w:after="283"/>
              <w:jc w:val="left"/>
              <w:rPr/>
            </w:pPr>
            <w:r>
              <w:rPr/>
              <w:t>Exhibit C</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Locked Box Accounts</w:t>
            </w:r>
          </w:p>
        </w:tc>
      </w:tr>
      <w:tr>
        <w:trPr/>
        <w:tc>
          <w:tcPr>
            <w:tcW w:w="1530" w:type="dxa"/>
            <w:tcBorders/>
          </w:tcPr>
          <w:p>
            <w:pPr>
              <w:pStyle w:val="TableContents"/>
              <w:bidi w:val="0"/>
              <w:spacing w:before="0" w:after="283"/>
              <w:jc w:val="left"/>
              <w:rPr/>
            </w:pPr>
            <w:r>
              <w:rPr/>
              <w:t>Exhibit D</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Information about the Companies</w:t>
            </w:r>
          </w:p>
        </w:tc>
      </w:tr>
      <w:tr>
        <w:trPr/>
        <w:tc>
          <w:tcPr>
            <w:tcW w:w="1530" w:type="dxa"/>
            <w:tcBorders/>
          </w:tcPr>
          <w:p>
            <w:pPr>
              <w:pStyle w:val="TableContents"/>
              <w:bidi w:val="0"/>
              <w:spacing w:before="0" w:after="283"/>
              <w:jc w:val="left"/>
              <w:rPr/>
            </w:pPr>
            <w:r>
              <w:rPr/>
              <w:t>Exhibit E</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Agreed Financing Terms</w:t>
            </w:r>
          </w:p>
        </w:tc>
      </w:tr>
      <w:tr>
        <w:trPr/>
        <w:tc>
          <w:tcPr>
            <w:tcW w:w="1530" w:type="dxa"/>
            <w:tcBorders/>
          </w:tcPr>
          <w:p>
            <w:pPr>
              <w:pStyle w:val="TableContents"/>
              <w:bidi w:val="0"/>
              <w:spacing w:before="0" w:after="283"/>
              <w:jc w:val="left"/>
              <w:rPr/>
            </w:pPr>
            <w:r>
              <w:rPr/>
              <w:t>Exhibit F</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Permitted Leakage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SHARE PURCHASE AGREEMENT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SHARE PURCHASE AGREEMENT (this “</w:t>
      </w:r>
      <w:r>
        <w:rPr>
          <w:rFonts w:ascii="Times New Roman" w:hAnsi="Times New Roman"/>
          <w:b/>
          <w:i/>
          <w:sz w:val="20"/>
        </w:rPr>
        <w:t>Agreement</w:t>
      </w:r>
      <w:r>
        <w:rPr>
          <w:rFonts w:ascii="Times New Roman" w:hAnsi="Times New Roman"/>
          <w:sz w:val="20"/>
        </w:rPr>
        <w:t>”) is made as a deed and dated on October 8, 2026 and is entered into by and among Drilling Tools International Corporation, a Delaware corporation (“</w:t>
      </w:r>
      <w:r>
        <w:rPr>
          <w:rFonts w:ascii="Times New Roman" w:hAnsi="Times New Roman"/>
          <w:b/>
          <w:i/>
          <w:sz w:val="20"/>
        </w:rPr>
        <w:t>Parent</w:t>
      </w:r>
      <w:r>
        <w:rPr>
          <w:rFonts w:ascii="Times New Roman" w:hAnsi="Times New Roman"/>
          <w:sz w:val="20"/>
        </w:rPr>
        <w:t>”), Casing Technologies Group Limited, a private company with limited liability, with its registered office at Unit 4 &amp; 5 Enterprise Drive, Westhill Industrial Estate, Westhill, Scotland, AB32 6TQ, Company Number SC328867 (“</w:t>
      </w:r>
      <w:r>
        <w:rPr>
          <w:rFonts w:ascii="Times New Roman" w:hAnsi="Times New Roman"/>
          <w:b/>
          <w:i/>
          <w:sz w:val="20"/>
        </w:rPr>
        <w:t>Buyer</w:t>
      </w:r>
      <w:r>
        <w:rPr>
          <w:rFonts w:ascii="Times New Roman" w:hAnsi="Times New Roman"/>
          <w:sz w:val="20"/>
        </w:rPr>
        <w:t>”), Saltire Energy Limited, a private company with limited liability, with its registered office at c/o Peterkins, 100 Union Street, Aberdeen, Aberdeenshire, AB10 1QR Scotland, Company Number SC165384 (“</w:t>
      </w:r>
      <w:r>
        <w:rPr>
          <w:rFonts w:ascii="Times New Roman" w:hAnsi="Times New Roman"/>
          <w:b/>
          <w:i/>
          <w:sz w:val="20"/>
        </w:rPr>
        <w:t>Saltire</w:t>
      </w:r>
      <w:r>
        <w:rPr>
          <w:rFonts w:ascii="Times New Roman" w:hAnsi="Times New Roman"/>
          <w:sz w:val="20"/>
        </w:rPr>
        <w:t>”), Foxley Energy Limited, a private company with limited liability, with its registered office at 100 Union Street, Aberdeen, AB10 1QR, Scotland, Company Number SC539080 (“</w:t>
      </w:r>
      <w:r>
        <w:rPr>
          <w:rFonts w:ascii="Times New Roman" w:hAnsi="Times New Roman"/>
          <w:b/>
          <w:i/>
          <w:sz w:val="20"/>
        </w:rPr>
        <w:t>Foxley</w:t>
      </w:r>
      <w:r>
        <w:rPr>
          <w:rFonts w:ascii="Times New Roman" w:hAnsi="Times New Roman"/>
          <w:sz w:val="20"/>
        </w:rPr>
        <w:t>”, and together with Saltire, each a “</w:t>
      </w:r>
      <w:r>
        <w:rPr>
          <w:rFonts w:ascii="Times New Roman" w:hAnsi="Times New Roman"/>
          <w:b/>
          <w:i/>
          <w:sz w:val="20"/>
        </w:rPr>
        <w:t>Company</w:t>
      </w:r>
      <w:r>
        <w:rPr>
          <w:rFonts w:ascii="Times New Roman" w:hAnsi="Times New Roman"/>
          <w:sz w:val="20"/>
        </w:rPr>
        <w:t>” and collectively, the “</w:t>
      </w:r>
      <w:r>
        <w:rPr>
          <w:rFonts w:ascii="Times New Roman" w:hAnsi="Times New Roman"/>
          <w:b/>
          <w:i/>
          <w:sz w:val="20"/>
        </w:rPr>
        <w:t>Companies</w:t>
      </w:r>
      <w:r>
        <w:rPr>
          <w:rFonts w:ascii="Times New Roman" w:hAnsi="Times New Roman"/>
          <w:sz w:val="20"/>
        </w:rPr>
        <w:t>”), the respective shareholders of the Companies listed on the signature pages hereto (each a “</w:t>
      </w:r>
      <w:r>
        <w:rPr>
          <w:rFonts w:ascii="Times New Roman" w:hAnsi="Times New Roman"/>
          <w:b/>
          <w:i/>
          <w:sz w:val="20"/>
        </w:rPr>
        <w:t>Seller</w:t>
      </w:r>
      <w:r>
        <w:rPr>
          <w:rFonts w:ascii="Times New Roman" w:hAnsi="Times New Roman"/>
          <w:sz w:val="20"/>
        </w:rPr>
        <w:t>” and collectively, the “</w:t>
      </w:r>
      <w:r>
        <w:rPr>
          <w:rFonts w:ascii="Times New Roman" w:hAnsi="Times New Roman"/>
          <w:b/>
          <w:i/>
          <w:sz w:val="20"/>
        </w:rPr>
        <w:t>Sellers</w:t>
      </w:r>
      <w:r>
        <w:rPr>
          <w:rFonts w:ascii="Times New Roman" w:hAnsi="Times New Roman"/>
          <w:sz w:val="20"/>
        </w:rPr>
        <w:t>”), and Jack William Loggie, solely in his capacity as the Seller Representative (as defined herein). Parent, Buyer, the Companies, the Sellers, and the Seller Representative are sometimes collectively referred to herein as the “</w:t>
      </w:r>
      <w:r>
        <w:rPr>
          <w:rFonts w:ascii="Times New Roman" w:hAnsi="Times New Roman"/>
          <w:b/>
          <w:i/>
          <w:sz w:val="20"/>
        </w:rPr>
        <w:t>Parties</w:t>
      </w:r>
      <w:r>
        <w:rPr>
          <w:rFonts w:ascii="Times New Roman" w:hAnsi="Times New Roman"/>
          <w:sz w:val="20"/>
        </w:rPr>
        <w:t>” and individually as a “</w:t>
      </w:r>
      <w:r>
        <w:rPr>
          <w:rFonts w:ascii="Times New Roman" w:hAnsi="Times New Roman"/>
          <w:b/>
          <w:i/>
          <w:sz w:val="20"/>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u w:val="single"/>
        </w:rPr>
        <w:t>RECITALS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as of the date hereof, the Saltire Sellers collectively own 100% of the issued and outstanding share capital of Saltire, consisting of 1,240 ordinary shares of £1.00 each in the capital of Saltire (the “</w:t>
      </w:r>
      <w:r>
        <w:rPr>
          <w:rFonts w:ascii="Times New Roman" w:hAnsi="Times New Roman"/>
          <w:b/>
          <w:i/>
          <w:sz w:val="20"/>
        </w:rPr>
        <w:t>Saltire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as of the date hereof, the Foxley Sellers collectively own 100% of the issued and outstanding share capital of Foxley, consisting of 100 ordinary shares of £1.00 each in the capital of Foxley (the “</w:t>
      </w:r>
      <w:r>
        <w:rPr>
          <w:rFonts w:ascii="Times New Roman" w:hAnsi="Times New Roman"/>
          <w:b/>
          <w:i/>
          <w:sz w:val="20"/>
        </w:rPr>
        <w:t>Foxley Capital Stock</w:t>
      </w:r>
      <w:r>
        <w:rPr>
          <w:rFonts w:ascii="Times New Roman" w:hAnsi="Times New Roman"/>
          <w:sz w:val="20"/>
        </w:rPr>
        <w:t>” and together with the Saltire Capital Stock, the “</w:t>
      </w:r>
      <w:r>
        <w:rPr>
          <w:rFonts w:ascii="Times New Roman" w:hAnsi="Times New Roman"/>
          <w:b/>
          <w:i/>
          <w:sz w:val="20"/>
        </w:rPr>
        <w:t>Company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Sellers desire to sell to Buyer, and Buyer desires to purchase from the Sellers, all of the shares of the Company Capital Stock in exchange for the consideration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respective Governing Bodies of Parent, Buyer and the Companies, and the Sellers, have approved this Agreement and the transactions contemplated hereby upon the terms and subject to the conditions set forth herein; and </w:t>
      </w:r>
    </w:p>
    <w:p>
      <w:pPr>
        <w:pStyle w:val="TextBody"/>
        <w:bidi w:val="0"/>
        <w:spacing w:before="240" w:after="0"/>
        <w:jc w:val="left"/>
        <w:rPr>
          <w:rFonts w:ascii="Times New Roman" w:hAnsi="Times New Roman"/>
          <w:sz w:val="20"/>
        </w:rPr>
      </w:pPr>
      <w:r>
        <w:rPr>
          <w:rFonts w:ascii="Times New Roman" w:hAnsi="Times New Roman"/>
          <w:sz w:val="20"/>
        </w:rPr>
        <w:t>WHEREAS, the Sellers have executed a lockup and investor rights agreement in the Agreed Form (the “</w:t>
      </w:r>
      <w:r>
        <w:rPr>
          <w:rFonts w:ascii="Times New Roman" w:hAnsi="Times New Roman"/>
          <w:b/>
          <w:i/>
          <w:sz w:val="20"/>
        </w:rPr>
        <w:t>Lockup and Investor Rights Agreement</w:t>
      </w:r>
      <w:r>
        <w:rPr>
          <w:rFonts w:ascii="Times New Roman" w:hAnsi="Times New Roman"/>
          <w:sz w:val="20"/>
        </w:rPr>
        <w:t xml:space="preserve">”) dated as of even date herewith, but effective for all purposes as of the Closing, providing for, among other things, (i) customary restrictions on the transfer of DTI Common Stock received by the Sellers pursuant to the Rollover Documents, (ii) participation rights in any secondary offering initiated by Parent, and (iii) board designation and observation rights for the Sellers.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respective warranties, covenants and agreements set forth herein and other good and valuable consideration, the receipt and sufficiency of which are hereby confirmed, and subject to the terms and conditions set forth herein, the Parties intending to be legally bound hereby agree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w:t>
      </w:r>
      <w:r>
        <w:rPr>
          <w:rFonts w:ascii="Times New Roman" w:hAnsi="Times New Roman"/>
          <w:b/>
          <w:i/>
          <w:sz w:val="20"/>
        </w:rPr>
        <w:t>Exhibit A</w:t>
      </w:r>
      <w:r>
        <w:rPr>
          <w:rFonts w:ascii="Times New Roman" w:hAnsi="Times New Roman"/>
          <w:sz w:val="20"/>
        </w:rPr>
        <w:t xml:space="preserve">, whenever used herein, shall have the meanings set forth on </w:t>
      </w:r>
      <w:r>
        <w:rPr>
          <w:rFonts w:ascii="Times New Roman" w:hAnsi="Times New Roman"/>
          <w:b/>
          <w:i/>
          <w:sz w:val="20"/>
        </w:rPr>
        <w:t>Exhibit A</w:t>
      </w:r>
      <w:r>
        <w:rPr>
          <w:rFonts w:ascii="Times New Roman" w:hAnsi="Times New Roman"/>
          <w:sz w:val="20"/>
        </w:rPr>
        <w:t xml:space="preserve"> for all purposes of this Agreement. The definitions on </w:t>
      </w:r>
      <w:r>
        <w:rPr>
          <w:rFonts w:ascii="Times New Roman" w:hAnsi="Times New Roman"/>
          <w:b/>
          <w:i/>
          <w:sz w:val="20"/>
        </w:rPr>
        <w:t xml:space="preserve">Exhibit A </w:t>
      </w:r>
      <w:r>
        <w:rPr>
          <w:rFonts w:ascii="Times New Roman" w:hAnsi="Times New Roman"/>
          <w:sz w:val="20"/>
        </w:rPr>
        <w:t xml:space="preserve">are incorporated into this Agreement as if fully set forth at length herein and all references to a Section in such </w:t>
      </w:r>
      <w:r>
        <w:rPr>
          <w:rFonts w:ascii="Times New Roman" w:hAnsi="Times New Roman"/>
          <w:b/>
          <w:i/>
          <w:sz w:val="20"/>
        </w:rPr>
        <w:t>Exhibit A</w:t>
      </w:r>
      <w:r>
        <w:rPr>
          <w:rFonts w:ascii="Times New Roman" w:hAnsi="Times New Roman"/>
          <w:sz w:val="20"/>
        </w:rPr>
        <w:t xml:space="preserve"> are references to such Section of this Agreement, unless otherwise indicated.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SALE AND PURCHASE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Purchase and Sale of the Company Capital Stock; 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Closing Date Consideration</w:t>
      </w:r>
      <w:r>
        <w:rPr>
          <w:rFonts w:ascii="Times New Roman" w:hAnsi="Times New Roman"/>
          <w:sz w:val="20"/>
        </w:rPr>
        <w:t xml:space="preserve">. Subject to the terms and conditions of this Agreement, at the Closing: (i) each Seller shall sell, transfer, assign, convey and deliver each share of the Company Capital Stock held by such Seller to Buyer, free and clear of any Liens, (ii) Buyer shall purchase and accept each such share of the Company Capital Stock from each Seller, and (iii) Buyer shall pay to the Sellers, in respect of the Company Capital Stock, an aggregate amount equal to the Adjusted Closing Date Cash Consideration. </w:t>
      </w:r>
    </w:p>
    <w:p>
      <w:pPr>
        <w:pStyle w:val="TextBody"/>
        <w:bidi w:val="0"/>
        <w:spacing w:before="240" w:after="0"/>
        <w:jc w:val="left"/>
        <w:rPr>
          <w:rFonts w:ascii="Times New Roman" w:hAnsi="Times New Roman"/>
          <w:sz w:val="20"/>
        </w:rPr>
      </w:pPr>
      <w:r>
        <w:rPr>
          <w:rFonts w:ascii="Times New Roman" w:hAnsi="Times New Roman"/>
          <w:sz w:val="20"/>
        </w:rPr>
        <w:t>(b) The “</w:t>
      </w:r>
      <w:r>
        <w:rPr>
          <w:rFonts w:ascii="Times New Roman" w:hAnsi="Times New Roman"/>
          <w:b/>
          <w:i/>
          <w:sz w:val="20"/>
        </w:rPr>
        <w:t>Closing Date Consideration</w:t>
      </w:r>
      <w:r>
        <w:rPr>
          <w:rFonts w:ascii="Times New Roman" w:hAnsi="Times New Roman"/>
          <w:sz w:val="20"/>
        </w:rPr>
        <w:t>” shall be composed of (a) the Closing Date Loan Note Consideration and (b) cash (the “</w:t>
      </w:r>
      <w:r>
        <w:rPr>
          <w:rFonts w:ascii="Times New Roman" w:hAnsi="Times New Roman"/>
          <w:b/>
          <w:i/>
          <w:sz w:val="20"/>
        </w:rPr>
        <w:t>Closing Date Cash Consideration</w:t>
      </w:r>
      <w:r>
        <w:rPr>
          <w:rFonts w:ascii="Times New Roman" w:hAnsi="Times New Roman"/>
          <w:sz w:val="20"/>
        </w:rPr>
        <w:t xml:space="preserve">”). The Closing Date Cash Consideration will consist of Sixty Million Two Hundred Eighty-Nine Thousand Eight Hundred Fifty-Six Pounds and Sixty Pence (£60,289,856.60).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Adjustments to the Closing Date Cash Consideration</w:t>
      </w:r>
      <w:r>
        <w:rPr>
          <w:rFonts w:ascii="Times New Roman" w:hAnsi="Times New Roman"/>
          <w:sz w:val="20"/>
        </w:rPr>
        <w:t>. The Closing Date Cash Consideration shall be adjusted as follows (the Closing Date Cash Consideration, as so adjusted, the “</w:t>
      </w:r>
      <w:r>
        <w:rPr>
          <w:rFonts w:ascii="Times New Roman" w:hAnsi="Times New Roman"/>
          <w:b/>
          <w:i/>
          <w:sz w:val="20"/>
        </w:rPr>
        <w:t>Adjusted Closing Date Cash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Closing Date Cash Consideration shall be adjusted by the Profit Ticker Amount; </w:t>
      </w:r>
    </w:p>
    <w:p>
      <w:pPr>
        <w:pStyle w:val="TextBody"/>
        <w:bidi w:val="0"/>
        <w:spacing w:before="240" w:after="0"/>
        <w:jc w:val="left"/>
        <w:rPr>
          <w:rFonts w:ascii="Times New Roman" w:hAnsi="Times New Roman"/>
          <w:sz w:val="20"/>
        </w:rPr>
      </w:pPr>
      <w:r>
        <w:rPr>
          <w:rFonts w:ascii="Times New Roman" w:hAnsi="Times New Roman"/>
          <w:sz w:val="20"/>
        </w:rPr>
        <w:t xml:space="preserve">(ii) the Closing Date Cash Consideration shall be reduced by any Known Leakage Amount; </w:t>
      </w:r>
    </w:p>
    <w:p>
      <w:pPr>
        <w:pStyle w:val="TextBody"/>
        <w:bidi w:val="0"/>
        <w:spacing w:before="240" w:after="0"/>
        <w:jc w:val="left"/>
        <w:rPr>
          <w:rFonts w:ascii="Times New Roman" w:hAnsi="Times New Roman"/>
          <w:sz w:val="20"/>
        </w:rPr>
      </w:pPr>
      <w:r>
        <w:rPr>
          <w:rFonts w:ascii="Times New Roman" w:hAnsi="Times New Roman"/>
          <w:sz w:val="20"/>
        </w:rPr>
        <w:t xml:space="preserve">(iii) the Closing Date Cash Consideration shall be decreased by the absolute value of the Agreed Historic Lease Tax Amount; and </w:t>
      </w:r>
    </w:p>
    <w:p>
      <w:pPr>
        <w:pStyle w:val="TextBody"/>
        <w:bidi w:val="0"/>
        <w:spacing w:before="240" w:after="0"/>
        <w:jc w:val="left"/>
        <w:rPr>
          <w:rFonts w:ascii="Times New Roman" w:hAnsi="Times New Roman"/>
          <w:sz w:val="20"/>
        </w:rPr>
      </w:pPr>
      <w:r>
        <w:rPr>
          <w:rFonts w:ascii="Times New Roman" w:hAnsi="Times New Roman"/>
          <w:sz w:val="20"/>
        </w:rPr>
        <w:t xml:space="preserve">(iv) the Closing Date Cash Consideration shall be either (i) decreased by the absolute value of the Agreed EBT Tax Liability Adjustment Amount (to the extent such adjustment is a negative value) or (ii) increased by the absolute value of the Agreed EBT Tax Liability Adjustment Amount (to the extent such adjustment is a positive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Closing Payments</w:t>
      </w:r>
      <w:r>
        <w:rPr>
          <w:rFonts w:ascii="Times New Roman" w:hAnsi="Times New Roman"/>
          <w:sz w:val="20"/>
        </w:rPr>
        <w:t xml:space="preserve">. At the Closing, Buyer shall (or, in the case of clause (d) below, Parent and Buyer shall): </w:t>
      </w:r>
    </w:p>
    <w:p>
      <w:pPr>
        <w:pStyle w:val="TextBody"/>
        <w:bidi w:val="0"/>
        <w:spacing w:before="240" w:after="0"/>
        <w:jc w:val="left"/>
        <w:rPr>
          <w:rFonts w:ascii="Times New Roman" w:hAnsi="Times New Roman"/>
          <w:sz w:val="20"/>
        </w:rPr>
      </w:pPr>
      <w:r>
        <w:rPr>
          <w:rFonts w:ascii="Times New Roman" w:hAnsi="Times New Roman"/>
          <w:sz w:val="20"/>
        </w:rPr>
        <w:t xml:space="preserve">(a) (i) on behalf of, and as agent for, the Companies, cause the Company Debt (including, without limitation, any Company Debt incurred after the Locked Box Date which is not Leakage) to be repaid in full to the party or parties set forth therein, pursuant to the corresponding Payoff Letters (other than the Agreed EBT Tax Liability Amount); (ii) on behalf of the Companies, pay the Agreed EBT Tax Liability Amount to His Majesty’s Revenue and Customs in accordance with the payment instructions to be provided by the Seller Representative to Buyer at least three (3) Business Days prior to the Closing Date; and (iii) on behalf of the Companies, pay any Selling Expenses to the Persons entitled thereto in accordance with the invoices and instructions to be delivered by the Companies to Buyer at least three (3) Business Days prior to the Closing Date (provided, that any such Selling Expenses in respect of which there is a requirement to account for UK income tax and / or National Insurance contributions shall be paid to the Companies for further payment to the applicable recipients through the Companies’ payroll); </w:t>
      </w:r>
    </w:p>
    <w:p>
      <w:pPr>
        <w:pStyle w:val="TextBody"/>
        <w:bidi w:val="0"/>
        <w:spacing w:before="240" w:after="0"/>
        <w:jc w:val="left"/>
        <w:rPr>
          <w:rFonts w:ascii="Times New Roman" w:hAnsi="Times New Roman"/>
          <w:sz w:val="20"/>
        </w:rPr>
      </w:pPr>
      <w:r>
        <w:rPr>
          <w:rFonts w:ascii="Times New Roman" w:hAnsi="Times New Roman"/>
          <w:sz w:val="20"/>
        </w:rPr>
        <w:t xml:space="preserve">(b) pay the Adjusted Closing Date Cash Consideration to the Payment Agent Account by wire transfer of immediately available funds (receipt by the Payment Agent of which shall discharge the Buyer from its obligation to pay the Closing Date Cash Consideration to the Sellers), and the Payment Agent shall, upon receipt of the Seller Representative’s instructions, distribute such amount (less the Outstanding Receivables Amount) to each Seller in the proportion set out beside such Seller’s name in </w:t>
      </w:r>
      <w:r>
        <w:rPr>
          <w:rFonts w:ascii="Times New Roman" w:hAnsi="Times New Roman"/>
          <w:b/>
          <w:i/>
          <w:sz w:val="20"/>
        </w:rPr>
        <w:t>Exhibit B</w:t>
      </w:r>
      <w:r>
        <w:rPr>
          <w:rFonts w:ascii="Times New Roman" w:hAnsi="Times New Roman"/>
          <w:sz w:val="20"/>
        </w:rPr>
        <w:t xml:space="preserve"> (collectively, the “</w:t>
      </w:r>
      <w:r>
        <w:rPr>
          <w:rFonts w:ascii="Times New Roman" w:hAnsi="Times New Roman"/>
          <w:b/>
          <w:i/>
          <w:sz w:val="20"/>
        </w:rPr>
        <w:t>Settlement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issue to each Seller (other than the Trustee Seller), such Seller’s share of the Consideration Loan Notes as set out in </w:t>
      </w:r>
      <w:r>
        <w:rPr>
          <w:rFonts w:ascii="Times New Roman" w:hAnsi="Times New Roman"/>
          <w:b/>
          <w:i/>
          <w:sz w:val="20"/>
        </w:rPr>
        <w:t>Exhibit B</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(d) give effect to the terms of the Rollover Documents such that the DTI Common Stock is issued to the Sellers (other than the Trustee Seller).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Leakage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Leakage Covenant</w:t>
      </w:r>
      <w:r>
        <w:rPr>
          <w:rFonts w:ascii="Times New Roman" w:hAnsi="Times New Roman"/>
          <w:sz w:val="20"/>
        </w:rPr>
        <w:t>. Each Seller (other than the Trustee Seller) undertakes and covenants to pay Buyer in cash on demand in full without any set-off, counterclaim or deduction an amount equal to: (i) any Leakage received or receivable by such Seller (the “</w:t>
      </w:r>
      <w:r>
        <w:rPr>
          <w:rFonts w:ascii="Times New Roman" w:hAnsi="Times New Roman"/>
          <w:b/>
          <w:i/>
          <w:sz w:val="20"/>
        </w:rPr>
        <w:t>Relevant Seller</w:t>
      </w:r>
      <w:r>
        <w:rPr>
          <w:rFonts w:ascii="Times New Roman" w:hAnsi="Times New Roman"/>
          <w:sz w:val="20"/>
        </w:rPr>
        <w:t xml:space="preserve">”) or any of its Related Persons during the Locked Box Period; (ii) interest on the amount referred to in sub-paragraph (i) above at the rate of five per cent. (5.0%) per annum above the base rate from time to time of the Bank of England, such interest to accrue on a daily basis (both before and after any judgment) from the date on which the relevant Leakage occurred to the date of payment in full under this </w:t>
      </w:r>
      <w:r>
        <w:rPr>
          <w:rFonts w:ascii="Times New Roman" w:hAnsi="Times New Roman"/>
          <w:sz w:val="20"/>
          <w:u w:val="single"/>
        </w:rPr>
        <w:t>Section 2.3(a)</w:t>
      </w:r>
      <w:r>
        <w:rPr>
          <w:rFonts w:ascii="Times New Roman" w:hAnsi="Times New Roman"/>
          <w:sz w:val="20"/>
        </w:rPr>
        <w:t xml:space="preserve">; and (iii) all costs and expenses reasonably incurred by Buyer in recovering such amounts, in each case, within ten (10) Business Days of a written demand from Buyer.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Allocation of Leakage</w:t>
      </w:r>
      <w:r>
        <w:rPr>
          <w:rFonts w:ascii="Times New Roman" w:hAnsi="Times New Roman"/>
          <w:sz w:val="20"/>
        </w:rPr>
        <w:t xml:space="preserve">. Any Leakage under paragraphs (b), (d), (e) and (f) of the definition of “Leakage” not directly paid to or received by an individual Seller or any of its Related Persons shall be deemed to have been received by the Sellers (other than the Trustee Seller) and their respective Related Persons in accordance with their Pro Rata Share and, for purposes of </w:t>
      </w:r>
      <w:r>
        <w:rPr>
          <w:rFonts w:ascii="Times New Roman" w:hAnsi="Times New Roman"/>
          <w:sz w:val="20"/>
          <w:u w:val="single"/>
        </w:rPr>
        <w:t>Section 2.3(a)</w:t>
      </w:r>
      <w:r>
        <w:rPr>
          <w:rFonts w:ascii="Times New Roman" w:hAnsi="Times New Roman"/>
          <w:sz w:val="20"/>
        </w:rPr>
        <w:t xml:space="preserve">, Leakage under paragraph (i) of that definition will be treated as having been received by the Seller in respect of the matter to which that Leakage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Leakage Claim Notice</w:t>
      </w:r>
      <w:r>
        <w:rPr>
          <w:rFonts w:ascii="Times New Roman" w:hAnsi="Times New Roman"/>
          <w:sz w:val="20"/>
        </w:rPr>
        <w:t>. If there is any Leakage to or for the benefit of a Seller or any of its Related Persons during the Locked Box Period which does not constitute a Known Leakage Amount which has already been deducted from the Adjusted Closing Date Cash Consideration pursuant to Section </w:t>
      </w:r>
      <w:r>
        <w:rPr>
          <w:rFonts w:ascii="Times New Roman" w:hAnsi="Times New Roman"/>
          <w:sz w:val="20"/>
          <w:u w:val="single"/>
        </w:rPr>
        <w:t>2.1(c)(ii)</w:t>
      </w:r>
      <w:r>
        <w:rPr>
          <w:rFonts w:ascii="Times New Roman" w:hAnsi="Times New Roman"/>
          <w:sz w:val="20"/>
        </w:rPr>
        <w:t xml:space="preserve">, no claim shall be brought against a Relevant Seller in respect of such Leakage unless and until the Relevant Seller shall have received from Buyer written notice containing reasonable details (insofar as they are known to Buyer) of the relevant claim including, where known to Buyer, the amount of the claim (or a reasonable estimate thereof), and such claim is brought within twelve (12) months following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Leakage Undertaking</w:t>
      </w:r>
      <w:r>
        <w:rPr>
          <w:rFonts w:ascii="Times New Roman" w:hAnsi="Times New Roman"/>
          <w:sz w:val="20"/>
        </w:rPr>
        <w:t xml:space="preserve">. Each of the Sellers (other than the Trustee Seller) undertakes that: (i) there has been no Leakage during the Locked Box Period other than Permitted Leakage; and (ii) such Seller shall notify Buyer in writing as soon as practicable (and in any event no later than ten (10) Business Days) after such Seller becomes aware of any fact, matter or circumstance which would constitute Leakage having occurred during the Locked Box Period and which may entitle Buyer to bring a Leakage Claim.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Known Leakage Amount</w:t>
      </w:r>
      <w:r>
        <w:rPr>
          <w:rFonts w:ascii="Times New Roman" w:hAnsi="Times New Roman"/>
          <w:sz w:val="20"/>
        </w:rPr>
        <w:t xml:space="preserve">. If any Leakage is notified under </w:t>
      </w:r>
      <w:r>
        <w:rPr>
          <w:rFonts w:ascii="Times New Roman" w:hAnsi="Times New Roman"/>
          <w:sz w:val="20"/>
          <w:u w:val="single"/>
        </w:rPr>
        <w:t>Section 2.3(a)</w:t>
      </w:r>
      <w:r>
        <w:rPr>
          <w:rFonts w:ascii="Times New Roman" w:hAnsi="Times New Roman"/>
          <w:sz w:val="20"/>
        </w:rPr>
        <w:t xml:space="preserve">, </w:t>
      </w:r>
      <w:r>
        <w:rPr>
          <w:rFonts w:ascii="Times New Roman" w:hAnsi="Times New Roman"/>
          <w:sz w:val="20"/>
          <w:u w:val="single"/>
        </w:rPr>
        <w:t>Section 2.3(d)(ii)</w:t>
      </w:r>
      <w:r>
        <w:rPr>
          <w:rFonts w:ascii="Times New Roman" w:hAnsi="Times New Roman"/>
          <w:sz w:val="20"/>
        </w:rPr>
        <w:t xml:space="preserve">, or otherwise comes to the attention of Buyer at or prior to Closing and the Relevant Seller agrees: (A) that it is in breach of this </w:t>
      </w:r>
      <w:r>
        <w:rPr>
          <w:rFonts w:ascii="Times New Roman" w:hAnsi="Times New Roman"/>
          <w:sz w:val="20"/>
          <w:u w:val="single"/>
        </w:rPr>
        <w:t>Section 2.3</w:t>
      </w:r>
      <w:r>
        <w:rPr>
          <w:rFonts w:ascii="Times New Roman" w:hAnsi="Times New Roman"/>
          <w:sz w:val="20"/>
        </w:rPr>
        <w:t xml:space="preserve"> and (B) the amount of such Leakage (the “</w:t>
      </w:r>
      <w:r>
        <w:rPr>
          <w:rFonts w:ascii="Times New Roman" w:hAnsi="Times New Roman"/>
          <w:b/>
          <w:i/>
          <w:sz w:val="20"/>
        </w:rPr>
        <w:t>Known Leakage Amount</w:t>
      </w:r>
      <w:r>
        <w:rPr>
          <w:rFonts w:ascii="Times New Roman" w:hAnsi="Times New Roman"/>
          <w:sz w:val="20"/>
        </w:rPr>
        <w:t xml:space="preserve">”), the Adjusted Closing Date Cash Consideration shall be reduced pursuant to </w:t>
      </w:r>
      <w:r>
        <w:rPr>
          <w:rFonts w:ascii="Times New Roman" w:hAnsi="Times New Roman"/>
          <w:sz w:val="20"/>
          <w:u w:val="single"/>
        </w:rPr>
        <w:t>Section 2.1(c)(ii)</w:t>
      </w:r>
      <w:r>
        <w:rPr>
          <w:rFonts w:ascii="Times New Roman" w:hAnsi="Times New Roman"/>
          <w:sz w:val="20"/>
        </w:rPr>
        <w:t xml:space="preserve"> by an amount equal to the aggregate of all such Known Leakage Amounts, which shall discharge each Relevant Seller’s obligation to make payment of such amounts of Leakage under this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Leakage Relief Saving</w:t>
      </w:r>
      <w:r>
        <w:rPr>
          <w:rFonts w:ascii="Times New Roman" w:hAnsi="Times New Roman"/>
          <w:sz w:val="20"/>
        </w:rPr>
        <w:t xml:space="preserve">. In the event that there is, or is reasonably expected to be in the accounting period in which the relevant Leakage occurs, the following accounting period or any prior accounting period, a Leakage Relief Saving arising to Buyer, the Companies or any Subsidiary then the amount of any Leakage to which that Leakage Relief Saving relates shall be reduced (but not below zero) by the amount of such Leakage Relief Saving (less any reasonable costs and expenses (including any liability to Tax other than recoverable VAT) incurred by the Companies or any Subsidiary in realising that Leakage Relief Saving).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Leakage Deemed Reduction</w:t>
      </w:r>
      <w:r>
        <w:rPr>
          <w:rFonts w:ascii="Times New Roman" w:hAnsi="Times New Roman"/>
          <w:sz w:val="20"/>
        </w:rPr>
        <w:t xml:space="preserve">. A payment made in accordance with this </w:t>
      </w:r>
      <w:r>
        <w:rPr>
          <w:rFonts w:ascii="Times New Roman" w:hAnsi="Times New Roman"/>
          <w:sz w:val="20"/>
          <w:u w:val="single"/>
        </w:rPr>
        <w:t>Section 2.3</w:t>
      </w:r>
      <w:r>
        <w:rPr>
          <w:rFonts w:ascii="Times New Roman" w:hAnsi="Times New Roman"/>
          <w:sz w:val="20"/>
        </w:rPr>
        <w:t xml:space="preserve"> shall, to the extent legally possible, be treated as a pro rata reduction in the Closing Date Consideration of that Seller.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Leakage Limitations</w:t>
      </w:r>
      <w:r>
        <w:rPr>
          <w:rFonts w:ascii="Times New Roman" w:hAnsi="Times New Roman"/>
          <w:sz w:val="20"/>
        </w:rPr>
        <w:t xml:space="preserve">. For the avoidance of doubt: (i) the provisions of this </w:t>
      </w:r>
      <w:r>
        <w:rPr>
          <w:rFonts w:ascii="Times New Roman" w:hAnsi="Times New Roman"/>
          <w:sz w:val="20"/>
          <w:u w:val="single"/>
        </w:rPr>
        <w:t>Section 2.3</w:t>
      </w:r>
      <w:r>
        <w:rPr>
          <w:rFonts w:ascii="Times New Roman" w:hAnsi="Times New Roman"/>
          <w:sz w:val="20"/>
        </w:rPr>
        <w:t xml:space="preserve"> shall not be qualified by any matter disclosed in the Disclosure Letter; (ii) the liability of the Sellers for any Leakage Claim shall not be limited or qualified in any respect by the provisions of </w:t>
      </w:r>
      <w:r>
        <w:rPr>
          <w:rFonts w:ascii="Times New Roman" w:hAnsi="Times New Roman"/>
          <w:sz w:val="20"/>
          <w:u w:val="single"/>
        </w:rPr>
        <w:t>Article X</w:t>
      </w:r>
      <w:r>
        <w:rPr>
          <w:rFonts w:ascii="Times New Roman" w:hAnsi="Times New Roman"/>
          <w:sz w:val="20"/>
        </w:rPr>
        <w:t xml:space="preserve"> (other than as expressly set forth in this </w:t>
      </w:r>
      <w:r>
        <w:rPr>
          <w:rFonts w:ascii="Times New Roman" w:hAnsi="Times New Roman"/>
          <w:sz w:val="20"/>
          <w:u w:val="single"/>
        </w:rPr>
        <w:t>Section 2.3</w:t>
      </w:r>
      <w:r>
        <w:rPr>
          <w:rFonts w:ascii="Times New Roman" w:hAnsi="Times New Roman"/>
          <w:sz w:val="20"/>
        </w:rPr>
        <w:t xml:space="preserve">); and (iii) nothing in this </w:t>
      </w:r>
      <w:r>
        <w:rPr>
          <w:rFonts w:ascii="Times New Roman" w:hAnsi="Times New Roman"/>
          <w:sz w:val="20"/>
          <w:u w:val="single"/>
        </w:rPr>
        <w:t>Section 2.3</w:t>
      </w:r>
      <w:r>
        <w:rPr>
          <w:rFonts w:ascii="Times New Roman" w:hAnsi="Times New Roman"/>
          <w:sz w:val="20"/>
        </w:rPr>
        <w:t xml:space="preserve"> shall have the effect of limiting or excluding any liability as a result of Fraud. The Sellers’ (other than the Trustee Seller) liability for any Leakage shall be joint and several.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Settlement of Consideration</w:t>
      </w:r>
      <w:r>
        <w:rPr>
          <w:rFonts w:ascii="Times New Roman" w:hAnsi="Times New Roman"/>
          <w:sz w:val="20"/>
        </w:rPr>
        <w:t xml:space="preserve">. Notwithstanding anything in this Agreement to the contrary, subject to the actual payment by Buyer of the amounts required to be paid to the Sellers (or the Payment Agent) pursuant to this Agreement, none of Buyer, the Companies, or their respective Affiliates shall have any liability to any person for any payment made in accordance with each Seller’s respective share of the applicable consideration as set out in </w:t>
      </w:r>
      <w:r>
        <w:rPr>
          <w:rFonts w:ascii="Times New Roman" w:hAnsi="Times New Roman"/>
          <w:b/>
          <w:i/>
          <w:sz w:val="20"/>
        </w:rPr>
        <w:t>Exhibit B</w:t>
      </w:r>
      <w:r>
        <w:rPr>
          <w:rFonts w:ascii="Times New Roman" w:hAnsi="Times New Roman"/>
          <w:sz w:val="20"/>
        </w:rPr>
        <w:t xml:space="preserve"> or otherwise based upon the written instructions of the Seller Representative (including with respect to any claim that the allocation set out in </w:t>
      </w:r>
      <w:r>
        <w:rPr>
          <w:rFonts w:ascii="Times New Roman" w:hAnsi="Times New Roman"/>
          <w:b/>
          <w:i/>
          <w:sz w:val="20"/>
        </w:rPr>
        <w:t>Exhibit B</w:t>
      </w:r>
      <w:r>
        <w:rPr>
          <w:rFonts w:ascii="Times New Roman" w:hAnsi="Times New Roman"/>
          <w:sz w:val="20"/>
        </w:rPr>
        <w:t xml:space="preserve"> is incomplete or inaccurate).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w:t>
      </w:r>
      <w:r>
        <w:rPr>
          <w:rFonts w:ascii="Times New Roman" w:hAnsi="Times New Roman"/>
          <w:b/>
          <w:sz w:val="20"/>
          <w:u w:val="single"/>
        </w:rPr>
        <w:t>Outstanding Receivables Amount</w:t>
      </w:r>
      <w:r>
        <w:rPr>
          <w:rFonts w:ascii="Times New Roman" w:hAnsi="Times New Roman"/>
          <w:sz w:val="20"/>
        </w:rPr>
        <w:t>. The Sellers (other than the Trustee Seller), the Buyer, and the Companies shall enter into a payment direction letter (and in the case of the Sellers, shall procure that their relevant Related Persons enter into such payment direction letter) to procure the full settlement of amounts owed by the Sellers or any of their Related Persons to the Companies at the Closing (the “</w:t>
      </w:r>
      <w:r>
        <w:rPr>
          <w:rFonts w:ascii="Times New Roman" w:hAnsi="Times New Roman"/>
          <w:b/>
          <w:i/>
          <w:sz w:val="20"/>
        </w:rPr>
        <w:t>Outstanding Receivables Amount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CLOSING AND DELIVERIES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Closing</w:t>
      </w:r>
      <w:r>
        <w:rPr>
          <w:rFonts w:ascii="Times New Roman" w:hAnsi="Times New Roman"/>
          <w:sz w:val="20"/>
        </w:rPr>
        <w:t>. The closing and consummation of the transactions contemplated hereby (the “</w:t>
      </w:r>
      <w:r>
        <w:rPr>
          <w:rFonts w:ascii="Times New Roman" w:hAnsi="Times New Roman"/>
          <w:b/>
          <w:i/>
          <w:sz w:val="20"/>
        </w:rPr>
        <w:t>Closing</w:t>
      </w:r>
      <w:r>
        <w:rPr>
          <w:rFonts w:ascii="Times New Roman" w:hAnsi="Times New Roman"/>
          <w:sz w:val="20"/>
        </w:rPr>
        <w:t xml:space="preserve">”) shall take place remotely via electronic transmission of documentation (such as by use of .pdf) on the later of (i) January 5, 2027 and (ii) the first Business Day following the date on which the last of the conditions set forth in </w:t>
      </w:r>
      <w:r>
        <w:rPr>
          <w:rFonts w:ascii="Times New Roman" w:hAnsi="Times New Roman"/>
          <w:sz w:val="20"/>
          <w:u w:val="single"/>
        </w:rPr>
        <w:t>Article VIII</w:t>
      </w:r>
      <w:r>
        <w:rPr>
          <w:rFonts w:ascii="Times New Roman" w:hAnsi="Times New Roman"/>
          <w:sz w:val="20"/>
        </w:rPr>
        <w:t xml:space="preserve"> (other than those conditions that by their nature are to be satisfied at the Closing, but subject to the satisfaction or waiver of such conditions) has been satisfied or waived, or on such other date or at such other time and place, or by any such other method as the Parties mutually agree in writing; provided, that for accounting purposes, the Closing shall be deemed to have occurred as of 12:01 a.m. Houston, Texas time on the Closing Date (such time, the “</w:t>
      </w:r>
      <w:r>
        <w:rPr>
          <w:rFonts w:ascii="Times New Roman" w:hAnsi="Times New Roman"/>
          <w:b/>
          <w:i/>
          <w:sz w:val="20"/>
        </w:rPr>
        <w:t>Effective Time</w:t>
      </w:r>
      <w:r>
        <w:rPr>
          <w:rFonts w:ascii="Times New Roman" w:hAnsi="Times New Roman"/>
          <w:sz w:val="20"/>
        </w:rPr>
        <w:t>”). The date on which the Closing occurs is herein referred to as the “</w:t>
      </w:r>
      <w:r>
        <w:rPr>
          <w:rFonts w:ascii="Times New Roman" w:hAnsi="Times New Roman"/>
          <w:b/>
          <w:i/>
          <w:sz w:val="20"/>
        </w:rPr>
        <w:t>Closing Date</w:t>
      </w:r>
      <w:r>
        <w:rPr>
          <w:rFonts w:ascii="Times New Roman" w:hAnsi="Times New Roman"/>
          <w:sz w:val="20"/>
        </w:rPr>
        <w:t xml:space="preserve">”. All proceedings to be taken and all documents to be executed and delivered by all the Parties at the Closing shall be deemed to have been taken and executed simultaneously and no proceedings shall be deemed to have been taken nor documents executed or delivered until all have been taken, executed and delivered.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Deliveries by the Sellers or the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the Sellers or the Companies shall deliver, or cause to be delivered, to Buyer the following items, unless otherwise waived by Buyer: </w:t>
      </w:r>
    </w:p>
    <w:p>
      <w:pPr>
        <w:pStyle w:val="TextBody"/>
        <w:bidi w:val="0"/>
        <w:spacing w:before="240" w:after="0"/>
        <w:jc w:val="left"/>
        <w:rPr>
          <w:rFonts w:ascii="Times New Roman" w:hAnsi="Times New Roman"/>
          <w:sz w:val="20"/>
        </w:rPr>
      </w:pPr>
      <w:r>
        <w:rPr>
          <w:rFonts w:ascii="Times New Roman" w:hAnsi="Times New Roman"/>
          <w:sz w:val="20"/>
        </w:rPr>
        <w:t xml:space="preserve">(a) share certificates evidencing all of the Company Capital Stock (or relevant share certificate indemnities in respect of any lost, destroyed, misplaced or never issued share certificates), accompanied by stock transfer forms in respect of the Company Capital Stock duly executed by each of the Sellers;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not kept at the relevant registered office or principal place of business, the common seal (if any), the statutory registers and minute books of the Companies and each of their Subsidiaries written up immediately prior to Closing and the certificates of incorporation and certificates of incorporation on change of name or equivalent registration or incorporation certificates under the applicable Law for each Company and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Companies House WebFiling authentication codes for the Companies and their Subsidiaries,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(d) the Payoff Letters; </w:t>
      </w:r>
    </w:p>
    <w:p>
      <w:pPr>
        <w:pStyle w:val="TextBody"/>
        <w:bidi w:val="0"/>
        <w:spacing w:before="240" w:after="0"/>
        <w:jc w:val="left"/>
        <w:rPr>
          <w:rFonts w:ascii="Times New Roman" w:hAnsi="Times New Roman"/>
          <w:sz w:val="20"/>
        </w:rPr>
      </w:pPr>
      <w:r>
        <w:rPr>
          <w:rFonts w:ascii="Times New Roman" w:hAnsi="Times New Roman"/>
          <w:sz w:val="20"/>
        </w:rPr>
        <w:t xml:space="preserve">(e) copies of the resolutions of the board of directors and, to the extent required by the Organizational Documents, a copy of the resolutions passed at a general meeting of the shareholders of (A) each Company authorizing and approving the execution, delivery and performance of, and the consummation of the transactions contemplated by, this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Company and/or their Subsidiaries (i) authorizing and approving the removal of any directors and secretaries who have resigned pursuant to Section 3.2(l); and (ii) authorizing and approving the appointment of each director and/or secretary nominated by the Buyer in writing to such Company and/or Subsidiary at least three (3) Business Days prior to the Closing Date (accompanied by evidence of their consent to so act); </w:t>
      </w:r>
    </w:p>
    <w:p>
      <w:pPr>
        <w:pStyle w:val="TextBody"/>
        <w:bidi w:val="0"/>
        <w:spacing w:before="240" w:after="0"/>
        <w:jc w:val="left"/>
        <w:rPr>
          <w:rFonts w:ascii="Times New Roman" w:hAnsi="Times New Roman"/>
          <w:sz w:val="20"/>
        </w:rPr>
      </w:pPr>
      <w:r>
        <w:rPr>
          <w:rFonts w:ascii="Times New Roman" w:hAnsi="Times New Roman"/>
          <w:sz w:val="20"/>
        </w:rPr>
        <w:t xml:space="preserve">(f) a properly completed and duly executed IRS Form W-8BEN, IRS Form W-8BEN-E or IRS Form W-8IMY (along with all applicable attachments), as applicable, from each Seller, other than the Trustee Seller and the Loggie Trustee Sellers; </w:t>
      </w:r>
    </w:p>
    <w:p>
      <w:pPr>
        <w:pStyle w:val="TextBody"/>
        <w:bidi w:val="0"/>
        <w:spacing w:before="240" w:after="0"/>
        <w:jc w:val="left"/>
        <w:rPr>
          <w:rFonts w:ascii="Times New Roman" w:hAnsi="Times New Roman"/>
          <w:sz w:val="20"/>
        </w:rPr>
      </w:pPr>
      <w:r>
        <w:rPr>
          <w:rFonts w:ascii="Times New Roman" w:hAnsi="Times New Roman"/>
          <w:sz w:val="20"/>
        </w:rPr>
        <w:t xml:space="preserve">(g) elections pursuant to section 431 of the Income Tax (Earnings and Pensions) Act 2003, signed by each Seller who is: (i) tax resident in the United Kingdom; and (ii) an employee or director of any Company or Subsidiary thereof, in respect of the Closing Date Loan Note Consideration in respect of each Rollover Loan Note and any DTI Common Stock to be issued to such Seller; </w:t>
      </w:r>
    </w:p>
    <w:p>
      <w:pPr>
        <w:pStyle w:val="TextBody"/>
        <w:bidi w:val="0"/>
        <w:spacing w:before="240" w:after="0"/>
        <w:jc w:val="left"/>
        <w:rPr>
          <w:rFonts w:ascii="Times New Roman" w:hAnsi="Times New Roman"/>
          <w:sz w:val="20"/>
        </w:rPr>
      </w:pPr>
      <w:r>
        <w:rPr>
          <w:rFonts w:ascii="Times New Roman" w:hAnsi="Times New Roman"/>
          <w:sz w:val="20"/>
        </w:rPr>
        <w:t xml:space="preserve">(h) the Rollover Documents duly executed by each Seller party thereto; </w:t>
      </w:r>
    </w:p>
    <w:p>
      <w:pPr>
        <w:pStyle w:val="TextBody"/>
        <w:bidi w:val="0"/>
        <w:spacing w:before="240" w:after="0"/>
        <w:jc w:val="left"/>
        <w:rPr>
          <w:rFonts w:ascii="Times New Roman" w:hAnsi="Times New Roman"/>
          <w:sz w:val="20"/>
        </w:rPr>
      </w:pPr>
      <w:r>
        <w:rPr>
          <w:rFonts w:ascii="Times New Roman" w:hAnsi="Times New Roman"/>
          <w:sz w:val="20"/>
        </w:rPr>
        <w:t xml:space="preserve">(i) a duly signed letter from each of: (i) in respect of Saltire, the Trustee Seller, the Loggie Trustee Sellers and Michael David Loggie; and (ii) in respect of Foxley, Michael David John Loggie and Jack William Loggie, confirming that, with effect from Closing, they will each cease to be a registrable person (within the meaning of section 790C of the Companies Act) in respect of the applicable Company; </w:t>
      </w:r>
    </w:p>
    <w:p>
      <w:pPr>
        <w:pStyle w:val="TextBody"/>
        <w:bidi w:val="0"/>
        <w:spacing w:before="240" w:after="0"/>
        <w:jc w:val="left"/>
        <w:rPr>
          <w:rFonts w:ascii="Times New Roman" w:hAnsi="Times New Roman"/>
          <w:sz w:val="20"/>
        </w:rPr>
      </w:pPr>
      <w:r>
        <w:rPr>
          <w:rFonts w:ascii="Times New Roman" w:hAnsi="Times New Roman"/>
          <w:sz w:val="20"/>
        </w:rPr>
        <w:t xml:space="preserve">(j) in the event that any Seller Document has been signed by a person acting on a Seller’s behalf, a copy of the power of attorney, resolution or other document conferring such authority to so sign; </w:t>
      </w:r>
    </w:p>
    <w:p>
      <w:pPr>
        <w:pStyle w:val="TextBody"/>
        <w:bidi w:val="0"/>
        <w:spacing w:before="240" w:after="0"/>
        <w:jc w:val="left"/>
        <w:rPr>
          <w:rFonts w:ascii="Times New Roman" w:hAnsi="Times New Roman"/>
          <w:sz w:val="20"/>
        </w:rPr>
      </w:pPr>
      <w:r>
        <w:rPr>
          <w:rFonts w:ascii="Times New Roman" w:hAnsi="Times New Roman"/>
          <w:sz w:val="20"/>
        </w:rPr>
        <w:t xml:space="preserve">(k) resolutions of the Governing Body of the Trustee Seller, approving this Agreement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(l) written resignations from each of the directors and secretaries of the Companies and their Subsidiaries effective as of the Closing, other than those directors and secretaries designated in writing by Buyer to the Companies at least three (3) Business Days prior to the Closing Date and including customary releases of claims; </w:t>
      </w:r>
    </w:p>
    <w:p>
      <w:pPr>
        <w:pStyle w:val="TextBody"/>
        <w:bidi w:val="0"/>
        <w:spacing w:before="240" w:after="0"/>
        <w:jc w:val="left"/>
        <w:rPr>
          <w:rFonts w:ascii="Times New Roman" w:hAnsi="Times New Roman"/>
          <w:sz w:val="20"/>
        </w:rPr>
      </w:pPr>
      <w:r>
        <w:rPr>
          <w:rFonts w:ascii="Times New Roman" w:hAnsi="Times New Roman"/>
          <w:sz w:val="20"/>
        </w:rPr>
        <w:t xml:space="preserve">(m) evidence of release of all Liens (other than Permitted Liens) against each Company (or any of its property and assets) and each of their respective Subsidiaries (or any of its property and assets) (in each case on terms reasonably satisfactory to Buyer); </w:t>
      </w:r>
    </w:p>
    <w:p>
      <w:pPr>
        <w:pStyle w:val="TextBody"/>
        <w:bidi w:val="0"/>
        <w:spacing w:before="240" w:after="0"/>
        <w:jc w:val="left"/>
        <w:rPr>
          <w:rFonts w:ascii="Times New Roman" w:hAnsi="Times New Roman"/>
          <w:sz w:val="20"/>
        </w:rPr>
      </w:pPr>
      <w:r>
        <w:rPr>
          <w:rFonts w:ascii="Times New Roman" w:hAnsi="Times New Roman"/>
          <w:sz w:val="20"/>
        </w:rPr>
        <w:t>(n) the employment agreements (the “</w:t>
      </w:r>
      <w:r>
        <w:rPr>
          <w:rFonts w:ascii="Times New Roman" w:hAnsi="Times New Roman"/>
          <w:b/>
          <w:i/>
          <w:sz w:val="20"/>
        </w:rPr>
        <w:t>Employment Agreements</w:t>
      </w:r>
      <w:r>
        <w:rPr>
          <w:rFonts w:ascii="Times New Roman" w:hAnsi="Times New Roman"/>
          <w:sz w:val="20"/>
        </w:rPr>
        <w:t xml:space="preserve">”), duly executed by Mike Loggie, Jack Loggie, John Scott, Sean Hamilton, Alistair Bain, Leigh Fraser, Michael Harper, Craig Cameron and Yazid Binabubakr, in each case, in form and substance reasonably satisfactory to the Parties; </w:t>
      </w:r>
    </w:p>
    <w:p>
      <w:pPr>
        <w:pStyle w:val="TextBody"/>
        <w:bidi w:val="0"/>
        <w:spacing w:before="240" w:after="0"/>
        <w:jc w:val="left"/>
        <w:rPr>
          <w:rFonts w:ascii="Times New Roman" w:hAnsi="Times New Roman"/>
          <w:sz w:val="20"/>
        </w:rPr>
      </w:pPr>
      <w:r>
        <w:rPr>
          <w:rFonts w:ascii="Times New Roman" w:hAnsi="Times New Roman"/>
          <w:sz w:val="20"/>
        </w:rPr>
        <w:t>(o) written lease agreements for all properties operated by the Companies (the “</w:t>
      </w:r>
      <w:r>
        <w:rPr>
          <w:rFonts w:ascii="Times New Roman" w:hAnsi="Times New Roman"/>
          <w:b/>
          <w:i/>
          <w:sz w:val="20"/>
        </w:rPr>
        <w:t>Property Leases</w:t>
      </w:r>
      <w:r>
        <w:rPr>
          <w:rFonts w:ascii="Times New Roman" w:hAnsi="Times New Roman"/>
          <w:sz w:val="20"/>
        </w:rPr>
        <w:t xml:space="preserve">”), in each case, in the Agreed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 in respect of the undocumented or informal lease arrangements relating to the properties situated in Scotland which are to be the subject of the Property Leases, but excluding the Property Leases themselves (the “</w:t>
      </w:r>
      <w:r>
        <w:rPr>
          <w:rFonts w:ascii="Times New Roman" w:hAnsi="Times New Roman"/>
          <w:b/>
          <w:i/>
          <w:sz w:val="20"/>
        </w:rPr>
        <w:t>Historic Scottish Leases</w:t>
      </w:r>
      <w:r>
        <w:rPr>
          <w:rFonts w:ascii="Times New Roman" w:hAnsi="Times New Roman"/>
          <w:sz w:val="20"/>
        </w:rPr>
        <w:t xml:space="preserve">”) a duly executed renunciation, termination agreement or other document, evidencing that each Historic Scottish Lease has been terminated with effect immediately before the commencement of the corresponding Property Lease without prejudice to any accrued rights or liabilities and any obligations arising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(q) in respect of each Historic Scottish Lease, evidence reasonably satisfactory to the Buyer that all Tax Returns related to Land and Buildings Transaction Tax and Stamp Duty Land Tax required to have been submitted before Closing in respect of that Historic Scottish Lease have been duly submitted to the relevant Taxing Authority and that all Land and Buildings Transaction Tax and Stamp Duty Land Tax, in each case to the extent applicable, together with any interest and penalties due and payable before Closing in respect of that Historic Scottish Lease have been paid (excluding, in all cases and for the avoidance of doubt, such Tax Returns as are referred to in </w:t>
      </w:r>
      <w:r>
        <w:rPr>
          <w:rFonts w:ascii="Times New Roman" w:hAnsi="Times New Roman"/>
          <w:sz w:val="20"/>
          <w:u w:val="single"/>
        </w:rPr>
        <w:t>Section 7.3(b)</w:t>
      </w:r>
      <w:r>
        <w:rPr>
          <w:rFonts w:ascii="Times New Roman" w:hAnsi="Times New Roman"/>
          <w:sz w:val="20"/>
        </w:rPr>
        <w:t xml:space="preserve"> and any Land and Buildings Transaction Tax and Stamp Duty Land Tax (including interest and penalties) payable alongside those Tax Returns); and </w:t>
      </w:r>
    </w:p>
    <w:p>
      <w:pPr>
        <w:pStyle w:val="TextBody"/>
        <w:bidi w:val="0"/>
        <w:spacing w:before="240" w:after="0"/>
        <w:jc w:val="left"/>
        <w:rPr>
          <w:rFonts w:ascii="Times New Roman" w:hAnsi="Times New Roman"/>
          <w:sz w:val="20"/>
        </w:rPr>
      </w:pPr>
      <w:r>
        <w:rPr>
          <w:rFonts w:ascii="Times New Roman" w:hAnsi="Times New Roman"/>
          <w:sz w:val="20"/>
        </w:rPr>
        <w:t xml:space="preserve">(r) if Saltire Romania has not been struck off the Romanian Trade Register prior to Closing, all corporate and procedural documents in the possession or control of the Companies reasonably required to continue and complete its voluntary dissolution, liquidation and strike-off following Closing.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u w:val="single"/>
        </w:rPr>
        <w:t>Deliveries by Buyer and Parent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the Closing, Buyer and Parent, as applicable, shall deliver or cause to be delivered the following items, unless otherwise waived by the Companies and the Seller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(a) the Adjusted Closing Date Cash Consideration to the Payment Agent Account by wire transfer of immediately available funds (receipt by the Payment Agent of which shall discharge the Buyer from its obligation to pay the Closing Date Cash Consideration to the Sellers); </w:t>
      </w:r>
    </w:p>
    <w:p>
      <w:pPr>
        <w:pStyle w:val="TextBody"/>
        <w:bidi w:val="0"/>
        <w:spacing w:before="240" w:after="0"/>
        <w:jc w:val="left"/>
        <w:rPr>
          <w:rFonts w:ascii="Times New Roman" w:hAnsi="Times New Roman"/>
          <w:sz w:val="20"/>
        </w:rPr>
      </w:pPr>
      <w:r>
        <w:rPr>
          <w:rFonts w:ascii="Times New Roman" w:hAnsi="Times New Roman"/>
          <w:sz w:val="20"/>
        </w:rPr>
        <w:t xml:space="preserve">(b) the Closing Date Loan Note Consideration to the Sellers (other than the Trustee Seller); </w:t>
      </w:r>
    </w:p>
    <w:p>
      <w:pPr>
        <w:pStyle w:val="TextBody"/>
        <w:bidi w:val="0"/>
        <w:spacing w:before="240" w:after="0"/>
        <w:jc w:val="left"/>
        <w:rPr>
          <w:rFonts w:ascii="Times New Roman" w:hAnsi="Times New Roman"/>
          <w:sz w:val="20"/>
        </w:rPr>
      </w:pPr>
      <w:r>
        <w:rPr>
          <w:rFonts w:ascii="Times New Roman" w:hAnsi="Times New Roman"/>
          <w:sz w:val="20"/>
        </w:rPr>
        <w:t xml:space="preserve">(c) the Rollover Documents, duly executed by Buyer, Parent, Drilling Tools International Inc. and Drilling Tools International Holdings Inc.; and </w:t>
      </w:r>
    </w:p>
    <w:p>
      <w:pPr>
        <w:pStyle w:val="TextBody"/>
        <w:bidi w:val="0"/>
        <w:spacing w:before="240" w:after="0"/>
        <w:jc w:val="left"/>
        <w:rPr>
          <w:rFonts w:ascii="Times New Roman" w:hAnsi="Times New Roman"/>
          <w:sz w:val="20"/>
        </w:rPr>
      </w:pPr>
      <w:r>
        <w:rPr>
          <w:rFonts w:ascii="Times New Roman" w:hAnsi="Times New Roman"/>
          <w:sz w:val="20"/>
        </w:rPr>
        <w:t xml:space="preserve">(d) Parent shall deliver to the Persons entitled thereto, such Person’s portion of the DTI Common Stock pursuant to the terms of the Rollover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WARRANTIES REGARDING THE COMPANIES AND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each of the Companies, jointly and severally, hereby warrants to the Buyer that the following statements in this </w:t>
      </w:r>
      <w:r>
        <w:rPr>
          <w:rFonts w:ascii="Times New Roman" w:hAnsi="Times New Roman"/>
          <w:sz w:val="20"/>
          <w:u w:val="single"/>
        </w:rPr>
        <w:t>Article IV</w:t>
      </w:r>
      <w:r>
        <w:rPr>
          <w:rFonts w:ascii="Times New Roman" w:hAnsi="Times New Roman"/>
          <w:sz w:val="20"/>
        </w:rPr>
        <w:t xml:space="preserve"> are true and correct as at the date of this Agreement (or, if made as of a specified date, as of such date) and, in the case of the Fundamental Warranties only, as of the Closing Date (or, if made as of a specified date, as of such date):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Organization and 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Companies and each of their Subsidiaries are duly organized and validly existing under the laws of their jurisdiction of formation and, where such concept is applicable, in good standing under such laws, and are duly qualified to do business in each jurisdiction in which the business as currently operated requires it to be so qualified. </w:t>
      </w:r>
    </w:p>
    <w:p>
      <w:pPr>
        <w:pStyle w:val="TextBody"/>
        <w:bidi w:val="0"/>
        <w:spacing w:before="240" w:after="0"/>
        <w:jc w:val="left"/>
        <w:rPr>
          <w:rFonts w:ascii="Times New Roman" w:hAnsi="Times New Roman"/>
          <w:sz w:val="20"/>
        </w:rPr>
      </w:pPr>
      <w:r>
        <w:rPr>
          <w:rFonts w:ascii="Times New Roman" w:hAnsi="Times New Roman"/>
          <w:sz w:val="20"/>
        </w:rPr>
        <w:t xml:space="preserve">(b) Neither of the Companies nor any of their Subsidiaries is in default under or in violation of any provision of its Organizational Documents in any material respect or subject to any Insolvency Event, other than, in the case of Saltire Romania, solely to the extent that its Disclosed voluntary dissolution process and cessation of operations constitute an Insolvency Event. </w:t>
      </w:r>
    </w:p>
    <w:p>
      <w:pPr>
        <w:pStyle w:val="TextBody"/>
        <w:bidi w:val="0"/>
        <w:spacing w:before="240" w:after="0"/>
        <w:jc w:val="left"/>
        <w:rPr>
          <w:rFonts w:ascii="Times New Roman" w:hAnsi="Times New Roman"/>
          <w:sz w:val="20"/>
        </w:rPr>
      </w:pPr>
      <w:r>
        <w:rPr>
          <w:rFonts w:ascii="Times New Roman" w:hAnsi="Times New Roman"/>
          <w:sz w:val="20"/>
        </w:rPr>
        <w:t xml:space="preserve">(c) The copies of the Companies’ and their Subsidiaries’ Organizational Documents have been furnished to Buyer and reflect all amendments made thereto at any time prior to the date of this Agreement and are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(d) The information in </w:t>
      </w:r>
      <w:r>
        <w:rPr>
          <w:rFonts w:ascii="Times New Roman" w:hAnsi="Times New Roman"/>
          <w:b/>
          <w:i/>
          <w:sz w:val="20"/>
        </w:rPr>
        <w:t>Exhibit D</w:t>
      </w:r>
      <w:r>
        <w:rPr>
          <w:rFonts w:ascii="Times New Roman" w:hAnsi="Times New Roman"/>
          <w:sz w:val="20"/>
        </w:rPr>
        <w:t xml:space="preserve"> sets forth a true and accurate list of all officers and directors of the Companies and of their Subsidiaries.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information in </w:t>
      </w:r>
      <w:r>
        <w:rPr>
          <w:rFonts w:ascii="Times New Roman" w:hAnsi="Times New Roman"/>
          <w:b/>
          <w:i/>
          <w:sz w:val="20"/>
        </w:rPr>
        <w:t>Exhibit D</w:t>
      </w:r>
      <w:r>
        <w:rPr>
          <w:rFonts w:ascii="Times New Roman" w:hAnsi="Times New Roman"/>
          <w:sz w:val="20"/>
        </w:rPr>
        <w:t xml:space="preserve"> sets forth true and correct details of the entire issued and outstanding Equity Interests of each Company, and a complete list of the beneficial and record holders of the Equity Interests of each Company, including the following information with respect to each such holder: (x) the name of such holder and (y) the number of Equity Interests held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(b) The information in </w:t>
      </w:r>
      <w:r>
        <w:rPr>
          <w:rFonts w:ascii="Times New Roman" w:hAnsi="Times New Roman"/>
          <w:b/>
          <w:i/>
          <w:sz w:val="20"/>
        </w:rPr>
        <w:t>Exhibit D</w:t>
      </w:r>
      <w:r>
        <w:rPr>
          <w:rFonts w:ascii="Times New Roman" w:hAnsi="Times New Roman"/>
          <w:sz w:val="20"/>
        </w:rPr>
        <w:t xml:space="preserve"> sets forth true and correct details of the entire issued and outstanding Equity Interests of the Subsidiaries, and a complete list of the beneficial and record holders of the Equity Interests of the Subsidiaries, including the following information with respect to each such holder: (x) the name of such holder and (y) the number of Equity Interests held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(c) As at the date of this Agreement and as at the Closing Date: (i) all of the shares of the Company Capital Stock are duly authorized, validly issued, fully paid and nonassessable, (ii) the Company Capital Stock held by the Sellers represents the only issued and outstanding Equity Interests of the Companies and (iii) all shares of the Company Capital Stock have not been issued, sold, transferred or otherwise acquired in violation of any option, right of first refusal or first offer, subscription right, preemptive right or any similar right or transfer restriction or any applicable Law and are held by the Sellers free and clear of all Liens (other than restrictions on transfer arising under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as set forth in the Organizational Documents of the Companies and except for the transactions contemplated by this Agreement, there are no: (i) outstanding securities convertible or exchangeable into Equity Interests of the Companies; (ii) options, warrants, calls, subscriptions, phantom equity rights, restricted stock, restricted stock units, equity or equity-based rights, conversion rights, exchange rights, preemptive rights, rights of first refusal or first offer, or other rights, agreements or commitments obligating the Companies to issue, transfer or sell any Equity Interests; (iii) outstanding obligations (contingent or otherwise) on the Companies to repurchase, redeem, cancel, retire or otherwise acquire any of the Company Capital Stock, or (iv) voting trusts, proxies, stockholder agreements or other agreements or understandings to which the Companies are a party or by which the Companies are bound with respect to the voting, transfer or other disposition of the Companies’ Equity Interests. There are no claims by the Sellers or any former holder of any Equity Interests of the Companies against or involving the Companies in respect of the Equity Interests held or formerly held by such Person.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Subsidiaries</w:t>
      </w:r>
      <w:r>
        <w:rPr>
          <w:rFonts w:ascii="Times New Roman" w:hAnsi="Times New Roman"/>
          <w:sz w:val="20"/>
        </w:rPr>
        <w:t xml:space="preserve">. The information in </w:t>
      </w:r>
      <w:r>
        <w:rPr>
          <w:rFonts w:ascii="Times New Roman" w:hAnsi="Times New Roman"/>
          <w:b/>
          <w:i/>
          <w:sz w:val="20"/>
        </w:rPr>
        <w:t>Exhibit D</w:t>
      </w:r>
      <w:r>
        <w:rPr>
          <w:rFonts w:ascii="Times New Roman" w:hAnsi="Times New Roman"/>
          <w:sz w:val="20"/>
        </w:rPr>
        <w:t xml:space="preserve"> sets forth the name of each Subsidiary, and, with respect to each Subsidiary, the jurisdiction in which it is incorporated or organized, and each officer and director of such Subsidiary. Each Subsidiary has all requisite power and authority to own, lease and operate its properties and carry on its business as presently conducted in all material respects. The outstanding shares of capital stock or equity interests of each Subsidiary are validly issued, and fully paid and were not issued in violation of any purchase or call option, right of first refusal, subscription right, preemptive right or any similar right. All of the issued and outstanding equity interests of the Subsidiaries are held beneficially and, other than for Saltire Malaysia and Saltire UAE, of record by the Companies, free and clear of any and all Liens. No shares of capital stock are held by any Subsidiary as treasury stock. There is no existing option, warrant, call, right or Contract to which any Subsidiary is a party requiring, and there are no convertible securities of any Subsidiary outstanding which upon conversion would require, the issuance of any shares of capital stock or other equity interests of any Subsidiary or other securities convertible into shares of capital stock or other equity interests of any Subsidiary. The Companies do not own, directly or indirectly, any capital stock or equity securities of any Person other than the Subsidiaries. All transfers of Equity Interests in each Subsidiary have been duly registered with the relevant registry and reflected in the relevant Subsidiary’s shareholders’ register or equivalent statutory books, to the extent required by applicable Law. There is no shareholders’ agreement or other arrangement relating to the ownership, voting or transfer of the Equity Interests of any Subsidiary other than its Organizational Documents. </w:t>
      </w:r>
    </w:p>
    <w:p>
      <w:pPr>
        <w:pStyle w:val="TextBody"/>
        <w:bidi w:val="0"/>
        <w:spacing w:before="240" w:after="0"/>
        <w:jc w:val="left"/>
        <w:rPr>
          <w:rFonts w:ascii="Times New Roman" w:hAnsi="Times New Roman"/>
          <w:b/>
          <w:sz w:val="20"/>
        </w:rPr>
      </w:pPr>
      <w:r>
        <w:rPr>
          <w:rFonts w:ascii="Times New Roman" w:hAnsi="Times New Roman"/>
          <w:b/>
          <w:sz w:val="20"/>
        </w:rPr>
        <w:t xml:space="preserve">4.4 </w:t>
      </w:r>
      <w:r>
        <w:rPr>
          <w:rFonts w:ascii="Times New Roman" w:hAnsi="Times New Roman"/>
          <w:b/>
          <w:sz w:val="20"/>
          <w:u w:val="single"/>
        </w:rPr>
        <w:t>Authority, Validity and Effect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Companies have the requisite corporate power and authority to own and operate its properties, to carry on its business as presently conducted and proposed to be conducted and to enter into and perform its obligations under this Agreement and the other agreements contemplated hereby to which it is or will be a party (the “</w:t>
      </w:r>
      <w:r>
        <w:rPr>
          <w:rFonts w:ascii="Times New Roman" w:hAnsi="Times New Roman"/>
          <w:b/>
          <w:i/>
          <w:sz w:val="20"/>
        </w:rPr>
        <w:t>Company Documents</w:t>
      </w:r>
      <w:r>
        <w:rPr>
          <w:rFonts w:ascii="Times New Roman" w:hAnsi="Times New Roman"/>
          <w:sz w:val="20"/>
        </w:rPr>
        <w:t>”) and to consummate the transactions contemplated hereby and thereby. This Agreement and the Company Documents have been (or, as applicable, will be as of the Closing) duly executed and delivered by the Companies pursuant to all necessary corporate authorizations and are (or, as applicable, will be) the legal, valid and binding obligations of the Companies, enforceable against the Companies in accordance with their respective terms, except as limited by (i) applicable bankruptcy, reorganization, insolvency, moratorium or other similar Laws affecting the enforcement of creditors’ rights generally from time to time in effect, and (ii) the availability of equitable remedies (regardless of whether enforceability is considered in a proceeding at Law or in equity) (clauses (i) and (ii), collectively, the “</w:t>
      </w:r>
      <w:r>
        <w:rPr>
          <w:rFonts w:ascii="Times New Roman" w:hAnsi="Times New Roman"/>
          <w:b/>
          <w:i/>
          <w:sz w:val="20"/>
        </w:rPr>
        <w:t>General Enforceability Exceptions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Neither the execution and delivery of this Agreement or the Company Documents by the Companies, nor the consummation by the Companies of the transactions contemplated hereby or thereby, will (i) conflict with or result in a breach of any provisions of any Organizational Document of the Companies, (ii) constitute or result in a material breach of any term, condition or provision of, or constitute a default under, or give rise to any right of termination, cancellation or acceleration with respect to material loss of benefit under (in each case, with or without notice or lapse of time or both) any Material Contract or Data Security Requirement, or result in the creation or imposition of a Lien upon the Company Capital Stock or any property or assets of the Companies, except as would not have a material impact on the Companies, or (iii) violate any Order or Law applicable to the Companies or any of their properties or assets. </w:t>
      </w:r>
    </w:p>
    <w:p>
      <w:pPr>
        <w:pStyle w:val="TextBody"/>
        <w:bidi w:val="0"/>
        <w:spacing w:before="240" w:after="0"/>
        <w:jc w:val="left"/>
        <w:rPr>
          <w:rFonts w:ascii="Times New Roman" w:hAnsi="Times New Roman"/>
          <w:sz w:val="20"/>
        </w:rPr>
      </w:pPr>
      <w:r>
        <w:rPr>
          <w:rFonts w:ascii="Times New Roman" w:hAnsi="Times New Roman"/>
          <w:sz w:val="20"/>
        </w:rPr>
        <w:t xml:space="preserve">(c) No Consent is required to be obtained by the Companies in connection with the execution or performance of or the consummation by the Companies of the transactions contemplated by this Agreement and the Company Documents. </w:t>
      </w:r>
    </w:p>
    <w:p>
      <w:pPr>
        <w:pStyle w:val="TextBody"/>
        <w:bidi w:val="0"/>
        <w:spacing w:before="240" w:after="0"/>
        <w:jc w:val="left"/>
        <w:rPr>
          <w:rFonts w:ascii="Times New Roman" w:hAnsi="Times New Roman"/>
          <w:sz w:val="20"/>
        </w:rPr>
      </w:pPr>
      <w:r>
        <w:rPr>
          <w:rFonts w:ascii="Times New Roman" w:hAnsi="Times New Roman"/>
          <w:sz w:val="20"/>
        </w:rPr>
        <w:t xml:space="preserve">(d) None of the Companies nor any Subsidiary carries on any activities specified in the Schedule to the National Security and Investment Act 2021 (Notifiable Acquisition) (Specification of Qualifying Entities) Regulations 2021 of the United Kingdom. </w:t>
      </w:r>
    </w:p>
    <w:p>
      <w:pPr>
        <w:pStyle w:val="TextBody"/>
        <w:bidi w:val="0"/>
        <w:spacing w:before="240" w:after="0"/>
        <w:jc w:val="left"/>
        <w:rPr>
          <w:rFonts w:ascii="Times New Roman" w:hAnsi="Times New Roman"/>
          <w:sz w:val="20"/>
        </w:rPr>
      </w:pPr>
      <w:r>
        <w:rPr>
          <w:rFonts w:ascii="Times New Roman" w:hAnsi="Times New Roman"/>
          <w:b/>
          <w:sz w:val="20"/>
        </w:rPr>
        <w:t>4.5</w:t>
      </w:r>
      <w:r>
        <w:rPr>
          <w:rFonts w:ascii="Times New Roman" w:hAnsi="Times New Roman"/>
          <w:sz w:val="20"/>
        </w:rPr>
        <w:t xml:space="preserve">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True, correct and complete copies of the following financial statements have been Disclosed: (i) the audited consolidated balance sheet and the audited company balance sheet of each of the Companies as of June 30, 2026 and 2025; the audited consolidated statement of comprehensive income, group statement of changes in equity, company statements of changes in equity, group statement of cash flows, together with the notes to the financial statements (the “</w:t>
      </w:r>
      <w:r>
        <w:rPr>
          <w:rFonts w:ascii="Times New Roman" w:hAnsi="Times New Roman"/>
          <w:b/>
          <w:i/>
          <w:sz w:val="20"/>
        </w:rPr>
        <w:t>Annual Financial Statements</w:t>
      </w:r>
      <w:r>
        <w:rPr>
          <w:rFonts w:ascii="Times New Roman" w:hAnsi="Times New Roman"/>
          <w:sz w:val="20"/>
        </w:rPr>
        <w:t>”), and (ii) the unaudited consolidated profit and loss accounts and consolidated balance sheets for the twelve (12)-month period ending June 30, 2026 for each of the Companies (together with the Annual Financial Statements, the “</w:t>
      </w:r>
      <w:r>
        <w:rPr>
          <w:rFonts w:ascii="Times New Roman" w:hAnsi="Times New Roman"/>
          <w:b/>
          <w:i/>
          <w:sz w:val="20"/>
        </w:rPr>
        <w:t>Company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Company Financial Statements were prepared in accordance with the Accounting Standards, applied on a consistent basis throughout the periods covered thereby and using the same accounting policies, practices, principles, methods and estimation techniques as those adopted and applied in preparing the annual financial statements for the two preceding financial years prior to the start of financial year</w:t>
      </w:r>
      <w:r>
        <w:rPr>
          <w:rFonts w:ascii="Times New Roman" w:hAnsi="Times New Roman"/>
          <w:b/>
          <w:sz w:val="20"/>
        </w:rPr>
        <w:t>s</w:t>
      </w:r>
      <w:r>
        <w:rPr>
          <w:rFonts w:ascii="Times New Roman" w:hAnsi="Times New Roman"/>
          <w:sz w:val="20"/>
        </w:rPr>
        <w:t xml:space="preserve"> covered by the Annual Financial Statements. The Annual Financial Statements give a true and fair view of the assets, liabilities, financial position and state of affairs of the Companies as at their respective balance sheet dates, and of the profit or loss and total comprehensive income of the Companies as of the respective dates and for the periods indicated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Financial Statements comply with the requirements of the Companies Act and all other applicable Law and regulations in the United Kingdom in force as at the date of the relevant Company Financial Statements. The Company Financial Statements make full and proper provision for (i) bad and doubtful debts; (ii) slow moving or obsolete stock; and (iii) depreciation of fixed assets, and do not materially overstate the value of any current or fixed assets.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Financial Statements have not been affected by any extraordinary, exceptional, unusual, one off or non-recurring income, expenditure, items, transactions not on an arm’s length basis or any other factor that would make the financial position and results shown by the Company Financial Statements unusually high or low or misleading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(e) The Companies and their Subsidiaries have established and adhered to a system of internal accounting controls which is designed to provide reasonable assurance regarding the reliability of financial reporting having regard to the size, nature and complexity of the Companies’ and their Subsidiaries’ businesses. Notwithstanding that the Companies and their Subsidiaries were not subject to a formal internal control over financial reporting framework (including those required under the U.S. Sarbanes-Oxley Act of 2002 or the regulations promulgated thereunder), there has not been, in the last three (3) fiscal years, to the Company’s Knowledge, (i) any Significant Deficiency in any system of internal accounting controls used by the Companies and their Subsidiaries that has resulted in, or would reasonably be expected to result in, a material misstatement in the financial statements of the Companies and their Subsidiaries, (ii) any fraud that involves any of the management or other employees of the Companies and their Subsidiaries who have a role in the preparation of financial statements or the internal accounting controls used by the Companies and their Subsidiaries or (iii) any claim or allegation regarding any of the foregoing presented to the Companies in writing. For purposes of this </w:t>
      </w:r>
      <w:r>
        <w:rPr>
          <w:rFonts w:ascii="Times New Roman" w:hAnsi="Times New Roman"/>
          <w:sz w:val="20"/>
          <w:u w:val="single"/>
        </w:rPr>
        <w:t>Section 4.5(e)</w:t>
      </w:r>
      <w:r>
        <w:rPr>
          <w:rFonts w:ascii="Times New Roman" w:hAnsi="Times New Roman"/>
          <w:sz w:val="20"/>
        </w:rPr>
        <w:t>, “</w:t>
      </w:r>
      <w:r>
        <w:rPr>
          <w:rFonts w:ascii="Times New Roman" w:hAnsi="Times New Roman"/>
          <w:b/>
          <w:i/>
          <w:sz w:val="20"/>
        </w:rPr>
        <w:t>Significant Deficiency</w:t>
      </w:r>
      <w:r>
        <w:rPr>
          <w:rFonts w:ascii="Times New Roman" w:hAnsi="Times New Roman"/>
          <w:sz w:val="20"/>
        </w:rPr>
        <w:t xml:space="preserve">” means a deficiency, or combination of deficiencies, in internal accounting controls that is of sufficient importance to merit the attention of those responsible for oversight of the Companies’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(f) Since the Balance Sheet Date: (i) the Companies have conducted the business in the normal course (without interruption or alteration in the nature or scope of the business of the Companies) and as a going concern; (ii) there has been no Material Adverse Effect in the nature of the business carried on by the Companies, or in the manner in which it is conducted; (iii) there has been no Material Adverse Effect in the financial, working capital or trading position or prospects of the Companies; (iv) the Companies have not issued or agreed to issue any share or loan capital; (v) no dividend or other distribution of profits or assets has been, or agreed to be, declared, made or paid by the Companies; (vi) the Companies have not borrowed or raised any money or given or taken any form of financial security; (vii) no capital expenditure has been incurred on any individual item by the Companies in excess of £100,000 per item and the Companies have not acquired, invested or disposed of (or agreed to acquire, invest or dispose of) any individual item in excess of £100,000 per item or for a consideration higher than its market value at the time of acquisition, or otherwise than in the ordinary course of business; (viii) no contingent liabilities have arisen; (ix) no shareholder resolutions of the Companies have been passed or proposed or circulated to members; (x) save for transactions in the ordinary course of business, there has been no abnormal increase or reduction of stock-in-trade; and (xi) the Companies have paid its creditors within the applicable periods agreed with the relevant creditor and there are no amounts owing by the Companies which have and continue to be outstanding for more than 90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4.6</w:t>
      </w:r>
      <w:r>
        <w:rPr>
          <w:rFonts w:ascii="Times New Roman" w:hAnsi="Times New Roman"/>
          <w:sz w:val="20"/>
        </w:rPr>
        <w:t xml:space="preserve"> </w:t>
      </w:r>
      <w:r>
        <w:rPr>
          <w:rFonts w:ascii="Times New Roman" w:hAnsi="Times New Roman"/>
          <w:b/>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Companies and their Subsidiaries have, within the last six years, timely filed (taking into account valid extensions) all income and other material Tax Returns that have been required to be filed by each of them, and each of the Companies and their Subsidiaries have paid all income and other material Taxes (whether or not shown on any Tax Returns) which have become due and payable. All such Tax Returns were true, correct and complete in all material respects when filed and were prepared in substantial compliance with all applicable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included in the Annual Financial Statements in respect of Tax are sufficient to cover all liabilities for Taxes of each of the Companies and their Subsidiaries (including actual, deferred, contingent, quantified, disputed or otherwise) in respect of all taxable periods or portions thereof ended on or before the Balance Sheet Date to the extent required in accordance with generally accepted accounting principles as applicable to the relevant Company and / or Subsidiary. </w:t>
      </w:r>
    </w:p>
    <w:p>
      <w:pPr>
        <w:pStyle w:val="TextBody"/>
        <w:bidi w:val="0"/>
        <w:spacing w:before="240" w:after="0"/>
        <w:jc w:val="left"/>
        <w:rPr>
          <w:rFonts w:ascii="Times New Roman" w:hAnsi="Times New Roman"/>
          <w:sz w:val="20"/>
        </w:rPr>
      </w:pPr>
      <w:r>
        <w:rPr>
          <w:rFonts w:ascii="Times New Roman" w:hAnsi="Times New Roman"/>
          <w:sz w:val="20"/>
        </w:rPr>
        <w:t xml:space="preserve">(c) Each of the Companies and their Subsidiaries have, within the last six years, withheld and paid over to the proper Taxing Authorities all Taxes required by Law to be so withheld and paid over in connection with any amounts paid or owing to any employee, independent contractor, creditor, stockholder or other Person, under applicable Laws, and the Companies and their Subsidiaries have, within the last six years, timely and accurately complied with all reporting and record keeping requirements related thereto. The Companies and their Subsidiaries have kept and maintained materially complete and accurate records, invoices and other documents and information required by applicable Law to be kept for Tax purposes. The Companies and their Subsidiaries have within the last six years maintained all supporting documentation required by applicable Law to substantiate the deductibility for Tax purposes of material expenses and the recovery of related input VAT. </w:t>
      </w:r>
    </w:p>
    <w:p>
      <w:pPr>
        <w:pStyle w:val="TextBody"/>
        <w:bidi w:val="0"/>
        <w:spacing w:before="240" w:after="0"/>
        <w:jc w:val="left"/>
        <w:rPr>
          <w:rFonts w:ascii="Times New Roman" w:hAnsi="Times New Roman"/>
          <w:sz w:val="20"/>
        </w:rPr>
      </w:pPr>
      <w:r>
        <w:rPr>
          <w:rFonts w:ascii="Times New Roman" w:hAnsi="Times New Roman"/>
          <w:sz w:val="20"/>
        </w:rPr>
        <w:t xml:space="preserve">(d) The Companies and their Subsidiaries have not agreed to or sought any extension or waiver of the statute of limitations applicable to any Tax Return or Taxes or agreed to or sought any extension of time with respect to a Tax assessment or deficiency, which period (after giving effect to such extension or waiver) has not yet expired, in each case, other than customary extensions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(e) The amount of Tax chargeable on the Companies or any of their Subsidiaries or subject to withholding or deduction by the Companies or any of their Subsidiaries has not to any material extent depended on any understanding, concession, agreement, dispensation or other formal or informal arrangement with any Taxing Authority. </w:t>
      </w:r>
    </w:p>
    <w:p>
      <w:pPr>
        <w:pStyle w:val="TextBody"/>
        <w:bidi w:val="0"/>
        <w:spacing w:before="240" w:after="0"/>
        <w:jc w:val="left"/>
        <w:rPr>
          <w:rFonts w:ascii="Times New Roman" w:hAnsi="Times New Roman"/>
          <w:sz w:val="20"/>
        </w:rPr>
      </w:pPr>
      <w:r>
        <w:rPr>
          <w:rFonts w:ascii="Times New Roman" w:hAnsi="Times New Roman"/>
          <w:sz w:val="20"/>
        </w:rPr>
        <w:t xml:space="preserve">(f) In the last six years, all transactions in respect of which any clearance or consent was required from any Taxing Authority have been entered into by the Companies or Subsidiary after such consent or clearance has been properly obtained. Any application for such clearance or consent has been made on the basis of full and accurate disclosure of all the relevant material facts and considerations, and all such transactions have been carried into effect only in accordance with the terms of the relevant clearance or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Neither the Companies nor their Subsidiaries have ever been a member of any Affiliated Group or been included or required to be included in any Tax Return related to any such Affiliated Group (other than such a group including only the Companies and their Subsidiaries). Neither the Companies nor any of their Subsidiaries are liable for the Taxes of any other Person as a result of any such person failing to discharge a primary liability to Tax. Neither the Companies nor their Subsidiaries are a party to or bound by any Tax sharing or Tax allocation agreement or any agreement to share Reliefs (other than any such contract entered into in the Ordinary Course of Business the primary purpose of which is unrelated to Tax). </w:t>
      </w:r>
    </w:p>
    <w:p>
      <w:pPr>
        <w:pStyle w:val="TextBody"/>
        <w:bidi w:val="0"/>
        <w:spacing w:before="240" w:after="0"/>
        <w:jc w:val="left"/>
        <w:rPr>
          <w:rFonts w:ascii="Times New Roman" w:hAnsi="Times New Roman"/>
          <w:sz w:val="20"/>
        </w:rPr>
      </w:pPr>
      <w:r>
        <w:rPr>
          <w:rFonts w:ascii="Times New Roman" w:hAnsi="Times New Roman"/>
          <w:sz w:val="20"/>
        </w:rPr>
        <w:t xml:space="preserve">(h) There are no Liens for Taxes on any of the Company Capital Stock, or on the assets of the Companies or their Subsidiaries,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(i) There are no Actions pending or being conducted or, to the Company’s Knowledge, being threatened with respect to the Companies or their Subsidiaries in respect of any Tax or Tax Return. Neither the Companies nor their Subsidiaries have in the last six years received any written (i) request for information related to any Tax matters that is specific to the Companies (other than as part of routine audits or enquiries), or (ii) any notice of deficiency or proposed adjustment for any amount of Tax proposed, asserted or assessed by any Taxing Authority against the Companies or their Subsidiaries that has not been fully paid or resolved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(j) No claim in the last four years has ever been made by a Governmental Authority in a jurisdiction where the Companies or their Subsidiaries does not file Tax Returns that the Companies or their Subsidiaries is or may be subject to Tax by that jurisdiction. Neither the Companies nor any of their Subsidiaries is resident for Tax purposes in any jurisdiction other than its jurisdiction of incorporation, nor is subject to Tax in any such other jurisdiction by virtue of having a permanent establishment or other place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Each of the Companies and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(i) have within the last six years, to the extent required by Law, properly collected and remitted sales, value added and similar Taxes with respect to sales made to customers; </w:t>
      </w:r>
    </w:p>
    <w:p>
      <w:pPr>
        <w:pStyle w:val="TextBody"/>
        <w:bidi w:val="0"/>
        <w:spacing w:before="240" w:after="0"/>
        <w:jc w:val="left"/>
        <w:rPr>
          <w:rFonts w:ascii="Times New Roman" w:hAnsi="Times New Roman"/>
          <w:sz w:val="20"/>
        </w:rPr>
      </w:pPr>
      <w:r>
        <w:rPr>
          <w:rFonts w:ascii="Times New Roman" w:hAnsi="Times New Roman"/>
          <w:sz w:val="20"/>
        </w:rPr>
        <w:t xml:space="preserve">(ii) are registered for the purposes of value added tax in all jurisdictions in which they are required to be registered, and have complied with all applicable value added tax or similar indirect tax obligations in each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(iii) have, within the last six years, to the extent applicable to them, complied with the Value Added Tax Act 1994 and all applicable regulations thereunder, including with respect to the recovery of input VAT.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No person has acquired any securities or any interest in securities which were acquired by reason of employment (within the meaning of Part 7 of the Income Tax (Earnings and Pensions) Act 2003) with the Companies or any of their Subsidiaries without, in the case of an acquisition of securities or an interest in securities: </w:t>
      </w:r>
    </w:p>
    <w:p>
      <w:pPr>
        <w:pStyle w:val="TextBody"/>
        <w:bidi w:val="0"/>
        <w:spacing w:before="240" w:after="0"/>
        <w:jc w:val="left"/>
        <w:rPr>
          <w:rFonts w:ascii="Times New Roman" w:hAnsi="Times New Roman"/>
          <w:sz w:val="20"/>
        </w:rPr>
      </w:pPr>
      <w:r>
        <w:rPr>
          <w:rFonts w:ascii="Times New Roman" w:hAnsi="Times New Roman"/>
          <w:sz w:val="20"/>
        </w:rPr>
        <w:t xml:space="preserve">(i) a joint election under section 431 of the Income Tax (Earnings and Pensions) Act 2003 having been entered into by that person and their employing company within fourteen (14) days of the acquisition; or </w:t>
      </w:r>
    </w:p>
    <w:p>
      <w:pPr>
        <w:pStyle w:val="TextBody"/>
        <w:bidi w:val="0"/>
        <w:spacing w:before="240" w:after="0"/>
        <w:jc w:val="left"/>
        <w:rPr>
          <w:rFonts w:ascii="Times New Roman" w:hAnsi="Times New Roman"/>
          <w:sz w:val="20"/>
        </w:rPr>
      </w:pPr>
      <w:r>
        <w:rPr>
          <w:rFonts w:ascii="Times New Roman" w:hAnsi="Times New Roman"/>
          <w:sz w:val="20"/>
        </w:rPr>
        <w:t xml:space="preserve">(ii) an amount equal to or greater than unrestricted market value (as defined for the purposes of the Income Tax (Earnings and Pensions) Act 2003) being paid for the acquisition of the securities or interest concerned. </w:t>
      </w:r>
    </w:p>
    <w:p>
      <w:pPr>
        <w:pStyle w:val="TextBody"/>
        <w:bidi w:val="0"/>
        <w:spacing w:before="240" w:after="0"/>
        <w:jc w:val="left"/>
        <w:rPr>
          <w:rFonts w:ascii="Times New Roman" w:hAnsi="Times New Roman"/>
          <w:sz w:val="20"/>
        </w:rPr>
      </w:pPr>
      <w:r>
        <w:rPr>
          <w:rFonts w:ascii="Times New Roman" w:hAnsi="Times New Roman"/>
          <w:sz w:val="20"/>
        </w:rPr>
        <w:t xml:space="preserve">(m) The consummation of the transactions contemplated by this Agreement will not give rise to any charge to income tax or national insurance contributions (including any secondary Class 1 national insurance contributions payable by the Companies or any of their Subsidiaries as employer) under Part 7 of the Income Tax (Earnings and Pensions) Act 2003 in respect of any securities or interest in securities held by any Seller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(n) There is no arrangement, formal or informal, between the Sellers to redistribute (or which has the effect of redistributing) the consideration payable under this Agreement between themselves otherwise than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(o) None of the Companies have ever been a close investment-holding company within the meaning of section 34 Corporation Tax Act 2010. </w:t>
      </w:r>
    </w:p>
    <w:p>
      <w:pPr>
        <w:pStyle w:val="TextBody"/>
        <w:bidi w:val="0"/>
        <w:spacing w:before="240" w:after="0"/>
        <w:jc w:val="left"/>
        <w:rPr>
          <w:rFonts w:ascii="Times New Roman" w:hAnsi="Times New Roman"/>
          <w:sz w:val="20"/>
        </w:rPr>
      </w:pPr>
      <w:r>
        <w:rPr>
          <w:rFonts w:ascii="Times New Roman" w:hAnsi="Times New Roman"/>
          <w:sz w:val="20"/>
        </w:rPr>
        <w:t xml:space="preserve">(p) No distribution within section 1064 of Corporation Tax Act 2010 has been made by the Companies or any of their Subsidiaries, within the last six years. </w:t>
      </w:r>
    </w:p>
    <w:p>
      <w:pPr>
        <w:pStyle w:val="TextBody"/>
        <w:bidi w:val="0"/>
        <w:spacing w:before="240" w:after="0"/>
        <w:jc w:val="left"/>
        <w:rPr>
          <w:rFonts w:ascii="Times New Roman" w:hAnsi="Times New Roman"/>
          <w:sz w:val="20"/>
        </w:rPr>
      </w:pPr>
      <w:r>
        <w:rPr>
          <w:rFonts w:ascii="Times New Roman" w:hAnsi="Times New Roman"/>
          <w:sz w:val="20"/>
        </w:rPr>
        <w:t xml:space="preserve">(q) Any loans or advances made, or agreed to be made, by the Companies or any of their Subsidiaries within sections 455, 459 and 460 of Corporation Tax Act 2010 which are outstanding have been Disclosed. </w:t>
      </w:r>
    </w:p>
    <w:p>
      <w:pPr>
        <w:pStyle w:val="TextBody"/>
        <w:bidi w:val="0"/>
        <w:spacing w:before="240" w:after="0"/>
        <w:jc w:val="left"/>
        <w:rPr>
          <w:rFonts w:ascii="Times New Roman" w:hAnsi="Times New Roman"/>
          <w:sz w:val="20"/>
        </w:rPr>
      </w:pPr>
      <w:r>
        <w:rPr>
          <w:rFonts w:ascii="Times New Roman" w:hAnsi="Times New Roman"/>
          <w:sz w:val="20"/>
        </w:rPr>
        <w:t xml:space="preserve">(r) The Companies and their Subsidiaries have not, within the last six years, entered into or been a party to any transaction, scheme, arrangement or understanding: </w:t>
      </w:r>
    </w:p>
    <w:p>
      <w:pPr>
        <w:pStyle w:val="TextBody"/>
        <w:bidi w:val="0"/>
        <w:spacing w:before="240" w:after="0"/>
        <w:jc w:val="left"/>
        <w:rPr>
          <w:rFonts w:ascii="Times New Roman" w:hAnsi="Times New Roman"/>
          <w:sz w:val="20"/>
        </w:rPr>
      </w:pPr>
      <w:r>
        <w:rPr>
          <w:rFonts w:ascii="Times New Roman" w:hAnsi="Times New Roman"/>
          <w:sz w:val="20"/>
        </w:rPr>
        <w:t xml:space="preserve">(i) the main purpose or one of the main purposes of which was the avoidance of Tax; </w:t>
      </w:r>
    </w:p>
    <w:p>
      <w:pPr>
        <w:pStyle w:val="TextBody"/>
        <w:bidi w:val="0"/>
        <w:spacing w:before="240" w:after="0"/>
        <w:jc w:val="left"/>
        <w:rPr>
          <w:rFonts w:ascii="Times New Roman" w:hAnsi="Times New Roman"/>
          <w:sz w:val="20"/>
        </w:rPr>
      </w:pPr>
      <w:r>
        <w:rPr>
          <w:rFonts w:ascii="Times New Roman" w:hAnsi="Times New Roman"/>
          <w:sz w:val="20"/>
        </w:rPr>
        <w:t xml:space="preserve">(ii) designed wholly or mainly, or containing steps or stages having no commercial purpose and designed wholly or mainly, for the purposes of avoiding a liability to Tax or amounts to be accounted for to a Taxing Authority; or </w:t>
      </w:r>
    </w:p>
    <w:p>
      <w:pPr>
        <w:pStyle w:val="TextBody"/>
        <w:bidi w:val="0"/>
        <w:spacing w:before="240" w:after="0"/>
        <w:jc w:val="left"/>
        <w:rPr>
          <w:rFonts w:ascii="Times New Roman" w:hAnsi="Times New Roman"/>
          <w:sz w:val="20"/>
        </w:rPr>
      </w:pPr>
      <w:r>
        <w:rPr>
          <w:rFonts w:ascii="Times New Roman" w:hAnsi="Times New Roman"/>
          <w:sz w:val="20"/>
        </w:rPr>
        <w:t xml:space="preserve">(iii) to which Schedule 11A, Value Added Tax Act 1994 (Disclosure of avoidance schemes), Part 7, Finance Act 2004 (Disclosure of Tax Avoidance Schemes: VAT and other Indirect Taxes), Schedule 17, Finance (No.2) Act 2017, (Disclosure of Tax Avoidance Schemes: VAT and other Indirect Taxes), Council Directive (EU) 2018/822 (DAC6) or any regulations made thereunder, or The International Tax Enforcement (Disclosable Arrangements) Regulations 2023 (SI 2023/38) are reasonably likely to apply or any equivalent or analogous mandatory disclosure regime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All provisions made by the Companies and its Subsidiaries in the last four years which may fall to be adjusted under the provisions of Part 4 of the Taxation (International and Other Provisions) Act 2010 (provision not at arm’s length) or under any other applicable transfer pricing Laws have been made on arm’s length terms. To the Company’s Knowledge, there are no facts, events or circumstances which would reasonably be expected to result in any such transaction being recharacterized or adjusted for Tax purposes by any Taxing Authority. To the Company’s Knowledge, the Companies and the Subsidiaries constitute “a small and medium sized enterprise” for the purposes of the transfer pricing exemption in the United Kingdom. In relation to each transaction for the supply of goods or services or the lending or borrowing of money into which the Companies or their Subsidiaries have in the last four years entered with a party with which it was connected, the Companies and their Subsidiaries have maintained all transfer pricing documentation required by applicable Law and, where it is required to do so by Law, contemporaneous documentary evidence of the process used to establish that arm’s length terms applied. </w:t>
      </w:r>
    </w:p>
    <w:p>
      <w:pPr>
        <w:pStyle w:val="TextBody"/>
        <w:bidi w:val="0"/>
        <w:spacing w:before="240" w:after="0"/>
        <w:jc w:val="left"/>
        <w:rPr>
          <w:rFonts w:ascii="Times New Roman" w:hAnsi="Times New Roman"/>
          <w:sz w:val="20"/>
        </w:rPr>
      </w:pPr>
      <w:r>
        <w:rPr>
          <w:rFonts w:ascii="Times New Roman" w:hAnsi="Times New Roman"/>
          <w:sz w:val="20"/>
        </w:rPr>
        <w:t xml:space="preserve">(t) To the Company’s Knowledge, any document that is required in proving the title of the Companies or any of their Subsidiaries to any asset which is owned by the Companies or any of their Subsidiaries at the date of this Agreement, is duly stamped for stamp duty purposes. </w:t>
      </w:r>
    </w:p>
    <w:p>
      <w:pPr>
        <w:pStyle w:val="TextBody"/>
        <w:bidi w:val="0"/>
        <w:spacing w:before="240" w:after="0"/>
        <w:jc w:val="left"/>
        <w:rPr>
          <w:rFonts w:ascii="Times New Roman" w:hAnsi="Times New Roman"/>
          <w:sz w:val="20"/>
        </w:rPr>
      </w:pPr>
      <w:r>
        <w:rPr>
          <w:rFonts w:ascii="Times New Roman" w:hAnsi="Times New Roman"/>
          <w:sz w:val="20"/>
        </w:rPr>
        <w:t xml:space="preserve">(u) The Companies and their Subsidiaries have in place (and have had in place at all times since 30 September 2017) such prevention procedures (as defined in sections 45(3) and 46(4) Criminal Finances Act 2017) as are proportionate to its business risk and are in line with any guidance published from time to time pursuant to section 47 Criminal Finances Act 2017. </w:t>
      </w:r>
    </w:p>
    <w:p>
      <w:pPr>
        <w:pStyle w:val="TextBody"/>
        <w:bidi w:val="0"/>
        <w:spacing w:before="240" w:after="0"/>
        <w:jc w:val="left"/>
        <w:rPr>
          <w:rFonts w:ascii="Times New Roman" w:hAnsi="Times New Roman"/>
          <w:sz w:val="20"/>
        </w:rPr>
      </w:pPr>
      <w:r>
        <w:rPr>
          <w:rFonts w:ascii="Times New Roman" w:hAnsi="Times New Roman"/>
          <w:sz w:val="20"/>
        </w:rPr>
        <w:t xml:space="preserve">(v) No Seller is a “United States person” within the meaning of Code Section 7701(a)(30). </w:t>
      </w:r>
    </w:p>
    <w:p>
      <w:pPr>
        <w:pStyle w:val="TextBody"/>
        <w:bidi w:val="0"/>
        <w:spacing w:before="240" w:after="0"/>
        <w:jc w:val="left"/>
        <w:rPr>
          <w:rFonts w:ascii="Times New Roman" w:hAnsi="Times New Roman"/>
          <w:sz w:val="20"/>
        </w:rPr>
      </w:pPr>
      <w:r>
        <w:rPr>
          <w:rFonts w:ascii="Times New Roman" w:hAnsi="Times New Roman"/>
          <w:sz w:val="20"/>
        </w:rPr>
        <w:t xml:space="preserve">(w) The Companies have not filed Internal Revenue Service Form 8832 electing to be taxed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b/>
          <w:sz w:val="20"/>
        </w:rPr>
        <w:t>4.7</w:t>
      </w:r>
      <w:r>
        <w:rPr>
          <w:rFonts w:ascii="Times New Roman" w:hAnsi="Times New Roman"/>
          <w:sz w:val="20"/>
        </w:rPr>
        <w:t xml:space="preserve"> </w:t>
      </w:r>
      <w:r>
        <w:rPr>
          <w:rFonts w:ascii="Times New Roman" w:hAnsi="Times New Roman"/>
          <w:b/>
          <w:sz w:val="20"/>
          <w:u w:val="single"/>
        </w:rPr>
        <w:t>Title to Personal Property</w:t>
      </w:r>
      <w:r>
        <w:rPr>
          <w:rFonts w:ascii="Times New Roman" w:hAnsi="Times New Roman"/>
          <w:sz w:val="20"/>
        </w:rPr>
        <w:t xml:space="preserve">. The Companies and their Subsidiaries have good and valid title to, or a valid leasehold interest or other right to use, all material tangible personal property owned, leased or used by them in connection with the Ordinary Course of Business as presently conducted, free and clear of all Liens (other than Permitted Liens), excluding any assets sold, transferred, replaced or otherwise disposed of by the Companies or their Subsidiaries in the Ordinary Course of Business since the Balance Sheet Date. To the Company’s Knowledge, the material tangible personal property used in the business is, taken as a whole, in reasonable operating condition and repair, subject to ordinary wear and tear, routine maintenance requirements and immaterial defects and is sufficient in all material respects for use in the Ordinary Course of Business as presently conducted. </w:t>
      </w:r>
    </w:p>
    <w:p>
      <w:pPr>
        <w:pStyle w:val="TextBody"/>
        <w:bidi w:val="0"/>
        <w:spacing w:before="240" w:after="0"/>
        <w:jc w:val="left"/>
        <w:rPr>
          <w:rFonts w:ascii="Times New Roman" w:hAnsi="Times New Roman"/>
          <w:sz w:val="20"/>
        </w:rPr>
      </w:pPr>
      <w:r>
        <w:rPr>
          <w:rFonts w:ascii="Times New Roman" w:hAnsi="Times New Roman"/>
          <w:b/>
          <w:sz w:val="20"/>
        </w:rPr>
        <w:t>4.8</w:t>
      </w:r>
      <w:r>
        <w:rPr>
          <w:rFonts w:ascii="Times New Roman" w:hAnsi="Times New Roman"/>
          <w:sz w:val="20"/>
        </w:rPr>
        <w:t xml:space="preserve"> </w:t>
      </w:r>
      <w:r>
        <w:rPr>
          <w:rFonts w:ascii="Times New Roman" w:hAnsi="Times New Roman"/>
          <w:b/>
          <w:sz w:val="20"/>
          <w:u w:val="single"/>
        </w:rPr>
        <w:t>Real Property</w:t>
      </w:r>
      <w:r>
        <w:rPr>
          <w:rFonts w:ascii="Times New Roman" w:hAnsi="Times New Roman"/>
          <w:sz w:val="20"/>
        </w:rPr>
        <w:t>. The Companies and their Subsidiaries do not own any freehold, heritable or other ownership interest in land or buildings (“</w:t>
      </w:r>
      <w:r>
        <w:rPr>
          <w:rFonts w:ascii="Times New Roman" w:hAnsi="Times New Roman"/>
          <w:b/>
          <w:sz w:val="20"/>
        </w:rPr>
        <w:t>Real Property</w:t>
      </w:r>
      <w:r>
        <w:rPr>
          <w:rFonts w:ascii="Times New Roman" w:hAnsi="Times New Roman"/>
          <w:sz w:val="20"/>
        </w:rPr>
        <w:t xml:space="preserve">”). A true and complete list of all Leases for each parcel of Leased Real Property has been Disclosed. Such Leased Real Property comprises all Real Property interests occupied in the conduct of the business of the Companies and their Subsidiaries as now conducted. With respect to each of the Leases, (i) each Lease is legal, valid, binding, enforceable, and in full force and effect, subject to the General Enforceability Exceptions; (ii) so far as the Companies are aware, neither the Companies, their Subsidiaries nor any other party to such Lease is in material breach or default under such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so far as the Companies are aware, no event has occurred or circumstance exists which, with the delivery of notice, the passage of time or both, would constitute such material breach or default; (iii) the Companies have paid all Land and Buildings Transaction Tax and Stamp Duty Land Tax due in respect of the Leases; (iv) the Companies or their Subsidiaries have not subleased, licensed or otherwise granted any Person the right to use or occupy such Leased Real Property or any portion thereof; and (v) the Companies or their Subsidiaries have not collaterally assigned or granted any security interest in such Lease or any interest therein. The Companies and their Subsidiaries have delivered to Buyer a true and complete copy of each Lease (including all amendments, extensions, renewals, guaranties and other agreements with respect thereto) as in effect as of the date hereof. </w:t>
      </w:r>
    </w:p>
    <w:p>
      <w:pPr>
        <w:pStyle w:val="TextBody"/>
        <w:bidi w:val="0"/>
        <w:spacing w:before="240" w:after="0"/>
        <w:jc w:val="left"/>
        <w:rPr>
          <w:rFonts w:ascii="Times New Roman" w:hAnsi="Times New Roman"/>
          <w:sz w:val="20"/>
        </w:rPr>
      </w:pPr>
      <w:r>
        <w:rPr>
          <w:rFonts w:ascii="Times New Roman" w:hAnsi="Times New Roman"/>
          <w:b/>
          <w:sz w:val="20"/>
        </w:rPr>
        <w:t>4.9</w:t>
      </w:r>
      <w:r>
        <w:rPr>
          <w:rFonts w:ascii="Times New Roman" w:hAnsi="Times New Roman"/>
          <w:sz w:val="20"/>
        </w:rPr>
        <w:t xml:space="preserve"> </w:t>
      </w:r>
      <w:r>
        <w:rPr>
          <w:rFonts w:ascii="Times New Roman" w:hAnsi="Times New Roman"/>
          <w:b/>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Companies and their Subsidiaries are, and since the Lookback Date have been, in compliance in all material respects with all Laws and Orders applicable to its business or to the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The Companies and their Subsidiaries have not received a written or, to the Company’s Knowledge, oral notification from any Governmental Authority asserting that the Companies or their Subsidiaries are not in compliance in any material respect with any Law or Order. </w:t>
      </w:r>
    </w:p>
    <w:p>
      <w:pPr>
        <w:pStyle w:val="TextBody"/>
        <w:bidi w:val="0"/>
        <w:spacing w:before="240" w:after="0"/>
        <w:jc w:val="left"/>
        <w:rPr>
          <w:rFonts w:ascii="Times New Roman" w:hAnsi="Times New Roman"/>
          <w:sz w:val="20"/>
        </w:rPr>
      </w:pPr>
      <w:r>
        <w:rPr>
          <w:rFonts w:ascii="Times New Roman" w:hAnsi="Times New Roman"/>
          <w:sz w:val="20"/>
        </w:rPr>
        <w:t xml:space="preserve">(c) The Companies or their Subsidiaries have not made any voluntary or involuntary disclosure to a Governmental Authority concerning any actual or potential violation or wrongdoing regarding any Law.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Companies, their Subsidiaries nor any of its officers, directors or employees, is currently, or has been in the last five (5) years: (i) a Sanctioned Person; or (ii) organized, resident or located in a Sanctioned Country.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Companies, their Subsidiaries, nor any Person who performs or has performed services for them or on their behalf, has done or failed to do any act or thing the doing or omission of which contravenes the provisions of any Sanctions Laws.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Companies, their Subsidiaries nor any of its officers, directors or employees, nor to the Company’s Knowledge, any agent or other third party representative acting on behalf of the Companies or their Subsidiaries, has in the last five (5) years made any unlawful payment or given, offered, promised, or authorized or agreed to give, any money or thing of value, directly or indirectly, to any Government Official or other Person in violation of any applicable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(g) During the five (5) years prior to the date hereof, the Companies or their Subsidiaries have not, in connection with or relating to the business of the Companies or their Subsidiaries, received from any Governmental Authority or any other Person any notice, inquiry, or internal or external allegation; made any voluntary or involuntary disclosure to a Governmental Authority; or conducted any internal investigation or audit concerning any actual or potential violation or wrongdoing related to Sanctions Laws or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4.10</w:t>
      </w:r>
      <w:r>
        <w:rPr>
          <w:rFonts w:ascii="Times New Roman" w:hAnsi="Times New Roman"/>
          <w:sz w:val="20"/>
        </w:rPr>
        <w:t xml:space="preserve"> </w:t>
      </w:r>
      <w:r>
        <w:rPr>
          <w:rFonts w:ascii="Times New Roman" w:hAnsi="Times New Roman"/>
          <w:b/>
          <w:sz w:val="20"/>
          <w:u w:val="single"/>
        </w:rPr>
        <w:t>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Companies and their Subsidiaries possess and are in compliance in all material respects with all terms and conditions of all licenses, approvals, permits, planning permissions, registrations, and authorizations of any Governmental Authority necessary to operate its business as currently conducted or for the Leased Real Property (collectively “</w:t>
      </w:r>
      <w:r>
        <w:rPr>
          <w:rFonts w:ascii="Times New Roman" w:hAnsi="Times New Roman"/>
          <w:b/>
          <w:i/>
          <w:sz w:val="20"/>
        </w:rPr>
        <w:t>Permits</w:t>
      </w:r>
      <w:r>
        <w:rPr>
          <w:rFonts w:ascii="Times New Roman" w:hAnsi="Times New Roman"/>
          <w:sz w:val="20"/>
        </w:rPr>
        <w:t xml:space="preserve">” but excluding therefrom any and all Environmental Permits). Copies of material Permits have been Disclosed. The Companies and their Subsidiaries are not in default or violation under any of the Permits in any material respect, and, to the Company’s Knowledge, no event, circumstances or state of facts has occurred which, with notice or the lapse of time or both, would constitute a default of or violation under any of the Permits in any material respect. There are no Actions pending or threatened in writing or, to the Company’s Knowledge, otherwise threatened relating to the suspension, revocation or modification of any of the Permits. </w:t>
      </w:r>
    </w:p>
    <w:p>
      <w:pPr>
        <w:pStyle w:val="TextBody"/>
        <w:bidi w:val="0"/>
        <w:spacing w:before="240" w:after="0"/>
        <w:jc w:val="left"/>
        <w:rPr>
          <w:rFonts w:ascii="Times New Roman" w:hAnsi="Times New Roman"/>
          <w:sz w:val="20"/>
        </w:rPr>
      </w:pPr>
      <w:r>
        <w:rPr>
          <w:rFonts w:ascii="Times New Roman" w:hAnsi="Times New Roman"/>
          <w:b/>
          <w:sz w:val="20"/>
        </w:rPr>
        <w:t>4.11</w:t>
      </w:r>
      <w:r>
        <w:rPr>
          <w:rFonts w:ascii="Times New Roman" w:hAnsi="Times New Roman"/>
          <w:sz w:val="20"/>
        </w:rPr>
        <w:t xml:space="preserve"> </w:t>
      </w:r>
      <w:r>
        <w:rPr>
          <w:rFonts w:ascii="Times New Roman" w:hAnsi="Times New Roman"/>
          <w:b/>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 complete list of (i) all employee welfare benefit plans or employee pension benefit plans, and (ii) all other severance pay, salary continuation, termination pay, bonus, incentive, stock option, stock purchase, equity or equity-based incentive, retirement, pension, profit sharing, welfare, fringe benefit, retention, change of control, employment, individual consulting, or deferred compensation, vacation, paid time off, and any other benefit or compensation plans, Contracts, programs, funds, or arrangements of any kind to which the Companies or their Subsidiaries sponsors, or maintains, makes or is required to make payments, transfers, or contributions or under or with respect to which the Companies or their Subsidiaries has any current or contingent liability or obligation (all of the above being hereinafter individually or collectively referred to as “</w:t>
      </w:r>
      <w:r>
        <w:rPr>
          <w:rFonts w:ascii="Times New Roman" w:hAnsi="Times New Roman"/>
          <w:b/>
          <w:i/>
          <w:sz w:val="20"/>
        </w:rPr>
        <w:t>Employee Plan</w:t>
      </w:r>
      <w:r>
        <w:rPr>
          <w:rFonts w:ascii="Times New Roman" w:hAnsi="Times New Roman"/>
          <w:sz w:val="20"/>
        </w:rPr>
        <w:t>” or “</w:t>
      </w:r>
      <w:r>
        <w:rPr>
          <w:rFonts w:ascii="Times New Roman" w:hAnsi="Times New Roman"/>
          <w:b/>
          <w:i/>
          <w:sz w:val="20"/>
        </w:rPr>
        <w:t>Employee Plans</w:t>
      </w:r>
      <w:r>
        <w:rPr>
          <w:rFonts w:ascii="Times New Roman" w:hAnsi="Times New Roman"/>
          <w:sz w:val="20"/>
        </w:rPr>
        <w:t xml:space="preserve">,” respectively) has been Disclosed. </w:t>
      </w:r>
    </w:p>
    <w:p>
      <w:pPr>
        <w:pStyle w:val="TextBody"/>
        <w:bidi w:val="0"/>
        <w:spacing w:before="240" w:after="0"/>
        <w:jc w:val="left"/>
        <w:rPr>
          <w:rFonts w:ascii="Times New Roman" w:hAnsi="Times New Roman"/>
          <w:sz w:val="20"/>
        </w:rPr>
      </w:pPr>
      <w:r>
        <w:rPr>
          <w:rFonts w:ascii="Times New Roman" w:hAnsi="Times New Roman"/>
          <w:sz w:val="20"/>
        </w:rPr>
        <w:t xml:space="preserve">(b) Copies of the following materials have been Disclosed: (i) all current plan documents for each Employee Plan; (ii) all insurance policies, trust agreements, or other funding arrangements and (iii) any non-routine correspondence with the Pensions Regulator. </w:t>
      </w:r>
    </w:p>
    <w:p>
      <w:pPr>
        <w:pStyle w:val="TextBody"/>
        <w:bidi w:val="0"/>
        <w:spacing w:before="240" w:after="0"/>
        <w:jc w:val="left"/>
        <w:rPr>
          <w:rFonts w:ascii="Times New Roman" w:hAnsi="Times New Roman"/>
          <w:sz w:val="20"/>
        </w:rPr>
      </w:pPr>
      <w:r>
        <w:rPr>
          <w:rFonts w:ascii="Times New Roman" w:hAnsi="Times New Roman"/>
          <w:sz w:val="20"/>
        </w:rPr>
        <w:t xml:space="preserve">(c) To the Company’s Knowledge, each Employee Plan has been operated and administered in all material respects in compliance with its terms and any related documents or agreements and with all applicable Laws. With respect to each Employee Plan, all contributions, premiums and other payments that are due by the Companies and their Subsidiaries have been paid or made on or before the relevant date for payment. </w:t>
      </w:r>
    </w:p>
    <w:p>
      <w:pPr>
        <w:pStyle w:val="TextBody"/>
        <w:bidi w:val="0"/>
        <w:spacing w:before="240" w:after="0"/>
        <w:jc w:val="left"/>
        <w:rPr>
          <w:rFonts w:ascii="Times New Roman" w:hAnsi="Times New Roman"/>
          <w:sz w:val="20"/>
        </w:rPr>
      </w:pPr>
      <w:r>
        <w:rPr>
          <w:rFonts w:ascii="Times New Roman" w:hAnsi="Times New Roman"/>
          <w:sz w:val="20"/>
        </w:rPr>
        <w:t>(d) No current employee of the Companies or any of their Subsidiaries acquired any rights in connection with an occupational pension scheme which have become obligations or liabilities of any member of the Companies pursuant to the UK Transfer of Undertakings (Protection of Employment) Regulations 2006 (“</w:t>
      </w:r>
      <w:r>
        <w:rPr>
          <w:rFonts w:ascii="Times New Roman" w:hAnsi="Times New Roman"/>
          <w:b/>
          <w:i/>
          <w:sz w:val="20"/>
        </w:rPr>
        <w:t>TUPE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Companies and their Subsidiaries have complied with its obligations in relation to automatic enrolment under the Pensions Act 2008.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To the Company’s Knowledge, no discrimination on grounds of age, sex, disability, marital status, hours of work, fixed-term or temporary agency workers, sexual orientation, religion or belief (or any other protected characteristic pursuant to the Equality Act 2010 of the United Kingdom or any equivalent applicable legislation) is, or has at any stage been, made, including in the provision of pension, lump sum, death, ill-health, disability or accident benefits by any of the Companies or their Subsidiaries in relation to any of its employees. </w:t>
      </w:r>
    </w:p>
    <w:p>
      <w:pPr>
        <w:pStyle w:val="TextBody"/>
        <w:bidi w:val="0"/>
        <w:spacing w:before="240" w:after="0"/>
        <w:jc w:val="left"/>
        <w:rPr>
          <w:rFonts w:ascii="Times New Roman" w:hAnsi="Times New Roman"/>
          <w:sz w:val="20"/>
        </w:rPr>
      </w:pPr>
      <w:r>
        <w:rPr>
          <w:rFonts w:ascii="Times New Roman" w:hAnsi="Times New Roman"/>
          <w:sz w:val="20"/>
        </w:rPr>
        <w:t xml:space="preserve">(g) There is no pending or, to the Company’s Knowledge, threatened, assessment, complaint, claim or Action of any kind with respect to any Employee Plan (other than routine claims for benefits). </w:t>
      </w:r>
    </w:p>
    <w:p>
      <w:pPr>
        <w:pStyle w:val="TextBody"/>
        <w:bidi w:val="0"/>
        <w:spacing w:before="240" w:after="0"/>
        <w:jc w:val="left"/>
        <w:rPr>
          <w:rFonts w:ascii="Times New Roman" w:hAnsi="Times New Roman"/>
          <w:sz w:val="20"/>
        </w:rPr>
      </w:pPr>
      <w:r>
        <w:rPr>
          <w:rFonts w:ascii="Times New Roman" w:hAnsi="Times New Roman"/>
          <w:sz w:val="20"/>
        </w:rPr>
        <w:t xml:space="preserve">(h) No Company or Subsidiary has participated in a defined benefit occupational pension scheme. </w:t>
      </w:r>
    </w:p>
    <w:p>
      <w:pPr>
        <w:pStyle w:val="TextBody"/>
        <w:bidi w:val="0"/>
        <w:spacing w:before="240" w:after="0"/>
        <w:jc w:val="left"/>
        <w:rPr>
          <w:rFonts w:ascii="Times New Roman" w:hAnsi="Times New Roman"/>
          <w:sz w:val="20"/>
        </w:rPr>
      </w:pPr>
      <w:r>
        <w:rPr>
          <w:rFonts w:ascii="Times New Roman" w:hAnsi="Times New Roman"/>
          <w:b/>
          <w:sz w:val="20"/>
        </w:rPr>
        <w:t>4.12</w:t>
      </w:r>
      <w:r>
        <w:rPr>
          <w:rFonts w:ascii="Times New Roman" w:hAnsi="Times New Roman"/>
          <w:sz w:val="20"/>
        </w:rPr>
        <w:t xml:space="preserve"> </w:t>
      </w:r>
      <w:r>
        <w:rPr>
          <w:rFonts w:ascii="Times New Roman" w:hAnsi="Times New Roman"/>
          <w:b/>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 list of the following Contracts to which either of the Companies or any of their Subsidiaries is a party (collectively, the “</w:t>
      </w:r>
      <w:r>
        <w:rPr>
          <w:rFonts w:ascii="Times New Roman" w:hAnsi="Times New Roman"/>
          <w:b/>
          <w:i/>
          <w:sz w:val="20"/>
        </w:rPr>
        <w:t>Material Contracts</w:t>
      </w:r>
      <w:r>
        <w:rPr>
          <w:rFonts w:ascii="Times New Roman" w:hAnsi="Times New Roman"/>
          <w:sz w:val="20"/>
        </w:rPr>
        <w:t xml:space="preserve">”) has been Disclosed: </w:t>
      </w:r>
    </w:p>
    <w:p>
      <w:pPr>
        <w:pStyle w:val="TextBody"/>
        <w:bidi w:val="0"/>
        <w:spacing w:before="240" w:after="0"/>
        <w:jc w:val="left"/>
        <w:rPr>
          <w:rFonts w:ascii="Times New Roman" w:hAnsi="Times New Roman"/>
          <w:sz w:val="20"/>
        </w:rPr>
      </w:pPr>
      <w:r>
        <w:rPr>
          <w:rFonts w:ascii="Times New Roman" w:hAnsi="Times New Roman"/>
          <w:sz w:val="20"/>
        </w:rPr>
        <w:t xml:space="preserve">(i) each Contract with a Significant Customer; </w:t>
      </w:r>
    </w:p>
    <w:p>
      <w:pPr>
        <w:pStyle w:val="TextBody"/>
        <w:bidi w:val="0"/>
        <w:spacing w:before="240" w:after="0"/>
        <w:jc w:val="left"/>
        <w:rPr>
          <w:rFonts w:ascii="Times New Roman" w:hAnsi="Times New Roman"/>
          <w:sz w:val="20"/>
        </w:rPr>
      </w:pPr>
      <w:r>
        <w:rPr>
          <w:rFonts w:ascii="Times New Roman" w:hAnsi="Times New Roman"/>
          <w:sz w:val="20"/>
        </w:rPr>
        <w:t xml:space="preserve">(ii) each Contract with a Significant Supplier; </w:t>
      </w:r>
    </w:p>
    <w:p>
      <w:pPr>
        <w:pStyle w:val="TextBody"/>
        <w:bidi w:val="0"/>
        <w:spacing w:before="240" w:after="0"/>
        <w:jc w:val="left"/>
        <w:rPr>
          <w:rFonts w:ascii="Times New Roman" w:hAnsi="Times New Roman"/>
          <w:sz w:val="20"/>
        </w:rPr>
      </w:pPr>
      <w:r>
        <w:rPr>
          <w:rFonts w:ascii="Times New Roman" w:hAnsi="Times New Roman"/>
          <w:sz w:val="20"/>
        </w:rPr>
        <w:t xml:space="preserve">(iii) each Contract with a Related Person; </w:t>
      </w:r>
    </w:p>
    <w:p>
      <w:pPr>
        <w:pStyle w:val="TextBody"/>
        <w:bidi w:val="0"/>
        <w:spacing w:before="240" w:after="0"/>
        <w:jc w:val="left"/>
        <w:rPr>
          <w:rFonts w:ascii="Times New Roman" w:hAnsi="Times New Roman"/>
          <w:sz w:val="20"/>
        </w:rPr>
      </w:pPr>
      <w:r>
        <w:rPr>
          <w:rFonts w:ascii="Times New Roman" w:hAnsi="Times New Roman"/>
          <w:sz w:val="20"/>
        </w:rPr>
        <w:t>(iv) each Contract (A) limiting the right of either Company or any of their Subsidiaries to (x) engage in or compete with any Person in any business or in any geographical area or (y) solicit or hire any customer, (B) containing exclusivity or minimum purchase obligations binding on the Companies or any of their Subsidiaries, or (C) containing any “</w:t>
      </w:r>
      <w:r>
        <w:rPr>
          <w:rFonts w:ascii="Times New Roman" w:hAnsi="Times New Roman"/>
          <w:b/>
          <w:i/>
          <w:sz w:val="20"/>
        </w:rPr>
        <w:t>most favored nation</w:t>
      </w:r>
      <w:r>
        <w:rPr>
          <w:rFonts w:ascii="Times New Roman" w:hAnsi="Times New Roman"/>
          <w:sz w:val="20"/>
        </w:rPr>
        <w:t xml:space="preserve">” or similar pricing provision binding on the Companies or any of their Subsidiaries; </w:t>
      </w:r>
    </w:p>
    <w:p>
      <w:pPr>
        <w:pStyle w:val="TextBody"/>
        <w:bidi w:val="0"/>
        <w:spacing w:before="240" w:after="0"/>
        <w:jc w:val="left"/>
        <w:rPr>
          <w:rFonts w:ascii="Times New Roman" w:hAnsi="Times New Roman"/>
          <w:sz w:val="20"/>
        </w:rPr>
      </w:pPr>
      <w:r>
        <w:rPr>
          <w:rFonts w:ascii="Times New Roman" w:hAnsi="Times New Roman"/>
          <w:sz w:val="20"/>
        </w:rPr>
        <w:t>(v) each collective bargaining Contract or other Contract with any labor union, works council, or labor organization or association (each a “</w:t>
      </w:r>
      <w:r>
        <w:rPr>
          <w:rFonts w:ascii="Times New Roman" w:hAnsi="Times New Roman"/>
          <w:b/>
          <w:i/>
          <w:sz w:val="20"/>
        </w:rPr>
        <w:t>Labor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 any pension, profit sharing, stock option, equity or equity-based, non-qualified deferred compensation, employee stock purchase or other plan, program, policy, agreement or arrangement providing for deferred or other compensation (including any bonuses or other remuneration and whether in cash or otherwise) to current or former directors, officers, employees, independent contractors, service providers or consultants; </w:t>
      </w:r>
    </w:p>
    <w:p>
      <w:pPr>
        <w:pStyle w:val="TextBody"/>
        <w:bidi w:val="0"/>
        <w:spacing w:before="240" w:after="0"/>
        <w:jc w:val="left"/>
        <w:rPr>
          <w:rFonts w:ascii="Times New Roman" w:hAnsi="Times New Roman"/>
          <w:sz w:val="20"/>
        </w:rPr>
      </w:pPr>
      <w:r>
        <w:rPr>
          <w:rFonts w:ascii="Times New Roman" w:hAnsi="Times New Roman"/>
          <w:sz w:val="20"/>
        </w:rPr>
        <w:t xml:space="preserve">(vii) each license or Contract (A) relating to the licensing, ownership or use of, or granting of any rights or covenants with respect to, Intellectual Property by either Company to a third party or by a third party to either Company, or (B) affecting either Company’s ability to use, enforce, or disclose any Intellectual Property (including concurrent use Contracts, coexistence arrangements, settlement Contracts and consent to use Contracts), in each case, except for the following (none of which shall be deemed to be Material Contracts): (w) shrink-wrap or click-wrap software licenses or end-user licenses, in each case to unmodified software that is generally commercially available for an aggregate fee, royalty or other consideration of no more than £25,000, (x) Contracts with employees entered into in the Ordinary Course of Business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Company’s form employment agreement (a copy of which was provided to Buyer prior to the date hereof), (y) licenses of Open Source Software, and (z) non-exclusive licenses of Intellectual Property granted by the Companies to its customers in the Ordinary Course of Business on such Company’s standard form customer agreement (a copy of which was provided to Buyer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(viii) each Contract relating to the incurrence, assumption or guarantee of any Company Debt or other indebtedness, or imposing a Lien on any of the assets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(ix) each Contract under which either Company has advanced or loaned money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(x) each Contract providing for severance, retention, change in control or other similar payments or benefits; </w:t>
      </w:r>
    </w:p>
    <w:p>
      <w:pPr>
        <w:pStyle w:val="TextBody"/>
        <w:bidi w:val="0"/>
        <w:spacing w:before="240" w:after="0"/>
        <w:jc w:val="left"/>
        <w:rPr>
          <w:rFonts w:ascii="Times New Roman" w:hAnsi="Times New Roman"/>
          <w:sz w:val="20"/>
        </w:rPr>
      </w:pPr>
      <w:r>
        <w:rPr>
          <w:rFonts w:ascii="Times New Roman" w:hAnsi="Times New Roman"/>
          <w:sz w:val="20"/>
        </w:rPr>
        <w:t xml:space="preserve">(xi) each Contract pertaining to employment or engagement of any officer, director, employee, or independent contractor of either Company that provides for annual compensation in excess of £250,000; </w:t>
      </w:r>
    </w:p>
    <w:p>
      <w:pPr>
        <w:pStyle w:val="TextBody"/>
        <w:bidi w:val="0"/>
        <w:spacing w:before="240" w:after="0"/>
        <w:jc w:val="left"/>
        <w:rPr>
          <w:rFonts w:ascii="Times New Roman" w:hAnsi="Times New Roman"/>
          <w:sz w:val="20"/>
        </w:rPr>
      </w:pPr>
      <w:r>
        <w:rPr>
          <w:rFonts w:ascii="Times New Roman" w:hAnsi="Times New Roman"/>
          <w:sz w:val="20"/>
        </w:rPr>
        <w:t xml:space="preserve">(xii) each Contract relating to the acquisition (by merger, purchase of equity or assets or otherwise) by either Company of any operating business or any of the Company Capital Stock or other Equity Interests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(xiii) each Contract that is a settlement, conciliation or similar agreement that imposes any obligations (other than customary confidentiality obligations) upon either Company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(xiv) each Contract (or group of related Contracts) requiring any capital commitment or capital expenditure (or series of capital expenditures) by either Company after the date hereof in an amount in excess of £250,000 individually or £500,000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(xv) each Contract pursuant to which either Company is the lessee of any personal property, or the lessor of any real or personal property, which provides for annual payments in excess of £250,000; </w:t>
      </w:r>
    </w:p>
    <w:p>
      <w:pPr>
        <w:pStyle w:val="TextBody"/>
        <w:bidi w:val="0"/>
        <w:spacing w:before="240" w:after="0"/>
        <w:jc w:val="left"/>
        <w:rPr>
          <w:rFonts w:ascii="Times New Roman" w:hAnsi="Times New Roman"/>
          <w:sz w:val="20"/>
        </w:rPr>
      </w:pPr>
      <w:r>
        <w:rPr>
          <w:rFonts w:ascii="Times New Roman" w:hAnsi="Times New Roman"/>
          <w:sz w:val="20"/>
        </w:rPr>
        <w:t xml:space="preserve">(xvi) each Contract pursuant to which either Company permits any third party to possess or operate any of its real or personal property which is owned or controlled by such Company; </w:t>
      </w:r>
    </w:p>
    <w:p>
      <w:pPr>
        <w:pStyle w:val="TextBody"/>
        <w:bidi w:val="0"/>
        <w:spacing w:before="240" w:after="0"/>
        <w:jc w:val="left"/>
        <w:rPr>
          <w:rFonts w:ascii="Times New Roman" w:hAnsi="Times New Roman"/>
          <w:sz w:val="20"/>
        </w:rPr>
      </w:pPr>
      <w:r>
        <w:rPr>
          <w:rFonts w:ascii="Times New Roman" w:hAnsi="Times New Roman"/>
          <w:sz w:val="20"/>
        </w:rPr>
        <w:t xml:space="preserve">(xvii) each Contract with a term of more than one year which is not terminable upon less than thirty (30) days’ notice without penalty and involves a consideration in excess of £250,000 annually (other than Contracts with customers); </w:t>
      </w:r>
    </w:p>
    <w:p>
      <w:pPr>
        <w:pStyle w:val="TextBody"/>
        <w:bidi w:val="0"/>
        <w:spacing w:before="240" w:after="0"/>
        <w:jc w:val="left"/>
        <w:rPr>
          <w:rFonts w:ascii="Times New Roman" w:hAnsi="Times New Roman"/>
          <w:sz w:val="20"/>
        </w:rPr>
      </w:pPr>
      <w:r>
        <w:rPr>
          <w:rFonts w:ascii="Times New Roman" w:hAnsi="Times New Roman"/>
          <w:sz w:val="20"/>
        </w:rPr>
        <w:t xml:space="preserve">(xviii) each Contract regarding any material indemnification provided to or by either Company other than indemnification obligations set forth in agreements with the customers of the Companies and their Subsidiaries incidental to the licensing, sale and/or marketing of the Companies’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(xix) each Contract pursuant to which a third party is a subcontractor of either Company; </w:t>
      </w:r>
    </w:p>
    <w:p>
      <w:pPr>
        <w:pStyle w:val="TextBody"/>
        <w:bidi w:val="0"/>
        <w:spacing w:before="240" w:after="0"/>
        <w:jc w:val="left"/>
        <w:rPr>
          <w:rFonts w:ascii="Times New Roman" w:hAnsi="Times New Roman"/>
          <w:sz w:val="20"/>
        </w:rPr>
      </w:pPr>
      <w:r>
        <w:rPr>
          <w:rFonts w:ascii="Times New Roman" w:hAnsi="Times New Roman"/>
          <w:sz w:val="20"/>
        </w:rPr>
        <w:t xml:space="preserve">(xx) each Contract in relation to a mutual marketing relationship, partnership or joint venture of either Company; </w:t>
      </w:r>
    </w:p>
    <w:p>
      <w:pPr>
        <w:pStyle w:val="TextBody"/>
        <w:bidi w:val="0"/>
        <w:spacing w:before="240" w:after="0"/>
        <w:jc w:val="left"/>
        <w:rPr>
          <w:rFonts w:ascii="Times New Roman" w:hAnsi="Times New Roman"/>
          <w:sz w:val="20"/>
        </w:rPr>
      </w:pPr>
      <w:r>
        <w:rPr>
          <w:rFonts w:ascii="Times New Roman" w:hAnsi="Times New Roman"/>
          <w:sz w:val="20"/>
        </w:rPr>
        <w:t xml:space="preserve">(xxi) each Contract with any Governmental Authority; and </w:t>
      </w:r>
    </w:p>
    <w:p>
      <w:pPr>
        <w:pStyle w:val="TextBody"/>
        <w:bidi w:val="0"/>
        <w:spacing w:before="240" w:after="0"/>
        <w:jc w:val="left"/>
        <w:rPr>
          <w:rFonts w:ascii="Times New Roman" w:hAnsi="Times New Roman"/>
          <w:sz w:val="20"/>
        </w:rPr>
      </w:pPr>
      <w:r>
        <w:rPr>
          <w:rFonts w:ascii="Times New Roman" w:hAnsi="Times New Roman"/>
          <w:sz w:val="20"/>
        </w:rPr>
        <w:t xml:space="preserve">(xxii) any powers of attorney. </w:t>
      </w:r>
    </w:p>
    <w:p>
      <w:pPr>
        <w:pStyle w:val="TextBody"/>
        <w:bidi w:val="0"/>
        <w:spacing w:before="240" w:after="0"/>
        <w:jc w:val="left"/>
        <w:rPr>
          <w:rFonts w:ascii="Times New Roman" w:hAnsi="Times New Roman"/>
          <w:sz w:val="20"/>
        </w:rPr>
      </w:pPr>
      <w:r>
        <w:rPr>
          <w:rFonts w:ascii="Times New Roman" w:hAnsi="Times New Roman"/>
          <w:sz w:val="20"/>
        </w:rPr>
        <w:t xml:space="preserve">(b) The Companies have Disclosed true and correct copies of all Material Contracts, including all amendments and modifications thereto. As so amended or modified, each Material Contract is in full force and effect and constitutes a legal, valid and binding obligation of the Companies, and, to the Company’s Knowledge, of the other parties thereto, subject only to the General Enforceability Exceptions. The Companies do not have any present expectation or intention of not fully performing all of its obligations under a Material Contract. No Material Contract is currently subject to or is expected to be subject to cancellation or any other material modification (including non-renewal) by the other party thereto or is subject to any penalty, right of set-off or other charge by the other party thereto for late performance or delivery. To the Company’s Knowledge there is no material breach or anticipated breach by the other parties to any Material Contract. There are no renegotiations of, or attempts or requests to renegotiate or outstanding rights to renegotiate, any material terms of any of the Material Contracts, excluding negotiations regarding renewals, extensions, new sales and/or changing the number of licenses, done in the Ordinary Course of Business. </w:t>
      </w:r>
    </w:p>
    <w:p>
      <w:pPr>
        <w:pStyle w:val="TextBody"/>
        <w:bidi w:val="0"/>
        <w:spacing w:before="240" w:after="0"/>
        <w:jc w:val="left"/>
        <w:rPr>
          <w:rFonts w:ascii="Times New Roman" w:hAnsi="Times New Roman"/>
          <w:sz w:val="20"/>
        </w:rPr>
      </w:pPr>
      <w:r>
        <w:rPr>
          <w:rFonts w:ascii="Times New Roman" w:hAnsi="Times New Roman"/>
          <w:b/>
          <w:sz w:val="20"/>
        </w:rPr>
        <w:t>4.13</w:t>
      </w:r>
      <w:r>
        <w:rPr>
          <w:rFonts w:ascii="Times New Roman" w:hAnsi="Times New Roman"/>
          <w:sz w:val="20"/>
        </w:rPr>
        <w:t xml:space="preserve"> </w:t>
      </w:r>
      <w:r>
        <w:rPr>
          <w:rFonts w:ascii="Times New Roman" w:hAnsi="Times New Roman"/>
          <w:b/>
          <w:sz w:val="20"/>
          <w:u w:val="single"/>
        </w:rPr>
        <w:t>Legal Proceedings</w:t>
      </w:r>
      <w:r>
        <w:rPr>
          <w:rFonts w:ascii="Times New Roman" w:hAnsi="Times New Roman"/>
          <w:sz w:val="20"/>
        </w:rPr>
        <w:t xml:space="preserve">. There is, and since the Lookback Date has been, no Action pending or threatened in writing or, to the Company’s Knowledge, otherwise threatened by any Person against or otherwise affecting the Companies or their Subsidiaries, or the officers, directors or employees of the Companies or their Subsidiaries with respect to their activities for or on behalf of the Companies or their Subsidiaries or in respect of any Leased Real Property. The Companies and their Subsidiaries are not currently subject to any judgment, settlement, award, order, injunction or decree involving any Governmental Authority or other Person. The Companies or their Subsidiaries has not received any material claim for indemnification from any Person or made any material indemnification or contribution payments to any Person. </w:t>
      </w:r>
    </w:p>
    <w:p>
      <w:pPr>
        <w:pStyle w:val="TextBody"/>
        <w:bidi w:val="0"/>
        <w:spacing w:before="240" w:after="0"/>
        <w:jc w:val="left"/>
        <w:rPr>
          <w:rFonts w:ascii="Times New Roman" w:hAnsi="Times New Roman"/>
          <w:sz w:val="20"/>
        </w:rPr>
      </w:pPr>
      <w:r>
        <w:rPr>
          <w:rFonts w:ascii="Times New Roman" w:hAnsi="Times New Roman"/>
          <w:b/>
          <w:sz w:val="20"/>
        </w:rPr>
        <w:t>4.14</w:t>
      </w:r>
      <w:r>
        <w:rPr>
          <w:rFonts w:ascii="Times New Roman" w:hAnsi="Times New Roman"/>
          <w:sz w:val="20"/>
        </w:rPr>
        <w:t xml:space="preserve"> </w:t>
      </w:r>
      <w:r>
        <w:rPr>
          <w:rFonts w:ascii="Times New Roman" w:hAnsi="Times New Roman"/>
          <w:b/>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Companies and their Subsidiaries have the right to use the Company IP for the purposes of carrying on the business of the Companies. The Company IP that is owned or purported to be owned by the Companies or their Subsidiaries (the “</w:t>
      </w:r>
      <w:r>
        <w:rPr>
          <w:rFonts w:ascii="Times New Roman" w:hAnsi="Times New Roman"/>
          <w:b/>
          <w:i/>
          <w:sz w:val="20"/>
        </w:rPr>
        <w:t>Company-Owned IP</w:t>
      </w:r>
      <w:r>
        <w:rPr>
          <w:rFonts w:ascii="Times New Roman" w:hAnsi="Times New Roman"/>
          <w:sz w:val="20"/>
        </w:rPr>
        <w:t xml:space="preserve">”) is not subject to any Lien, other than (i) Liens to be released in connection with the Closing and (ii) licenses of Intellectual Property granted by the Companies or their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 list of</w:t>
      </w:r>
      <w:r>
        <w:rPr>
          <w:rFonts w:ascii="Times New Roman" w:hAnsi="Times New Roman"/>
          <w:sz w:val="20"/>
        </w:rPr>
        <w:t xml:space="preserve"> all Company Registered Intellectual Property, including the jurisdictions in which each such item of Company Registered Intellectual Property has been applied for, issued or registered has been Disclosed. Each item of Company Registered Intellectual Property is subsisting (or in the case of applications, applied for), and all registration, maintenance and renewal fees due prior to the date of this Agreement in connection with the Company Registered Intellectual Property have been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performance of the Companies’ and their Subsidiaries’ obligations under this Agreement will not cause the forfeiture or termination of, nor, to the Company’s Knowledge, give rise to a right of forfeiture or termination of, any Company IP. </w:t>
      </w:r>
    </w:p>
    <w:p>
      <w:pPr>
        <w:pStyle w:val="TextBody"/>
        <w:bidi w:val="0"/>
        <w:spacing w:before="240" w:after="0"/>
        <w:jc w:val="left"/>
        <w:rPr>
          <w:rFonts w:ascii="Times New Roman" w:hAnsi="Times New Roman"/>
          <w:sz w:val="20"/>
        </w:rPr>
      </w:pPr>
      <w:r>
        <w:rPr>
          <w:rFonts w:ascii="Times New Roman" w:hAnsi="Times New Roman"/>
          <w:sz w:val="20"/>
        </w:rPr>
        <w:t xml:space="preserve">(d) Except pursuant to a Material Contract, the Companies and their Subsidiaries have not (i) received a license of any Intellectual Property that is material to the carrying on of the business of the Companies and their Subsidiaries in its ordinary course from any third party or (ii) licensed any of the Company-Owned IP that is material to the carrying on of the business of the Companies or their Subsidiaries in its ordinary course to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(e) There is no Action pending or, to the Company’s Knowledge, threatened, against the Companies or their Subsidiaries relating to any Company IP and the Companies or their Subsidiaries have not received any written notice of any claim and, to the Company’s Knowledge, no claim has been threatened, in each case that (i) challenges the validity, enforceability, use or ownership of any Company-Owned IP or (ii) alleges that the Companies or any of their Subsidiaries infringes, misappropriates or otherwise violates any third party’s right in or to such third party’s own Intellectual Property. To the Company’s Knowledge neither the Companies nor their Subsidiaries nor the conduct of its or their business infringes, misappropriates or otherwise violates, and has not since the Lookback Date infringed, misappropriated or otherwise violated, the Intellectual Property of any other Person. To the Company’s Knowledge, no Person is infringing, misappropriating or otherwise violating, and to the Company’s Knowledge has not since the Lookback Date infringed, misappropriated or otherwise violated, any of the Company-Owned IP or any Intellectual Property exclusively licensed to the Companies or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Each current and former consultant, and independent contractor of the Companies and their Subsidiaries have, where such consultant or independent contractor has developed material Intellectual Property on behalf of the Companies or their Subsidiaries and/or has become privy to confidential information of the Companies or their Subsidiaries, entered into a written agreement with the Companies or their Subsidiaries assigning all Intellectual Property created by such Person within the scope of such Person’s duties to the Companies or their Subsidiaries and containing appropriate obligations of confidentiality. To the Company’s Knowledge, no current or former consultant, or independent contractor is in violation of any such agreement. Each current and former employee of the Companies and their Subsidiaries have entered into employment agreements which contain (a) provisions that confirm that Intellectual Property developed within the scope of such employee’s duties to the relevant Company or Subsidiary will vest in the relevant Company or Subsidiary of which it is an employee, and (b) appropriate obligations of confidentiality. </w:t>
      </w:r>
    </w:p>
    <w:p>
      <w:pPr>
        <w:pStyle w:val="TextBody"/>
        <w:bidi w:val="0"/>
        <w:spacing w:before="240" w:after="0"/>
        <w:jc w:val="left"/>
        <w:rPr>
          <w:rFonts w:ascii="Times New Roman" w:hAnsi="Times New Roman"/>
          <w:sz w:val="20"/>
        </w:rPr>
      </w:pPr>
      <w:r>
        <w:rPr>
          <w:rFonts w:ascii="Times New Roman" w:hAnsi="Times New Roman"/>
          <w:sz w:val="20"/>
        </w:rPr>
        <w:t>(g) None of the Software included in the Company-Owned IP that is licensed by the Companies or their Subsidiaries to third parties (“</w:t>
      </w:r>
      <w:r>
        <w:rPr>
          <w:rFonts w:ascii="Times New Roman" w:hAnsi="Times New Roman"/>
          <w:b/>
          <w:i/>
          <w:sz w:val="20"/>
        </w:rPr>
        <w:t>Companies Software</w:t>
      </w:r>
      <w:r>
        <w:rPr>
          <w:rFonts w:ascii="Times New Roman" w:hAnsi="Times New Roman"/>
          <w:sz w:val="20"/>
        </w:rPr>
        <w:t xml:space="preserve">”) uses or incorporates any Open Source Software under any license or manner requiring the Companies or their Subsidiaries to license, disclose or distribute any portion of proprietary source code constituting Companies Software free of charge or under terms that require disclosure of source code in connection with such use of Open Source Software. The Companies and their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not disclosed or made available (or agreed to disclose or make available whether or not conditionally or with the passage of time) the source code in Software included in the Company-Owned IP. The Companies and their Subsidiaries have complied in all material respects with all applicable Open Source Software licenses used in connection with any Companies Software. </w:t>
      </w:r>
    </w:p>
    <w:p>
      <w:pPr>
        <w:pStyle w:val="TextBody"/>
        <w:bidi w:val="0"/>
        <w:spacing w:before="240" w:after="0"/>
        <w:jc w:val="left"/>
        <w:rPr>
          <w:rFonts w:ascii="Times New Roman" w:hAnsi="Times New Roman"/>
          <w:sz w:val="20"/>
        </w:rPr>
      </w:pPr>
      <w:r>
        <w:rPr>
          <w:rFonts w:ascii="Times New Roman" w:hAnsi="Times New Roman"/>
          <w:b/>
          <w:sz w:val="20"/>
        </w:rPr>
        <w:t>4.15</w:t>
      </w:r>
      <w:r>
        <w:rPr>
          <w:rFonts w:ascii="Times New Roman" w:hAnsi="Times New Roman"/>
          <w:sz w:val="20"/>
        </w:rPr>
        <w:t xml:space="preserve"> </w:t>
      </w:r>
      <w:r>
        <w:rPr>
          <w:rFonts w:ascii="Times New Roman" w:hAnsi="Times New Roman"/>
          <w:b/>
          <w:sz w:val="20"/>
          <w:u w:val="single"/>
        </w:rPr>
        <w:t>Cyber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Companies and their Subsidiaries take all commercially reasonable actions to protect (i) the Company-Owned IP, including the confidentiality of all trade secrets, know-how and confidential information included therein, and (ii) the integrity and security of the Company Systems from any unauthorized use, access, disclosure, destruction or modification, and to the Company’s Knowledge no such use, access, disclosure, destruction or modification has occurred in the period between the Lookback Date and the date of this Agreement. The Company Systems (A) are to the Company’s Knowledge sufficient for the needs, as at the date of this Agreement, of the business of the Companies and their Subsidiaries, (B) are in sufficiently good working condition to effectively perform all currently (as at the date of this Agreement) required information technology operations and include a sufficient number of license seats for all software as necessary for the operation of the business of the Companies and their Subsidiaries as currently conducted as at the date of this Agreement, and (C) are to the Company’s Knowledge free from any material bug, virus, malware or material programming, design or documentation error or corruption or material defect. To the Company’s Knowledge there have been no material unauthorized intrusions, failures, breakdowns, continued substandard performance, or other materially adverse events affecting any such Company Systems that have caused any substantial disruption of or interruption in or to the use of such Company Systems in the period between the Lookback Date and the date of this Agreement. The Companies and their Subsidiaries maintain commercially reasonable disaster recovery and business continuity plans, procedures and facilities in connection with the operation of their business, acts in material compliance therewith, and have taken commercially reasonable steps to test such plans and procedures on a periodic basis, and such plans and procedures have been proven sufficient upon such testing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The Companies and their Subsidiaries maintain and enforce commercially reasonable policies, procedures, and rules regarding data privacy, protection and security that comply in all material respects with all Data Security Requirements. Since the Lookback Date the Companies and their Subsidiaries comply with, and have complied with, all Data Security Requirements in all material respects. The use of any Personal Data by the Companies and their Subsidiaries immediately prior to Closing has not resulted in a breach or violation of, or constitute a default under, any Data Security Requirement. To the Company’s Knowledge there have been no (and the Companies and their Subsidiaries have not received any written or threatened complaint, claim or demand from any Person with respect to any) Security Incidents. </w:t>
      </w:r>
    </w:p>
    <w:p>
      <w:pPr>
        <w:pStyle w:val="TextBody"/>
        <w:bidi w:val="0"/>
        <w:spacing w:before="240" w:after="0"/>
        <w:jc w:val="left"/>
        <w:rPr>
          <w:rFonts w:ascii="Times New Roman" w:hAnsi="Times New Roman"/>
          <w:sz w:val="20"/>
        </w:rPr>
      </w:pPr>
      <w:r>
        <w:rPr>
          <w:rFonts w:ascii="Times New Roman" w:hAnsi="Times New Roman"/>
          <w:b/>
          <w:sz w:val="20"/>
        </w:rPr>
        <w:t>4.16</w:t>
      </w:r>
      <w:r>
        <w:rPr>
          <w:rFonts w:ascii="Times New Roman" w:hAnsi="Times New Roman"/>
          <w:sz w:val="20"/>
        </w:rPr>
        <w:t xml:space="preserve"> </w:t>
      </w:r>
      <w:r>
        <w:rPr>
          <w:rFonts w:ascii="Times New Roman" w:hAnsi="Times New Roman"/>
          <w:b/>
          <w:sz w:val="20"/>
          <w:u w:val="single"/>
        </w:rPr>
        <w:t>Insurance</w:t>
      </w:r>
      <w:r>
        <w:rPr>
          <w:rFonts w:ascii="Times New Roman" w:hAnsi="Times New Roman"/>
          <w:sz w:val="20"/>
        </w:rPr>
        <w:t xml:space="preserve">. A list of all material policies of insurance and all fidelity or surety bonds, in each case, held by the Companies and their Subsidiaries (indicating in each case the type of coverage, name of the insured, the insurer, the premium, the expiration date of each policy and the amount of coverage), as of the date of this Agreement, has been Disclosed. All such policies are in full force and effect in all material respects. Other than insurance policies that have expired and been replaced in the Ordinary Course of Business, no insurance policy has been cancelled by the insurer since the Lookback Date, and, to the Company’s Knowledge, no written notice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cancellation or written threat to cancel any insurance policy of the Companies or their Subsidiaries has been received by the Companies or their Subsidiaries during such period. There is not, and since the Lookback Date there has not been, any pending claim that has been denied or rejected by any insurer in writing. To the Company’s Knowledge, the insurance coverage of the Companies and their Subsidiaries is of a kind and type customarily carried by entities of similar size engaged in similar lines of business. The Companies and their Subsidiaries are current in all premiums or other payments due under its insurance policies and has otherwise complied in all material respects with all of its obligations under each insurance policy. </w:t>
      </w:r>
    </w:p>
    <w:p>
      <w:pPr>
        <w:pStyle w:val="TextBody"/>
        <w:bidi w:val="0"/>
        <w:spacing w:before="240" w:after="0"/>
        <w:jc w:val="left"/>
        <w:rPr>
          <w:rFonts w:ascii="Times New Roman" w:hAnsi="Times New Roman"/>
          <w:sz w:val="20"/>
        </w:rPr>
      </w:pPr>
      <w:r>
        <w:rPr>
          <w:rFonts w:ascii="Times New Roman" w:hAnsi="Times New Roman"/>
          <w:b/>
          <w:sz w:val="20"/>
        </w:rPr>
        <w:t>4.17</w:t>
      </w:r>
      <w:r>
        <w:rPr>
          <w:rFonts w:ascii="Times New Roman" w:hAnsi="Times New Roman"/>
          <w:sz w:val="20"/>
        </w:rPr>
        <w:t xml:space="preserve"> </w:t>
      </w:r>
      <w:r>
        <w:rPr>
          <w:rFonts w:ascii="Times New Roman" w:hAnsi="Times New Roman"/>
          <w:b/>
          <w:sz w:val="20"/>
          <w:u w:val="single"/>
        </w:rPr>
        <w:t>Personnel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Companies nor any of their Subsidiaries is party to or bound by, any Labor Agreement. </w:t>
      </w:r>
    </w:p>
    <w:p>
      <w:pPr>
        <w:pStyle w:val="TextBody"/>
        <w:bidi w:val="0"/>
        <w:spacing w:before="240" w:after="0"/>
        <w:jc w:val="left"/>
        <w:rPr>
          <w:rFonts w:ascii="Times New Roman" w:hAnsi="Times New Roman"/>
          <w:sz w:val="20"/>
        </w:rPr>
      </w:pPr>
      <w:r>
        <w:rPr>
          <w:rFonts w:ascii="Times New Roman" w:hAnsi="Times New Roman"/>
          <w:sz w:val="20"/>
        </w:rPr>
        <w:t xml:space="preserve">(b) No trade union, works council, or other employee representative body is recognized by the Companies or any of their Subsidiaries in respect of any of the Companies’ or their Subsidiaries’ employees. </w:t>
      </w:r>
    </w:p>
    <w:p>
      <w:pPr>
        <w:pStyle w:val="TextBody"/>
        <w:bidi w:val="0"/>
        <w:spacing w:before="240" w:after="0"/>
        <w:jc w:val="left"/>
        <w:rPr>
          <w:rFonts w:ascii="Times New Roman" w:hAnsi="Times New Roman"/>
          <w:sz w:val="20"/>
        </w:rPr>
      </w:pPr>
      <w:r>
        <w:rPr>
          <w:rFonts w:ascii="Times New Roman" w:hAnsi="Times New Roman"/>
          <w:sz w:val="20"/>
        </w:rPr>
        <w:t xml:space="preserve">(c) To the Company’s Knowledge, no application for recognition is pending or has been threatened in writing with respect to the Companies and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Since the Lookback Date, there has been no material strike, walkout, lockout, work stoppage, or other material collective labor dispute involving the employees of the Companies or any of their Subsidiaries or, to the Company’s Knowledge, has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(e) A list of all employees and workers of the Companies and their Subsidiaries, together with details of the principal terms of their employment and/or engagement (namely, location of work, notice period, current and the prior year’s compensation or remuneration (including any bonus and any participation in any Employee Plan), immigration status (where applicable), leave of absence (if applicable), start date of period of continuous employment and holiday entitlement) have been Disclosed. No Company or Subsidiary has made any offers of employment or engagement in respect of a position carrying an annual remuneration in excess of £100,000 to any person which is outstanding or which has been accepted but the employment or engagement has not commenced. </w:t>
      </w:r>
    </w:p>
    <w:p>
      <w:pPr>
        <w:pStyle w:val="TextBody"/>
        <w:bidi w:val="0"/>
        <w:spacing w:before="240" w:after="0"/>
        <w:jc w:val="left"/>
        <w:rPr>
          <w:rFonts w:ascii="Times New Roman" w:hAnsi="Times New Roman"/>
          <w:sz w:val="20"/>
        </w:rPr>
      </w:pPr>
      <w:r>
        <w:rPr>
          <w:rFonts w:ascii="Times New Roman" w:hAnsi="Times New Roman"/>
          <w:sz w:val="20"/>
        </w:rPr>
        <w:t xml:space="preserve">(f) True and complete copies have been Disclosed to Buyer of all template contracts of employment, employee handbooks and material employment policies which currently apply to the employees and workers (where reduced to writing) of the Companies and their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Each employee of the Companies and their Subsidiaries who is entitled to receive a written statement of particulars of employment under section 1 of the Employment Rights Act 1996 has received such a statement. </w:t>
      </w:r>
    </w:p>
    <w:p>
      <w:pPr>
        <w:pStyle w:val="TextBody"/>
        <w:bidi w:val="0"/>
        <w:spacing w:before="240" w:after="0"/>
        <w:jc w:val="left"/>
        <w:rPr>
          <w:rFonts w:ascii="Times New Roman" w:hAnsi="Times New Roman"/>
          <w:sz w:val="20"/>
        </w:rPr>
      </w:pPr>
      <w:r>
        <w:rPr>
          <w:rFonts w:ascii="Times New Roman" w:hAnsi="Times New Roman"/>
          <w:sz w:val="20"/>
        </w:rPr>
        <w:t xml:space="preserve">(h) A list of all consultants and/or independent contractors carrying an annual remuneration in excess of £100,000 and currently providing services to the Companies and/or their Subsidiaries together with the principal terms of their engagement has been Disclosed.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Companies and their Subsidiaries are, and since the Lookback Date have been, to the Company’s Knowledge, in compliance in all material respects with all applicable Laws relating to labor, employment and employment practices, including, without limitation, all Laws relating to health and safety, national minimum wage and working time compliance, immigration (including verification of employees’ right to work in the UK), redundancy exercises, statutory contributions to employees, and compliance with the requirements for collective consultation, where applicable, under the Trade Union and Labour Relations (Consolidation) Act of 1992 and transfers of employment under TUPE. </w:t>
      </w:r>
    </w:p>
    <w:p>
      <w:pPr>
        <w:pStyle w:val="TextBody"/>
        <w:bidi w:val="0"/>
        <w:spacing w:before="240" w:after="0"/>
        <w:jc w:val="left"/>
        <w:rPr>
          <w:rFonts w:ascii="Times New Roman" w:hAnsi="Times New Roman"/>
          <w:sz w:val="20"/>
        </w:rPr>
      </w:pPr>
      <w:r>
        <w:rPr>
          <w:rFonts w:ascii="Times New Roman" w:hAnsi="Times New Roman"/>
          <w:sz w:val="20"/>
        </w:rPr>
        <w:t>(j) During the period of twenty-four (24) months immediately preceding the date of this Agreement: (i) the Companies and their Subsidiaries have not been a party to any “</w:t>
      </w:r>
      <w:r>
        <w:rPr>
          <w:rFonts w:ascii="Times New Roman" w:hAnsi="Times New Roman"/>
          <w:b/>
          <w:i/>
          <w:sz w:val="20"/>
        </w:rPr>
        <w:t>relevant transfer</w:t>
      </w:r>
      <w:r>
        <w:rPr>
          <w:rFonts w:ascii="Times New Roman" w:hAnsi="Times New Roman"/>
          <w:sz w:val="20"/>
        </w:rPr>
        <w:t xml:space="preserve">” (for the purposes of TUPE); and (ii) to the Company’s Knowledge, no employee or worker asserted in writing that the terms of their employment were varied by reason of or connected with a relevant transfer. </w:t>
      </w:r>
    </w:p>
    <w:p>
      <w:pPr>
        <w:pStyle w:val="TextBody"/>
        <w:bidi w:val="0"/>
        <w:spacing w:before="240" w:after="0"/>
        <w:jc w:val="left"/>
        <w:rPr>
          <w:rFonts w:ascii="Times New Roman" w:hAnsi="Times New Roman"/>
          <w:sz w:val="20"/>
        </w:rPr>
      </w:pPr>
      <w:r>
        <w:rPr>
          <w:rFonts w:ascii="Times New Roman" w:hAnsi="Times New Roman"/>
          <w:sz w:val="20"/>
        </w:rPr>
        <w:t xml:space="preserve">(k) The Companies and their Subsidiaries have fully paid all wages, salaries, commissions, bonuses, severance and/or termination payments, fees, and other contractual remuneration that have become due and are payable to their current or former employees and independent contractors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(l) Each individual who is providing or since the Lookback Date has provided services to the Companies or any of their Subsidiaries and is or was classified and treated by the relevant Company or Subsidiary as an independent contractor, consultant, or other non-employee service provider is and has been properly classified and treated as such. </w:t>
      </w:r>
    </w:p>
    <w:p>
      <w:pPr>
        <w:pStyle w:val="TextBody"/>
        <w:bidi w:val="0"/>
        <w:spacing w:before="240" w:after="0"/>
        <w:jc w:val="left"/>
        <w:rPr>
          <w:rFonts w:ascii="Times New Roman" w:hAnsi="Times New Roman"/>
          <w:sz w:val="20"/>
        </w:rPr>
      </w:pPr>
      <w:r>
        <w:rPr>
          <w:rFonts w:ascii="Times New Roman" w:hAnsi="Times New Roman"/>
          <w:sz w:val="20"/>
        </w:rPr>
        <w:t xml:space="preserve">(m) To the Company’s Knowledge: (i) no current or former employee or independent contractor of the Companies or their Subsidiaries is in any material respect in violation of any term of any employment/engagement agreement, confidentiality obligation, or restrictive covenant owed to the Companies or their Subsidiaries; and (ii) no current employee of the Companies or their Subsidiaries with an annual salary of £100,000 or more, has given or received notice to terminate his or her employment. </w:t>
      </w:r>
    </w:p>
    <w:p>
      <w:pPr>
        <w:pStyle w:val="TextBody"/>
        <w:bidi w:val="0"/>
        <w:spacing w:before="240" w:after="0"/>
        <w:jc w:val="left"/>
        <w:rPr>
          <w:rFonts w:ascii="Times New Roman" w:hAnsi="Times New Roman"/>
          <w:sz w:val="20"/>
        </w:rPr>
      </w:pPr>
      <w:r>
        <w:rPr>
          <w:rFonts w:ascii="Times New Roman" w:hAnsi="Times New Roman"/>
          <w:sz w:val="20"/>
        </w:rPr>
        <w:t xml:space="preserve">(n) The Companies and their Subsidiaries have dealt with all sexual harassment, discrimination, or victimisation allegations and any other material grievances of which they are aware in accordance in all material respects with applicable Law and their applicable policies. </w:t>
      </w:r>
    </w:p>
    <w:p>
      <w:pPr>
        <w:pStyle w:val="TextBody"/>
        <w:bidi w:val="0"/>
        <w:spacing w:before="240" w:after="0"/>
        <w:jc w:val="left"/>
        <w:rPr>
          <w:rFonts w:ascii="Times New Roman" w:hAnsi="Times New Roman"/>
          <w:sz w:val="20"/>
        </w:rPr>
      </w:pPr>
      <w:r>
        <w:rPr>
          <w:rFonts w:ascii="Times New Roman" w:hAnsi="Times New Roman"/>
          <w:sz w:val="20"/>
        </w:rPr>
        <w:t xml:space="preserve">(o) To the Company’s Knowledge, there is no outstanding material written allegation, grievance, harassment, victimisation, retaliation or whistleblowing matters. </w:t>
      </w:r>
    </w:p>
    <w:p>
      <w:pPr>
        <w:pStyle w:val="TextBody"/>
        <w:bidi w:val="0"/>
        <w:spacing w:before="240" w:after="0"/>
        <w:jc w:val="left"/>
        <w:rPr>
          <w:rFonts w:ascii="Times New Roman" w:hAnsi="Times New Roman"/>
          <w:sz w:val="20"/>
        </w:rPr>
      </w:pPr>
      <w:r>
        <w:rPr>
          <w:rFonts w:ascii="Times New Roman" w:hAnsi="Times New Roman"/>
          <w:sz w:val="20"/>
        </w:rPr>
        <w:t xml:space="preserve">(p) Saltire Romania has no current employees or workers, has made no outstanding offers of employment or engagement and, except as Disclosed, has no outstanding amounts due or payable to any former employee, worker, consultant or independent contractor.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4.18</w:t>
      </w:r>
      <w:r>
        <w:rPr>
          <w:rFonts w:ascii="Times New Roman" w:hAnsi="Times New Roman"/>
          <w:sz w:val="20"/>
        </w:rPr>
        <w:t xml:space="preserve"> </w:t>
      </w:r>
      <w:r>
        <w:rPr>
          <w:rFonts w:ascii="Times New Roman" w:hAnsi="Times New Roman"/>
          <w:b/>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Companies and their Subsidiaries are, and since the Lookback Date have been, in compliance in all material respects with all Environmental Laws that are applicable to its operations and use of its properties and facilities (including the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The Companies and their Subsidiaries have obtained and are in compliance in all material respects with all material Environmental Permits required by applicable Environmental Laws for the operation or occupation of its properties, assets and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(c) To the Company’s Knowledge, there has been no Release of any Hazardous Material by or on behalf of the Companies or their Subsidiaries, including at the Leased Real Property, either in breach of Environmental Laws or which requires cleanup or remediation pursuant to, or to any material liability under, any applicable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(d) Since the Lookback Date, the Companies and their Subsidiaries have not (i) received written or, to the Company’s Knowledge, other notice (except for notices that have been fully resolved) of any alleged material violation of or material liability under any applicable Environmental Law or (ii) been subject to or, to the Company’s Knowledge, threatened in writing with any Action (except for Actions that have been fully resolved) that could reasonably give rise to any material violation of or material liability under any applicable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(e) The Companies and their Subsidiaries have provided to Buyer all environmental reports materially bearing upon environmental matters with respect to any material environmental liabilities of, or the operations of, the Companies, their Subsidiaries and any property currently or formerly owned since the Lookback Date, leased or occupied by the Companies or their Subsidiaries, in each case, which is in the Companies’ or any of their Subsidiaries’ possession or under its reasonable control. </w:t>
      </w:r>
    </w:p>
    <w:p>
      <w:pPr>
        <w:pStyle w:val="TextBody"/>
        <w:bidi w:val="0"/>
        <w:spacing w:before="240" w:after="0"/>
        <w:jc w:val="left"/>
        <w:rPr>
          <w:rFonts w:ascii="Times New Roman" w:hAnsi="Times New Roman"/>
          <w:sz w:val="20"/>
        </w:rPr>
      </w:pPr>
      <w:r>
        <w:rPr>
          <w:rFonts w:ascii="Times New Roman" w:hAnsi="Times New Roman"/>
          <w:b/>
          <w:sz w:val="20"/>
        </w:rPr>
        <w:t>4.19</w:t>
      </w:r>
      <w:r>
        <w:rPr>
          <w:rFonts w:ascii="Times New Roman" w:hAnsi="Times New Roman"/>
          <w:sz w:val="20"/>
        </w:rPr>
        <w:t xml:space="preserve"> </w:t>
      </w:r>
      <w:r>
        <w:rPr>
          <w:rFonts w:ascii="Times New Roman" w:hAnsi="Times New Roman"/>
          <w:b/>
          <w:sz w:val="20"/>
          <w:u w:val="single"/>
        </w:rPr>
        <w:t>Conduct of Business in Ordinary 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2023: (x) the Companies and their Subsidiaries other than Saltire Romania have conducted its business and operations in the Ordinary Course of Business in all material respects, and Saltire Romania, Saltire Drilling Tools and Saltire Norway conducted its business and operations in the Ordinary Course of Business in all material respects until it ceased carrying on active business, following which its activities have been limited to matters relating to its Disclosed voluntary dissolution and wind-up, and (y) to the Company’s Knowledge, there has not been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the Balance Sheet Date, there has not been any action taken or not taken by the Companies or their Subsidiaries that would require Buyer’s written consent pursuant to </w:t>
      </w:r>
      <w:r>
        <w:rPr>
          <w:rFonts w:ascii="Times New Roman" w:hAnsi="Times New Roman"/>
          <w:sz w:val="20"/>
          <w:u w:val="single"/>
        </w:rPr>
        <w:t>Section 7.1</w:t>
      </w:r>
      <w:r>
        <w:rPr>
          <w:rFonts w:ascii="Times New Roman" w:hAnsi="Times New Roman"/>
          <w:sz w:val="20"/>
        </w:rPr>
        <w:t xml:space="preserve"> if such action were to be taken or not taken during the period from the date of this Agreement until the Closing Date. </w:t>
      </w:r>
    </w:p>
    <w:p>
      <w:pPr>
        <w:pStyle w:val="TextBody"/>
        <w:bidi w:val="0"/>
        <w:spacing w:before="240" w:after="0"/>
        <w:jc w:val="left"/>
        <w:rPr>
          <w:rFonts w:ascii="Times New Roman" w:hAnsi="Times New Roman"/>
          <w:sz w:val="20"/>
        </w:rPr>
      </w:pPr>
      <w:r>
        <w:rPr>
          <w:rFonts w:ascii="Times New Roman" w:hAnsi="Times New Roman"/>
          <w:b/>
          <w:sz w:val="20"/>
        </w:rPr>
        <w:t>4.20</w:t>
      </w:r>
      <w:r>
        <w:rPr>
          <w:rFonts w:ascii="Times New Roman" w:hAnsi="Times New Roman"/>
          <w:sz w:val="20"/>
        </w:rPr>
        <w:t xml:space="preserve"> </w:t>
      </w:r>
      <w:r>
        <w:rPr>
          <w:rFonts w:ascii="Times New Roman" w:hAnsi="Times New Roman"/>
          <w:b/>
          <w:sz w:val="20"/>
          <w:u w:val="single"/>
        </w:rPr>
        <w:t>No Brokers</w:t>
      </w:r>
      <w:r>
        <w:rPr>
          <w:rFonts w:ascii="Times New Roman" w:hAnsi="Times New Roman"/>
          <w:sz w:val="20"/>
        </w:rPr>
        <w:t xml:space="preserve">. No broker, finder or similar agent has been engaged by or on behalf of the Companies or their Subsidiaries in connection with this Agreement, and to the Company’s Knowledge, no Person engaged by or on behalf of the Companies or their Subsidiaries in connection with this Agreement is entitled to any brokerage commission, finder’s fee or any similar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4.21</w:t>
      </w:r>
      <w:r>
        <w:rPr>
          <w:rFonts w:ascii="Times New Roman" w:hAnsi="Times New Roman"/>
          <w:sz w:val="20"/>
        </w:rPr>
        <w:t xml:space="preserve"> </w:t>
      </w:r>
      <w:r>
        <w:rPr>
          <w:rFonts w:ascii="Times New Roman" w:hAnsi="Times New Roman"/>
          <w:b/>
          <w:sz w:val="20"/>
          <w:u w:val="single"/>
        </w:rPr>
        <w:t>Customers and Suppliers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 complete and correct list of customers of the Companies and each of their Subsidiaries that have been billed an aggregate of £250,000 or more during either of the fiscal years ending on June 30, 2025 and June 30, 2026 (each a “</w:t>
      </w:r>
      <w:r>
        <w:rPr>
          <w:rFonts w:ascii="Times New Roman" w:hAnsi="Times New Roman"/>
          <w:b/>
          <w:i/>
          <w:sz w:val="20"/>
        </w:rPr>
        <w:t>Significant Customer</w:t>
      </w:r>
      <w:r>
        <w:rPr>
          <w:rFonts w:ascii="Times New Roman" w:hAnsi="Times New Roman"/>
          <w:sz w:val="20"/>
        </w:rPr>
        <w:t xml:space="preserve">”) has been Disclosed. </w:t>
      </w:r>
    </w:p>
    <w:p>
      <w:pPr>
        <w:pStyle w:val="TextBody"/>
        <w:bidi w:val="0"/>
        <w:spacing w:before="240" w:after="0"/>
        <w:jc w:val="left"/>
        <w:rPr>
          <w:rFonts w:ascii="Times New Roman" w:hAnsi="Times New Roman"/>
          <w:sz w:val="20"/>
        </w:rPr>
      </w:pPr>
      <w:r>
        <w:rPr>
          <w:rFonts w:ascii="Times New Roman" w:hAnsi="Times New Roman"/>
          <w:sz w:val="20"/>
        </w:rPr>
        <w:t>(b) A complete and correct list of suppliers of the Companies and each of their Subsidiaries that have billed the Companies or their Subsidiaries an aggregate of £250,000 or more during either of the fiscal years ending on June 30, 2025 and June 30, 2026 (each, a “</w:t>
      </w:r>
      <w:r>
        <w:rPr>
          <w:rFonts w:ascii="Times New Roman" w:hAnsi="Times New Roman"/>
          <w:b/>
          <w:i/>
          <w:sz w:val="20"/>
        </w:rPr>
        <w:t>Significant Supplier</w:t>
      </w:r>
      <w:r>
        <w:rPr>
          <w:rFonts w:ascii="Times New Roman" w:hAnsi="Times New Roman"/>
          <w:sz w:val="20"/>
        </w:rPr>
        <w:t xml:space="preserve">”) has been Disclosed. </w:t>
      </w:r>
    </w:p>
    <w:p>
      <w:pPr>
        <w:pStyle w:val="TextBody"/>
        <w:bidi w:val="0"/>
        <w:spacing w:before="240" w:after="0"/>
        <w:jc w:val="left"/>
        <w:rPr>
          <w:rFonts w:ascii="Times New Roman" w:hAnsi="Times New Roman"/>
          <w:sz w:val="20"/>
        </w:rPr>
      </w:pPr>
      <w:r>
        <w:rPr>
          <w:rFonts w:ascii="Times New Roman" w:hAnsi="Times New Roman"/>
          <w:sz w:val="20"/>
        </w:rPr>
        <w:t xml:space="preserve">(c) Since June 30, 2026, no Significant Customer or Significant Supplier has provided written or, to the Company’s Knowledge, other notice of its intent, or taken any action, to cancel, or decrease in any material respect the volume of payments to (in the case of Significant Customers) or goods or services supplied to (in the case of Significant Suppliers), or otherwise adversely change in any material respect its relationship with, the Companies or their Subsidiaries. </w:t>
      </w:r>
    </w:p>
    <w:p>
      <w:pPr>
        <w:pStyle w:val="TextBody"/>
        <w:bidi w:val="0"/>
        <w:spacing w:before="240" w:after="0"/>
        <w:jc w:val="left"/>
        <w:rPr>
          <w:rFonts w:ascii="Times New Roman" w:hAnsi="Times New Roman"/>
          <w:sz w:val="20"/>
        </w:rPr>
      </w:pPr>
      <w:r>
        <w:rPr>
          <w:rFonts w:ascii="Times New Roman" w:hAnsi="Times New Roman"/>
          <w:b/>
          <w:sz w:val="20"/>
        </w:rPr>
        <w:t>4.22</w:t>
      </w:r>
      <w:r>
        <w:rPr>
          <w:rFonts w:ascii="Times New Roman" w:hAnsi="Times New Roman"/>
          <w:sz w:val="20"/>
        </w:rPr>
        <w:t xml:space="preserve"> </w:t>
      </w:r>
      <w:r>
        <w:rPr>
          <w:rFonts w:ascii="Times New Roman" w:hAnsi="Times New Roman"/>
          <w:b/>
          <w:sz w:val="20"/>
          <w:u w:val="single"/>
        </w:rPr>
        <w:t>Related Persons Transactions</w:t>
      </w:r>
      <w:r>
        <w:rPr>
          <w:rFonts w:ascii="Times New Roman" w:hAnsi="Times New Roman"/>
          <w:sz w:val="20"/>
        </w:rPr>
        <w:t>. Except as Disclosed, no equityholder, Affiliate, officer, director, manager or member of the Companies, any Subsidiary or any Seller, or any immediate family member of any director or officer of the Companies, any Subsidiary or any Seller (each a “</w:t>
      </w:r>
      <w:r>
        <w:rPr>
          <w:rFonts w:ascii="Times New Roman" w:hAnsi="Times New Roman"/>
          <w:b/>
          <w:i/>
          <w:sz w:val="20"/>
        </w:rPr>
        <w:t>Related Person</w:t>
      </w:r>
      <w:r>
        <w:rPr>
          <w:rFonts w:ascii="Times New Roman" w:hAnsi="Times New Roman"/>
          <w:sz w:val="20"/>
        </w:rPr>
        <w:t xml:space="preserve">”): (a) owes any amount to the Companies or their Subsidiaries nor do the Companies or their Subsidiaries owe any amount to (except in connection with an employment or independent contractor relationship), nor has the Companies or their Subsidiaries committed to make any loan or extend or guarantee credit to, or for the benefit of, or have any indebtedness to, any Related Person (b) is involved in any business arrangement or party to any Contract with the Companies or their Subsidiaries (except for an employment, ownership, or management relationship with the Companies set forth in </w:t>
      </w:r>
      <w:r>
        <w:rPr>
          <w:rFonts w:ascii="Times New Roman" w:hAnsi="Times New Roman"/>
          <w:b/>
          <w:i/>
          <w:sz w:val="20"/>
        </w:rPr>
        <w:t>Exhibit D</w:t>
      </w:r>
      <w:r>
        <w:rPr>
          <w:rFonts w:ascii="Times New Roman" w:hAnsi="Times New Roman"/>
          <w:sz w:val="20"/>
        </w:rPr>
        <w:t xml:space="preserve">) or (c) has any financial interest in, or is a director, officer, manager or employee of, any competitor, supplier, licensor, distributor, lessor, independent contractor or customer of the Companies or their Subsidiaries. All Contracts and arrangements between any Company or Subsidiary, on the one hand, and any other Company or Subsidiary or any Related Person, on the other hand, have been Disclosed. All Contracts and arrangements between any Company or Subsidiary, on the one hand, and any Related Person (other than a Company or Subsidiary), on the other hand, were entered into on arm’s length terms and on terms no less favourable to the relevant Company or Subsidiary than those which would reasonably have been available from an unrelated third party. Except as Disclosed, there are no amounts outstanding under any such Contract or arrangement. </w:t>
      </w:r>
    </w:p>
    <w:p>
      <w:pPr>
        <w:pStyle w:val="TextBody"/>
        <w:bidi w:val="0"/>
        <w:spacing w:before="240" w:after="0"/>
        <w:jc w:val="left"/>
        <w:rPr>
          <w:rFonts w:ascii="Times New Roman" w:hAnsi="Times New Roman"/>
          <w:sz w:val="20"/>
        </w:rPr>
      </w:pPr>
      <w:r>
        <w:rPr>
          <w:rFonts w:ascii="Times New Roman" w:hAnsi="Times New Roman"/>
          <w:b/>
          <w:sz w:val="20"/>
        </w:rPr>
        <w:t>4.23</w:t>
      </w:r>
      <w:r>
        <w:rPr>
          <w:rFonts w:ascii="Times New Roman" w:hAnsi="Times New Roman"/>
          <w:sz w:val="20"/>
        </w:rPr>
        <w:t xml:space="preserve"> </w:t>
      </w:r>
      <w:r>
        <w:rPr>
          <w:rFonts w:ascii="Times New Roman" w:hAnsi="Times New Roman"/>
          <w:b/>
          <w:sz w:val="20"/>
          <w:u w:val="single"/>
        </w:rPr>
        <w:t>Locked Box Accounts</w:t>
      </w:r>
      <w:r>
        <w:rPr>
          <w:rFonts w:ascii="Times New Roman" w:hAnsi="Times New Roman"/>
          <w:sz w:val="20"/>
        </w:rPr>
        <w:t xml:space="preserve">. The Locked Box Accounts have been prepared with due care and attention and on a basis consistent with the accounting policies, practices and methods used in the preparation of the Company Financial Statements and in accordance with the Accounting Standards. The Locked Box Accounts do not materially overstate the assets nor materially understate the liabilities and obligations (whether actual, contingent or otherwise) of the Companies and their Subsidiaries as at the Locked Box Date, are not misleading in any material respect and contain no material omission or material errors. Without limiting the foregoing, except as Disclosed, Saltire Romania has no outstanding indebtedness, intra-group receivables or payables, overdue trade payables or other material liabilities, whether actual or contingent.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4.24</w:t>
      </w:r>
      <w:r>
        <w:rPr>
          <w:rFonts w:ascii="Times New Roman" w:hAnsi="Times New Roman"/>
          <w:sz w:val="20"/>
        </w:rPr>
        <w:t xml:space="preserve"> </w:t>
      </w:r>
      <w:r>
        <w:rPr>
          <w:rFonts w:ascii="Times New Roman" w:hAnsi="Times New Roman"/>
          <w:b/>
          <w:sz w:val="20"/>
          <w:u w:val="single"/>
        </w:rPr>
        <w:t>No Undisclosed Liabilities</w:t>
      </w:r>
      <w:r>
        <w:rPr>
          <w:rFonts w:ascii="Times New Roman" w:hAnsi="Times New Roman"/>
          <w:sz w:val="20"/>
        </w:rPr>
        <w:t xml:space="preserve">. The Companies or their Subsidiaries do not have any material liabilities other than those: (a) specifically reflected and reserved against in the Company Financial Statements, (b) of the same nature as those reflected and reserved against in the Company Financial Statements and incurred in the Ordinary Course of Business since the Balance Sheet Date (none of which is a liability resulting from breach of Contract, breach of warranty, tort, infringement, misappropriation or any environmental, health or safety matter) or (c) specifically reflected and reserved against in the Locked Box Accounts. </w:t>
      </w:r>
    </w:p>
    <w:p>
      <w:pPr>
        <w:pStyle w:val="TextBody"/>
        <w:bidi w:val="0"/>
        <w:spacing w:before="240" w:after="0"/>
        <w:jc w:val="left"/>
        <w:rPr>
          <w:rFonts w:ascii="Times New Roman" w:hAnsi="Times New Roman"/>
          <w:sz w:val="20"/>
        </w:rPr>
      </w:pPr>
      <w:r>
        <w:rPr>
          <w:rFonts w:ascii="Times New Roman" w:hAnsi="Times New Roman"/>
          <w:b/>
          <w:sz w:val="20"/>
        </w:rPr>
        <w:t>4.25</w:t>
      </w:r>
      <w:r>
        <w:rPr>
          <w:rFonts w:ascii="Times New Roman" w:hAnsi="Times New Roman"/>
          <w:sz w:val="20"/>
        </w:rPr>
        <w:t xml:space="preserve"> </w:t>
      </w:r>
      <w:r>
        <w:rPr>
          <w:rFonts w:ascii="Times New Roman" w:hAnsi="Times New Roman"/>
          <w:b/>
          <w:sz w:val="20"/>
          <w:u w:val="single"/>
        </w:rPr>
        <w:t>Books and Records</w:t>
      </w:r>
      <w:r>
        <w:rPr>
          <w:rFonts w:ascii="Times New Roman" w:hAnsi="Times New Roman"/>
          <w:b/>
          <w:sz w:val="20"/>
        </w:rPr>
        <w:t>.</w:t>
      </w:r>
      <w:r>
        <w:rPr>
          <w:rFonts w:ascii="Times New Roman" w:hAnsi="Times New Roman"/>
          <w:sz w:val="20"/>
        </w:rPr>
        <w:t xml:space="preserve"> All accounts, books, ledgers, financial and other records of the Companies and their Subsidiaries have been kept in accordance with and comply with the requirements of all applicable Law, and are in the possession or under the direct and exclusive control of the Companies and their Subsidiaries. The Companies and their Subsidiaries have not received any written notice that the information contained in any of the accounts, books, ledgers, financial and other records is incorrect, incomplete or should be rectified, and there are no circumstances which might reasonably be expected to lead to any such notice or allegation being served on the Companies and the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WARRANTIES OF THE SELLERS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each Seller hereby warrants, jointly and severally, to and for the benefit of Buyer as follows as at the date of this Agreement (or, if made as of a specified date, as of such date) and, in the case of the Fundamental Warranties only, separately as at the Closing Date (or, if made as of a specified date, as of such date):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Authority; Enforceability; Title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Seller has power and authority or capacity, as the case may be, to enter into and perform its obligations under this Agreement and the other transaction documents contemplated hereby to which each Seller is or will be a party (collectively, the “</w:t>
      </w:r>
      <w:r>
        <w:rPr>
          <w:rFonts w:ascii="Times New Roman" w:hAnsi="Times New Roman"/>
          <w:b/>
          <w:i/>
          <w:sz w:val="20"/>
        </w:rPr>
        <w:t>Seller Documents</w:t>
      </w:r>
      <w:r>
        <w:rPr>
          <w:rFonts w:ascii="Times New Roman" w:hAnsi="Times New Roman"/>
          <w:sz w:val="20"/>
        </w:rPr>
        <w:t xml:space="preserve">”) and to consummate the transactions contemplated hereby and thereby. The execution and delivery of this Agreement and the Seller Documents, and the consummation of the transactions contemplated hereby and thereby, have been duly and validly authorized by each Seller. This Agreement and the Seller Documents have been (or, as applicable, will be as of the Closing) duly and validly executed and delivered by the Sellers and constitute the legal, valid and binding obligations of the Sellers, enforceable against each Seller in accordance with their respective terms, except as limited by the General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(b) Each Seller (other than the Trustee Seller) is an individual and has the capacity to execute and deliver this Agreement and the Seller Documents, to perform its obligations hereunder and thereunder and to consummate the transactions contemplated hereby and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Seller (other than the Trustee Seller and the Loggie Trustee Sellers) is the legal and beneficial owner of the shares of the Company Capital Stock set forth opposite its name in </w:t>
      </w:r>
      <w:r>
        <w:rPr>
          <w:rFonts w:ascii="Times New Roman" w:hAnsi="Times New Roman"/>
          <w:b/>
          <w:i/>
          <w:sz w:val="20"/>
        </w:rPr>
        <w:t>Exhibit D</w:t>
      </w:r>
      <w:r>
        <w:rPr>
          <w:rFonts w:ascii="Times New Roman" w:hAnsi="Times New Roman"/>
          <w:sz w:val="20"/>
        </w:rPr>
        <w:t xml:space="preserve">, and each Seller has good and valid title to such shares of the Company Capital Stock, free and clear of all Liens. The Trustee Seller is the legal owner of the shares of the Company Capital Stock set forth opposite its name in </w:t>
      </w:r>
      <w:r>
        <w:rPr>
          <w:rFonts w:ascii="Times New Roman" w:hAnsi="Times New Roman"/>
          <w:b/>
          <w:i/>
          <w:sz w:val="20"/>
        </w:rPr>
        <w:t>Exhibit D</w:t>
      </w:r>
      <w:r>
        <w:rPr>
          <w:rFonts w:ascii="Times New Roman" w:hAnsi="Times New Roman"/>
          <w:sz w:val="20"/>
        </w:rPr>
        <w:t xml:space="preserve">, which shares are held for the sole benefit of the beneficiaries of the Cansco Limited Employee Trust 2007. The Loggie Trustee Sellers are the legal owners of the shares of the Company Capital Stock set forth opposite their name in </w:t>
      </w:r>
      <w:r>
        <w:rPr>
          <w:rFonts w:ascii="Times New Roman" w:hAnsi="Times New Roman"/>
          <w:b/>
          <w:i/>
          <w:sz w:val="20"/>
        </w:rPr>
        <w:t>Exhibit D</w:t>
      </w:r>
      <w:r>
        <w:rPr>
          <w:rFonts w:ascii="Times New Roman" w:hAnsi="Times New Roman"/>
          <w:sz w:val="20"/>
        </w:rPr>
        <w:t xml:space="preserve">, which shares are held for the sole benefit of the beneficiaries of The Loggie Family Trust. There is no Lien, option, right of pre-emption, right of first or last refusal or other third party right over any of the Company Capital Stock owned by each Seller. Each Seller is not a party to (a) any option, warrant, purchase right or other Contract (other than this Agreement) that could require each Seller to sell, transfer or otherwise dispose of any Equity Interests of the Companies or (b) any voting trust, proxy, or other agreement or understanding with respect to the voting of any Equity Interests of the Companies. At the Closing, each Seller shall sell, transfer and convey the Company Capital Stock owned by the Seller to Buyer free and clear of all Liens (other than restrictions on transfer under applicable securities laws). Other than the Company Capital Stock set forth opposite its name in </w:t>
      </w:r>
      <w:r>
        <w:rPr>
          <w:rFonts w:ascii="Times New Roman" w:hAnsi="Times New Roman"/>
          <w:b/>
          <w:i/>
          <w:sz w:val="20"/>
        </w:rPr>
        <w:t>Exhibit D</w:t>
      </w:r>
      <w:r>
        <w:rPr>
          <w:rFonts w:ascii="Times New Roman" w:hAnsi="Times New Roman"/>
          <w:sz w:val="20"/>
        </w:rPr>
        <w:t xml:space="preserve">, the Seller does not own any other Equity Interests of the Companies, securities, instruments or rights convertible into Equity Interests of the Companies. </w:t>
      </w:r>
    </w:p>
    <w:p>
      <w:pPr>
        <w:pStyle w:val="TextBody"/>
        <w:bidi w:val="0"/>
        <w:spacing w:before="240" w:after="0"/>
        <w:jc w:val="left"/>
        <w:rPr>
          <w:rFonts w:ascii="Times New Roman" w:hAnsi="Times New Roman"/>
          <w:sz w:val="20"/>
        </w:rPr>
      </w:pPr>
      <w:r>
        <w:rPr>
          <w:rFonts w:ascii="Times New Roman" w:hAnsi="Times New Roman"/>
          <w:sz w:val="20"/>
        </w:rPr>
        <w:t>(d) The Trustee Seller is the only trustee of the Cansco Limited Employee Trust 2007 and no action is being taken, or is proposed to be taken, to remove the Trustee Seller as trustee of the Cansco Limited Employee Trust 2007. The Trustee Seller has the power under the trust deed dated September 14, 2007 and executed by the Trustee Seller (the “</w:t>
      </w:r>
      <w:r>
        <w:rPr>
          <w:rFonts w:ascii="Times New Roman" w:hAnsi="Times New Roman"/>
          <w:b/>
          <w:i/>
          <w:sz w:val="20"/>
        </w:rPr>
        <w:t>Trust Deed</w:t>
      </w:r>
      <w:r>
        <w:rPr>
          <w:rFonts w:ascii="Times New Roman" w:hAnsi="Times New Roman"/>
          <w:sz w:val="20"/>
        </w:rPr>
        <w:t xml:space="preserve">”) and law to enter into this Agreement and all other Seller Documents to be executed by the Trustee Seller and to perform its obligations thereunder and hereunder. The Trustee Seller is not in default under the Trust Deed in any material respect. </w:t>
      </w:r>
    </w:p>
    <w:p>
      <w:pPr>
        <w:pStyle w:val="TextBody"/>
        <w:bidi w:val="0"/>
        <w:spacing w:before="240" w:after="0"/>
        <w:jc w:val="left"/>
        <w:rPr>
          <w:rFonts w:ascii="Times New Roman" w:hAnsi="Times New Roman"/>
          <w:sz w:val="20"/>
        </w:rPr>
      </w:pPr>
      <w:r>
        <w:rPr>
          <w:rFonts w:ascii="Times New Roman" w:hAnsi="Times New Roman"/>
          <w:sz w:val="20"/>
        </w:rPr>
        <w:t>(e) The Loggie Trustee Sellers are the only trustees of The Loggie Family Trust and no action is being taken, or is proposed to be taken, to remove the Loggie Trustee Sellers as trustees of The Loggie Family Trust. The Loggie Trustee Sellers have the power under the trust deed dated October 5, 2026 and executed by Michael David Loggie (the “</w:t>
      </w:r>
      <w:r>
        <w:rPr>
          <w:rFonts w:ascii="Times New Roman" w:hAnsi="Times New Roman"/>
          <w:b/>
          <w:i/>
          <w:sz w:val="20"/>
        </w:rPr>
        <w:t>Loggie Trust Deed</w:t>
      </w:r>
      <w:r>
        <w:rPr>
          <w:rFonts w:ascii="Times New Roman" w:hAnsi="Times New Roman"/>
          <w:sz w:val="20"/>
        </w:rPr>
        <w:t xml:space="preserve">”) and law to enter into this Agreement and all other Seller Documents to be executed by the Loggie Trustee Sellers and to perform their obligations thereunder and hereunder. The Loggie Trustee Sellers are not in default under the Loggie Trust Deed in any material respect.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Solvency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None of the Sellers: </w:t>
      </w:r>
    </w:p>
    <w:p>
      <w:pPr>
        <w:pStyle w:val="TextBody"/>
        <w:bidi w:val="0"/>
        <w:spacing w:before="240" w:after="0"/>
        <w:jc w:val="left"/>
        <w:rPr>
          <w:rFonts w:ascii="Times New Roman" w:hAnsi="Times New Roman"/>
          <w:sz w:val="20"/>
        </w:rPr>
      </w:pPr>
      <w:r>
        <w:rPr>
          <w:rFonts w:ascii="Times New Roman" w:hAnsi="Times New Roman"/>
          <w:sz w:val="20"/>
        </w:rPr>
        <w:t xml:space="preserve">(i) has had a bankruptcy petition pending or threatened against them or been declared bankrupt in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(ii) is insolvent or bankrupt under the laws of its jurisdiction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(iii) has been served with a statutory demand in any jurisdiction, or is unable to pay its debts as they fall due within the meaning of the Insolvency Act 1986 of the United Kingdom, and has not proposed nor is it liable to effect any arrangement (whether by court process or otherwise) under which its creditors (or any group of them) would receive less than the amounts due to them; or </w:t>
      </w:r>
    </w:p>
    <w:p>
      <w:pPr>
        <w:pStyle w:val="TextBody"/>
        <w:bidi w:val="0"/>
        <w:spacing w:before="240" w:after="0"/>
        <w:jc w:val="left"/>
        <w:rPr>
          <w:rFonts w:ascii="Times New Roman" w:hAnsi="Times New Roman"/>
          <w:sz w:val="20"/>
        </w:rPr>
      </w:pPr>
      <w:r>
        <w:rPr>
          <w:rFonts w:ascii="Times New Roman" w:hAnsi="Times New Roman"/>
          <w:sz w:val="20"/>
        </w:rPr>
        <w:t xml:space="preserve">(iv) is subject to an Insolvency Event in any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Cansco Limited Employee Trust 2007 is not insolvent or bankrupt under the laws of its jurisdiction of establishment, nor has the Trustee Seller had a bankruptcy petition presented against it or been declared bankrupt in any jurisdiction, the Trustee Seller is not unable to pay its debts as they fall due and has not proposed and is not liable to any arrangement (whether by court process or otherwise) under which its creditors (or any group of them) would receive less than the amounts due to them. </w:t>
      </w:r>
    </w:p>
    <w:p>
      <w:pPr>
        <w:pStyle w:val="TextBody"/>
        <w:bidi w:val="0"/>
        <w:spacing w:before="240" w:after="0"/>
        <w:jc w:val="left"/>
        <w:rPr>
          <w:rFonts w:ascii="Times New Roman" w:hAnsi="Times New Roman"/>
          <w:sz w:val="20"/>
        </w:rPr>
      </w:pPr>
      <w:r>
        <w:rPr>
          <w:rFonts w:ascii="Times New Roman" w:hAnsi="Times New Roman"/>
          <w:sz w:val="20"/>
        </w:rPr>
        <w:t xml:space="preserve">(c) The Loggie Family Trust is not insolvent or bankrupt under the laws of its jurisdiction of establishment, nor have the Loggie Trustee Sellers had a bankruptcy petition presented against them or been declared bankrupt in any jurisdiction, the Loggie Trustee Sellers are not unable to pay their debts as they fall due and have not proposed and are not liable to any arrangement (whether by court process or otherwise) under which their creditors (or any group of them) would receive less than the amounts due to them.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Legal Proceedings</w:t>
      </w:r>
      <w:r>
        <w:rPr>
          <w:rFonts w:ascii="Times New Roman" w:hAnsi="Times New Roman"/>
          <w:sz w:val="20"/>
        </w:rPr>
        <w:t xml:space="preserve">. There are no Actions pending or threatened in writing or, to the Company’s Knowledge, otherwise threatened by any Governmental Authority against the Seller that would adversely affect the Seller’s performance under this Agreement or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w:t>
      </w:r>
      <w:r>
        <w:rPr>
          <w:rFonts w:ascii="Times New Roman" w:hAnsi="Times New Roman"/>
          <w:b/>
          <w:sz w:val="20"/>
          <w:u w:val="single"/>
        </w:rPr>
        <w:t>Consents</w:t>
      </w:r>
      <w:r>
        <w:rPr>
          <w:rFonts w:ascii="Times New Roman" w:hAnsi="Times New Roman"/>
          <w:sz w:val="20"/>
        </w:rPr>
        <w:t xml:space="preserve">. No Consent is required to be obtained by the Seller in connection with the execution or performance of, or the consummation by the Seller of the transactions contemplated by, this Agreement or the Seller Documents, other than any Consent which, if not obtained, would not have a material impact on the ability of the Seller to consummate the transactions contemplated by this Agreement and the Seller Documents. </w:t>
      </w:r>
    </w:p>
    <w:p>
      <w:pPr>
        <w:pStyle w:val="TextBody"/>
        <w:bidi w:val="0"/>
        <w:spacing w:before="24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b/>
          <w:sz w:val="20"/>
          <w:u w:val="single"/>
        </w:rPr>
        <w:t>No Brokers</w:t>
      </w:r>
      <w:r>
        <w:rPr>
          <w:rFonts w:ascii="Times New Roman" w:hAnsi="Times New Roman"/>
          <w:sz w:val="20"/>
        </w:rPr>
        <w:t xml:space="preserve">. Except as Disclosed, no broker, finder or similar agent has been engaged by or on behalf of any Seller in connection with this Agreement, and to the Company’s Knowledge, no Person with which any Seller has had any dealings in connection with this Agreement is entitled to any brokerage commission, finder’s fee or any similar compensation. </w:t>
      </w:r>
    </w:p>
    <w:p>
      <w:pPr>
        <w:pStyle w:val="TextBody"/>
        <w:bidi w:val="0"/>
        <w:spacing w:before="24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b/>
          <w:sz w:val="20"/>
          <w:u w:val="single"/>
        </w:rPr>
        <w:t>No Conflicts</w:t>
      </w:r>
      <w:r>
        <w:rPr>
          <w:rFonts w:ascii="Times New Roman" w:hAnsi="Times New Roman"/>
          <w:sz w:val="20"/>
        </w:rPr>
        <w:t xml:space="preserve">. Neither the execution and delivery of this Agreement or the Seller Documents by the Sellers, nor the consummation by the Sellers of the transactions contemplated hereby or thereby, will (i) conflict with or result in a breach of any provisions of any Organizational Document of the Companies or any Seller (if applicable), the Trust Deed or the Loggie Trust Deed, (ii) constitute or result in the material breach of any term, condition or provision of, or constitute a material default under, or give rise to any right of termination, cancellation or acceleration with respect to, or result in the creation or imposition of any Lien upon, any property or assets of the Companies or the Seller or pursuant to any Contract to which the Companies or the Seller is a party or by which it or any of its properties or assets may be subject, and that would, in any such event, reasonably be expected to adversely affect in any material respect the ability of each Seller to consummate the transactions contemplated by this Agreement, or (iii) violate any Order or Law applicable to the Sellers or any of its properties or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WARRANTIES OF BUYER AND PARENT </w:t>
      </w:r>
    </w:p>
    <w:p>
      <w:pPr>
        <w:pStyle w:val="TextBody"/>
        <w:bidi w:val="0"/>
        <w:spacing w:before="240" w:after="0"/>
        <w:jc w:val="left"/>
        <w:rPr>
          <w:rFonts w:ascii="Times New Roman" w:hAnsi="Times New Roman"/>
          <w:sz w:val="20"/>
        </w:rPr>
      </w:pPr>
      <w:r>
        <w:rPr>
          <w:rFonts w:ascii="Times New Roman" w:hAnsi="Times New Roman"/>
          <w:sz w:val="20"/>
        </w:rPr>
        <w:t xml:space="preserve">Buyer and Parent hereby warrant to and for the benefit of the Companies and the Sellers as follows as at the date of this Agreement and separately as at the Closing Date: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Securities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Capital Stock is being acquired by Buyer for investment only and not with a view to distribution in violation of the Securities Act. Buyer has sufficient knowledge and experience in financial and business matters so as to be capable of evaluating the merits and risks of its investments pursuant hereto, and Buyer is capable of bearing the economic risk of such investments, including a complete loss thereof. Buyer understands and agrees that it may not sell or dispose of any shares of the Company Capital Stock other than pursuant to a registered offering or in a transaction exempt from the registration requirements of the Securities Act and applicable state securities Laws. Buyer is an accredited investor as defined in Rule 501(a) of Regulation D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(b) Parent is not a “</w:t>
      </w:r>
      <w:r>
        <w:rPr>
          <w:rFonts w:ascii="Times New Roman" w:hAnsi="Times New Roman"/>
          <w:b/>
          <w:i/>
          <w:sz w:val="20"/>
        </w:rPr>
        <w:t>shell company</w:t>
      </w:r>
      <w:r>
        <w:rPr>
          <w:rFonts w:ascii="Times New Roman" w:hAnsi="Times New Roman"/>
          <w:sz w:val="20"/>
        </w:rPr>
        <w:t xml:space="preserve">” as defined in Rule 144(i)(2) of the Securities Act.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Organization and Standing</w:t>
      </w:r>
      <w:r>
        <w:rPr>
          <w:rFonts w:ascii="Times New Roman" w:hAnsi="Times New Roman"/>
          <w:sz w:val="20"/>
        </w:rPr>
        <w:t xml:space="preserve">. Buyer is a private company with limited liability, with its registered office at Unit 4 &amp; 5 Enterprise Drive, Westhill Industrial Estate, Westhill, Scotland AB32 6TQ, Company Number SC328867 and has the requisite power and authority to conduct its business as presently conducted. Parent is a corporation duly organized, validly existing and in good standing under the Laws of the State of Delaware (subject, in the case of any matter relating to the election of directors of Parent, to obtaining the Parent Stockholder Approval or, in lieu thereof, a final, non-appealable order of the Court of Chancery of the State of Delaware pursuant to Section 205 of the DGCL) and has the requisite power and authority to conduct its business as presently conducted.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Authorization, Validity and Effect</w:t>
      </w:r>
      <w:r>
        <w:rPr>
          <w:rFonts w:ascii="Times New Roman" w:hAnsi="Times New Roman"/>
          <w:sz w:val="20"/>
        </w:rPr>
        <w:t>. Each of Buyer and Parent has all requisite power and authority to enter into and perform its obligations under this Agreement and the other agreements contemplated hereby to which Buyer or Parent is a party (the “</w:t>
      </w:r>
      <w:r>
        <w:rPr>
          <w:rFonts w:ascii="Times New Roman" w:hAnsi="Times New Roman"/>
          <w:b/>
          <w:i/>
          <w:sz w:val="20"/>
        </w:rPr>
        <w:t>Buyer Documents</w:t>
      </w:r>
      <w:r>
        <w:rPr>
          <w:rFonts w:ascii="Times New Roman" w:hAnsi="Times New Roman"/>
          <w:sz w:val="20"/>
        </w:rPr>
        <w:t xml:space="preserve">”) and to consummate the transactions contemplated hereby and thereby. The execution and delivery of this Agreement and the Buyer Documents, and the consummation of the transactions contemplated hereby and thereby, have been duly and validly authorized by all necessary action on the part of Buyer and Parent. This Agreement and the Buyer Documents have been (or, as applicable, will be as of the Closing) duly and validly executed and delivered by Buyer and Parent and constitute the legal, valid and binding obligations of Buyer and Parent, enforceable against Buyer and Parent in accordance with their respective terms, except as limited by the General Enforceability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u w:val="single"/>
        </w:rPr>
        <w:t>No Conflict; Required Filings and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execution and delivery of this Agreement or the Buyer Documents by Buyer or Parent, nor the consummation by Buyer or Parent of the transactions contemplated hereby or thereby, nor compliance by Buyer or Parent with any of the provisions hereof or thereof, will (i) subject to obtaining the Parent Stockholder Approval, conflict with or result in a breach of any provisions of any Organizational Document of Buyer or Parent, (ii) constitute or result in the breach of any term, condition or provision of, or constitute a default under, or give rise to any right of termination, cancellation or acceleration with respect to, or result in the creation or imposition of any Lien upon, any property or assets of Buyer or Parent or, pursuant to any note, bond, mortgage, indenture, license, agreement, lease or other instrument or obligation to which it is a party or by which it or any of its properties or assets may be subject, and that would, in any such event, reasonably be expected to materially and adversely affect the ability of Buyer or Parent to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(b) Except for (i) obtaining the Parent Stockholder Approval, (ii) the filing with the Securities and Exchange Commission (the “</w:t>
      </w:r>
      <w:r>
        <w:rPr>
          <w:rFonts w:ascii="Times New Roman" w:hAnsi="Times New Roman"/>
          <w:b/>
          <w:i/>
          <w:sz w:val="20"/>
        </w:rPr>
        <w:t>SEC</w:t>
      </w:r>
      <w:r>
        <w:rPr>
          <w:rFonts w:ascii="Times New Roman" w:hAnsi="Times New Roman"/>
          <w:sz w:val="20"/>
        </w:rPr>
        <w:t xml:space="preserve">”) of the Form S-4 Registration Statement, and (iii) the filing with NASDAQ of an additional listing application with respect to the DTI Common Stock to be issued to each Seller (other than the Trustee Seller) pursuant to </w:t>
      </w:r>
      <w:r>
        <w:rPr>
          <w:rFonts w:ascii="Times New Roman" w:hAnsi="Times New Roman"/>
          <w:sz w:val="20"/>
          <w:u w:val="single"/>
        </w:rPr>
        <w:t>Section 2.2(d)</w:t>
      </w:r>
      <w:r>
        <w:rPr>
          <w:rFonts w:ascii="Times New Roman" w:hAnsi="Times New Roman"/>
          <w:sz w:val="20"/>
        </w:rPr>
        <w:t xml:space="preserve">, no Consent is required to be obtained by Buyer or Parent for the consummation by Buyer or Parent of the transactions contemplated by this Agreement. Parent has all authorities required in order to issue the DTI Common Stock in accordance with the terms of this Agreement, subject to obtaining the Parent Stockholder Approval.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u w:val="single"/>
        </w:rPr>
        <w:t>Legal Proceedings</w:t>
      </w:r>
      <w:r>
        <w:rPr>
          <w:rFonts w:ascii="Times New Roman" w:hAnsi="Times New Roman"/>
          <w:sz w:val="20"/>
        </w:rPr>
        <w:t xml:space="preserve">. There are no Actions pending or, to Buyer’s or Parent’s knowledge, threatened against Buyer, Parent or any of their respective Affiliates, and there are no material Orders to which Buyer, Parent or any of their respective Affiliates is a party or by which Buyer, Parent or any of their respective Affiliates is bound, that would adversely affect Buyer’s or Parent’s performance under this Agreement, including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u w:val="single"/>
        </w:rPr>
        <w:t>No Brokers</w:t>
      </w:r>
      <w:r>
        <w:rPr>
          <w:rFonts w:ascii="Times New Roman" w:hAnsi="Times New Roman"/>
          <w:sz w:val="20"/>
        </w:rPr>
        <w:t xml:space="preserve">. No broker, finder or similar agent has been engaged by or on behalf of Buyer or Parent that is payable by the Companies or the Sellers, and no Person is entitled to any brokerage commission, finder’s fee or any similar compensation that is payable by the Companies or the Sellers, in connection with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Due Diligence</w:t>
      </w:r>
      <w:r>
        <w:rPr>
          <w:rFonts w:ascii="Times New Roman" w:hAnsi="Times New Roman"/>
          <w:sz w:val="20"/>
        </w:rPr>
        <w:t xml:space="preserve">. Buyer acknowledges that it has had the opportunity to visit with the Companies and meet with their officers and other representatives to conduct a due diligence review of the business, assets, liabilities, financial condition, cash flows and operations of the Companies.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Independent Investigation; Acknowledgments; Non-Reliance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its investment decision, Buyer, Parent and/or their representatives acknowledge and agree that Buyer has conducted its own inquiry and investigation into, and due diligence review of, the Companies and its business, assets, liabilities, financial condition, cash flows and operations as desired by Buyer, and Buyer has formed an independent judgement concerning the Companies and the Sellers, and the business, management, finances, operations, properties and assets of the Companies. The purchase of the Company Capital Stock by Buyer and its consummation of the transactions contemplated hereby are not done in reliance upon any representation or warranty (express or implied) of any kind, or of any omission by, or on the basis of any information received from, the Sellers, the Companies or any of their respective Affiliates, employees, advisors or representatives, whether oral or written, express or implied, with respect to the Companies and/or the business, management, finances, operations, properties and assets of the Companies, the transactions contemplated by this Agreement and/or any matter relating thereto, except for the warranties specifically and expressly set forth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(in each case, as qualified by the circumstances and matters Disclosed in the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generality of the foregoing, neither the Buyer nor any Buyer Indemnified Party shall have any claim or right to recovery pursuant to </w:t>
      </w:r>
      <w:r>
        <w:rPr>
          <w:rFonts w:ascii="Times New Roman" w:hAnsi="Times New Roman"/>
          <w:sz w:val="20"/>
          <w:u w:val="single"/>
        </w:rPr>
        <w:t>Article X</w:t>
      </w:r>
      <w:r>
        <w:rPr>
          <w:rFonts w:ascii="Times New Roman" w:hAnsi="Times New Roman"/>
          <w:sz w:val="20"/>
        </w:rPr>
        <w:t xml:space="preserve"> or otherwise, and none of the Companies, the Seller Representative, the Sellers or any other Person shall have or be subject to any liability to Buyer or any other Person, with respect to (i) any information, documents or materials furnished, delivered or made available by the Companies or its officers, directors, employees, agents or advisors to Buyer or its representatives, in certain “data rooms”, management presentations or any other form in contemplation of the transactions contemplated hereby or (ii) any projections, forecasts, estimates, plans or budgets of future revenue, expenses or expenditures, future results of operations (or any component thereof), future cash flows (or any component thereof) or future financial condition (or any component thereof) of the Companies or the future business, operations, or affairs of the Companies heretofore or hereafter delivered to or made available to Buyer or its representatives, except to the extent expressly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(as qualified by the circumstances and matters Disclosed in the Disclosure Letter).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u w:val="single"/>
        </w:rPr>
        <w:t>Sanctions Laws</w:t>
      </w:r>
      <w:r>
        <w:rPr>
          <w:rFonts w:ascii="Times New Roman" w:hAnsi="Times New Roman"/>
          <w:sz w:val="20"/>
        </w:rPr>
        <w:t xml:space="preserve">. Neither Buyer, Parent, nor any Person who performs or has performed services for them or on their behalf, has done or failed to do any act or thing the doing or omission of which contravenes the provisions of any Sanctions Laws.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u w:val="single"/>
        </w:rPr>
        <w:t>Anti-Corruption Laws</w:t>
      </w:r>
      <w:r>
        <w:rPr>
          <w:rFonts w:ascii="Times New Roman" w:hAnsi="Times New Roman"/>
          <w:sz w:val="20"/>
        </w:rPr>
        <w:t xml:space="preserve">. Neither Buyer, Parent nor any Person who performs or has performed services for them or on their behalf, is or has been the subject of any actual, pending or threatened complaint, action, investigation, enforcement proceedings or prosecution under Anti-Corruption Laws and there are no circumstances which are reasonably likely to lead to such a complaint, action, investigation, enforcement proceedings or prosecution. Each of Buyer and Parent has (and has maintained at all times) adequate policies and procedures designed to ensure continued compliance with Anti-Corruption Laws by Buyer or Parent, as applicable, and any Person who performs or has at any time performed services for them or on their behalf. </w:t>
      </w:r>
    </w:p>
    <w:p>
      <w:pPr>
        <w:pStyle w:val="TextBody"/>
        <w:bidi w:val="0"/>
        <w:spacing w:before="240" w:after="0"/>
        <w:jc w:val="left"/>
        <w:rPr>
          <w:rFonts w:ascii="Times New Roman" w:hAnsi="Times New Roman"/>
          <w:b/>
          <w:sz w:val="20"/>
        </w:rPr>
      </w:pPr>
      <w:r>
        <w:rPr>
          <w:rFonts w:ascii="Times New Roman" w:hAnsi="Times New Roman"/>
          <w:b/>
          <w:sz w:val="20"/>
        </w:rPr>
        <w:t xml:space="preserve">6.11 </w:t>
      </w:r>
      <w:r>
        <w:rPr>
          <w:rFonts w:ascii="Times New Roman" w:hAnsi="Times New Roman"/>
          <w:b/>
          <w:sz w:val="20"/>
          <w:u w:val="single"/>
        </w:rPr>
        <w:t>Reports; Financial Statements; Internal Controls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reports, schedules, forms, statements and other documents (including exhibits and all other information incorporated by reference therein) required to be filed or furnished by Parent with the SEC under the Exchange Act or Securities Act since the Lookback Date (the “</w:t>
      </w:r>
      <w:r>
        <w:rPr>
          <w:rFonts w:ascii="Times New Roman" w:hAnsi="Times New Roman"/>
          <w:b/>
          <w:i/>
          <w:sz w:val="20"/>
        </w:rPr>
        <w:t>Parent SEC Documents</w:t>
      </w:r>
      <w:r>
        <w:rPr>
          <w:rFonts w:ascii="Times New Roman" w:hAnsi="Times New Roman"/>
          <w:sz w:val="20"/>
        </w:rPr>
        <w:t xml:space="preserve">”) have been filed or furnished by or on behalf of Parent with the SEC on a timely basis. As of the time it was filed with the SEC (or, if amended or superseded, then on the date of such amended or superseding filing): (i) each of the Parent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Parent SEC Document was filed (subject, in the case of any matter relating to the election of directors of Parent, to obtaining the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 Approval); and (ii) none of the Parent SEC Documents contained any untrue statement of a material fact or omitted to state a material fact required to be stated therein or necessary in order to make the statements therein, in light of the circumstances under which they were made, not misleading. Since the Lookback Date, no executive officer of Parent has failed in any respect to make the certifications required of him or her under section 302 or 906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(b) The financial statements (including any related notes) contained or incorporated by reference in the Parent SEC Documents: (i) complied as to form in all material respects with the published rules and regulations of the SEC applicable thereto; (ii) were prepared in accordance with U.S. GAAP applied on a consistent basis throughout the periods covered (except as may be indicated in the notes to such financial statements or, in the case of unaudited statements, as permitted by the rules and regulations of the SEC applicable thereto, and except that unaudited financial statements may not contain footnotes and are subject to normal and recurring year-end adjustments); (iii) fairly present, in all material respects, the financial position of Parent and Parent’s consolidated subsidiaries as of the respective dates thereof and the results of operations and consolidated cash flows of Parent and Parent’s consolidated subsidiaries for the periods covered thereby subject, with respect to unaudited interim statements, to normal and recurring year-end adjustments; and (iv) have been prepared from, and are in accordance with, the books and records of Parent and Parent’s consolidated subsidiaries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Parent maintains disclosure controls as required by Rule 13a-15 or 15d-15 under the Exchange Act. As of the date of this Agreement, Parent is in compliance in all material respects with all current listing requirements of Nasdaq. </w:t>
      </w:r>
    </w:p>
    <w:p>
      <w:pPr>
        <w:pStyle w:val="TextBody"/>
        <w:bidi w:val="0"/>
        <w:spacing w:before="240" w:after="0"/>
        <w:jc w:val="left"/>
        <w:rPr>
          <w:rFonts w:ascii="Times New Roman" w:hAnsi="Times New Roman"/>
          <w:sz w:val="20"/>
        </w:rPr>
      </w:pPr>
      <w:r>
        <w:rPr>
          <w:rFonts w:ascii="Times New Roman" w:hAnsi="Times New Roman"/>
          <w:sz w:val="20"/>
        </w:rPr>
        <w:t xml:space="preserve">(d) Parent maintains, and at all times since the Lookback Date has maintained, a system of internal control over financial reporting (as defined in Rules 13a-15(f) and 15d-15(f) under the Exchange Act) which is designed to provide reasonable assurance regarding the reliability of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Parent and its consolidated subsidiaries; (ii) provide reasonable assurance that transactions are recorded as necessary to permit preparation of financial statements in conformity with U.S. GAAP and that receipts and expenditures are being made only in accordance with authorizations of management and directors of Parent; and (iii) provide reasonable assurance regarding prevention or timely detection of unauthorized acquisition, use or disposition of the assets of Parent and its consolidated subsidiaries that could have a material effect on the financial statements. Since the Lookback Date, management of Parent has disclosed to Parent’s auditors and the audit committee of Parent’s board of directors (x) any significant deficiencies or material weaknesses in the design and operation of internal controls over financial reporting and (y) any fraud, whether or not material, that involves management or any other employees who have a significant role in Parent’s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Since the Lookback Date, (i) none of Parent or any of its subsidiaries nor, to the knowledge of Parent, any director or officer of Parent or any of Parent’s subsidiaries has received or otherwise had or obtained knowledge of any material complaint, allegation, assertion or claim, whether written or oral, regarding accounting, internal accounting controls or auditing practices, procedures, methodologies or methods of Parent or any of its subsidiaries or any material complaint, allegation, assertion or claim from employees of Parent or any of its subsidiaries regarding questionable accounting or auditing matters with respect to Parent or any of its subsidiaries, and (ii) to the knowledge of Parent, no attorney representing Parent or any of its subsidiaries, whether or not employed by Parent or any of its subsidiaries, has reported evidence of a violation of securities laws, breach of fiduciary duty or similar violation by Parent, any of its subsidiaries or any of their respective officers, directors, employees or agents to the Parent’s board of directors or any committee thereof, or to the General Counsel or Chief Executive Officer of Parent.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of this Agreement, Grant Thornton LLP has not resigned (or informed Parent that it intends to resign) or been dismissed as independent public accountants of Parent. </w:t>
      </w:r>
    </w:p>
    <w:p>
      <w:pPr>
        <w:pStyle w:val="TextBody"/>
        <w:bidi w:val="0"/>
        <w:spacing w:before="240" w:after="0"/>
        <w:jc w:val="left"/>
        <w:rPr>
          <w:rFonts w:ascii="Times New Roman" w:hAnsi="Times New Roman"/>
          <w:sz w:val="20"/>
        </w:rPr>
      </w:pPr>
      <w:r>
        <w:rPr>
          <w:rFonts w:ascii="Times New Roman" w:hAnsi="Times New Roman"/>
          <w:sz w:val="20"/>
        </w:rPr>
        <w:t xml:space="preserve">(g) As of the date of this Agreement, there are no outstanding or unresolved comments in comment letters received from the SEC with respect to the Parent SEC Documents, and none of the Parent SEC Documents is, to the knowledge of Parent, the subject of ongoing SEC review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(h) Neither Parent nor any of its subsidiaries is a party to, or has a commitment to effect, enter into or create, any joint venture or “off-balance sheet arrangement” (as defined in Item 303(a) of Regulation S-K under the Exchange Act), in each case where the purpose or effect of such arrangement is to avoid disclosure of any material transaction involving, or material liabilities of, Parent or any of its subsidiaries in the Parent SEC Documents (including any audited financial statements and unaudited interim financial statements of Parent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(i) Neither Parent nor any of its subsidiaries has any liabilities of any nature or type (whether accrued, absolute, determined, contingent or otherwise and whether due or to become due), that would be required by U.S. GAAP to be reflected on a condensed consolidated balance sheet of Parent and its consolidated subsidiaries, except for: (i) liabilities disclosed in the financial statements (including any related notes) contained in the Most Recent Parent Balance Sheet; (ii) liabilities incurred in the ordinary course of business in a manner consistent with past practice since the date of the Most Recent Parent Balance Sheet; (iii) liabilities that, individually or in the aggregate, have not had and would not reasonably be expected to have a Parent Material Adverse Effect; and (iv) liabilities and obligations incurred in connection with this Agreement, the preparation and negotiation of this Agreement or the transactions contemplated by this Agreement. </w:t>
      </w:r>
    </w:p>
    <w:p>
      <w:pPr>
        <w:pStyle w:val="TextBody"/>
        <w:bidi w:val="0"/>
        <w:spacing w:before="240" w:after="0"/>
        <w:jc w:val="left"/>
        <w:rPr>
          <w:rFonts w:ascii="Times New Roman" w:hAnsi="Times New Roman"/>
          <w:sz w:val="20"/>
        </w:rPr>
      </w:pPr>
      <w:r>
        <w:rPr>
          <w:rFonts w:ascii="Times New Roman" w:hAnsi="Times New Roman"/>
          <w:b/>
          <w:sz w:val="20"/>
        </w:rPr>
        <w:t>6.12</w:t>
      </w:r>
      <w:r>
        <w:rPr>
          <w:rFonts w:ascii="Times New Roman" w:hAnsi="Times New Roman"/>
          <w:sz w:val="20"/>
        </w:rPr>
        <w:t xml:space="preserve"> </w:t>
      </w:r>
      <w:r>
        <w:rPr>
          <w:rFonts w:ascii="Times New Roman" w:hAnsi="Times New Roman"/>
          <w:b/>
          <w:sz w:val="20"/>
          <w:u w:val="single"/>
        </w:rPr>
        <w:t>Disclosure Documents</w:t>
      </w:r>
      <w:r>
        <w:rPr>
          <w:rFonts w:ascii="Times New Roman" w:hAnsi="Times New Roman"/>
          <w:sz w:val="20"/>
        </w:rPr>
        <w:t>. None of the information supplied or to be supplied by the Parent for inclusion or incorporation by reference in (i) the registration statement on Form S-4 to be filed with the SEC by Parent in connection with the issuance of the DTI Common Stock to the Sellers (other than the Trustee Seller) (including any amendments or supplements thereto, the “</w:t>
      </w:r>
      <w:r>
        <w:rPr>
          <w:rFonts w:ascii="Times New Roman" w:hAnsi="Times New Roman"/>
          <w:b/>
          <w:i/>
          <w:sz w:val="20"/>
        </w:rPr>
        <w:t>Form S-4 Registration Statement</w:t>
      </w:r>
      <w:r>
        <w:rPr>
          <w:rFonts w:ascii="Times New Roman" w:hAnsi="Times New Roman"/>
          <w:sz w:val="20"/>
        </w:rPr>
        <w:t>”) or (ii) the proxy statement to be sent to the stockholders of Parent in connection with the Parent Stockholders Meeting to seek the Parent Stockholder Approval (including any amendments or supplements thereto, and which will be included in the Form S-4 Registration Statement, the “</w:t>
      </w:r>
      <w:r>
        <w:rPr>
          <w:rFonts w:ascii="Times New Roman" w:hAnsi="Times New Roman"/>
          <w:b/>
          <w:i/>
          <w:sz w:val="20"/>
        </w:rPr>
        <w:t>Proxy Statement/Prospectus</w:t>
      </w:r>
      <w:r>
        <w:rPr>
          <w:rFonts w:ascii="Times New Roman" w:hAnsi="Times New Roman"/>
          <w:sz w:val="20"/>
        </w:rPr>
        <w:t xml:space="preserve">”) will, at the time the Form S-4 Registration Statement becomes effective under the Securities Act, at the date the Proxy Statement/Prospectus is first mailed to Parent’s stockholders or at the time of the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Meeting, contain any untrue statement of a material fact or omit to state any material fact required to be stated therein or necessary in order to make the statements therein, in light of the circumstances under which they are made, not misleading, except that, no warranty is made by Parent with respect to statements made therein based on information supplied by the Companies for inclusion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AND AGREEMENTS </w:t>
      </w:r>
    </w:p>
    <w:p>
      <w:pPr>
        <w:pStyle w:val="TextBody"/>
        <w:bidi w:val="0"/>
        <w:spacing w:before="24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Interim Operations</w:t>
      </w:r>
      <w:r>
        <w:rPr>
          <w:rFonts w:ascii="Times New Roman" w:hAnsi="Times New Roman"/>
          <w:sz w:val="20"/>
        </w:rPr>
        <w:t xml:space="preserve">. Between the date of this Agreement and the Closing or the earlier termination of this Agreement in accordance with </w:t>
      </w:r>
      <w:r>
        <w:rPr>
          <w:rFonts w:ascii="Times New Roman" w:hAnsi="Times New Roman"/>
          <w:sz w:val="20"/>
          <w:u w:val="single"/>
        </w:rPr>
        <w:t>Article IX</w:t>
      </w:r>
      <w:r>
        <w:rPr>
          <w:rFonts w:ascii="Times New Roman" w:hAnsi="Times New Roman"/>
          <w:sz w:val="20"/>
        </w:rPr>
        <w:t xml:space="preserve">, unless Buyer has previously consented in writing or as required by applicable Law, the Companies shall, and Sellers (other than the Trustee Seller) shall cause the Companies to use commercially reasonable efforts to conduct its business and operations in the Ordinary Course of Business. Without limiting the foregoing, between the date of this Agreement and the Closing or the earlier termination of this Agreement in accordance with </w:t>
      </w:r>
      <w:r>
        <w:rPr>
          <w:rFonts w:ascii="Times New Roman" w:hAnsi="Times New Roman"/>
          <w:sz w:val="20"/>
          <w:u w:val="single"/>
        </w:rPr>
        <w:t>Article IX</w:t>
      </w:r>
      <w:r>
        <w:rPr>
          <w:rFonts w:ascii="Times New Roman" w:hAnsi="Times New Roman"/>
          <w:sz w:val="20"/>
        </w:rPr>
        <w:t xml:space="preserve">, except as otherwise (A) required by applicable Law, (B) consented to in writing by Buyer (which consent Buyer may not unreasonably withhold, condition or delay), (C) undertaken at the express written instruction of Buyer, or (D) done in compliance with or required by the terms of this Agreement, the Companies shall not and shall cause their Subsidiaries not to do any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without prejudice to the generality of the foregoing and the other provisions of this </w:t>
      </w:r>
      <w:r>
        <w:rPr>
          <w:rFonts w:ascii="Times New Roman" w:hAnsi="Times New Roman"/>
          <w:sz w:val="20"/>
          <w:u w:val="single"/>
        </w:rPr>
        <w:t>Section 7.1</w:t>
      </w:r>
      <w:r>
        <w:rPr>
          <w:rFonts w:ascii="Times New Roman" w:hAnsi="Times New Roman"/>
          <w:sz w:val="20"/>
        </w:rPr>
        <w:t xml:space="preserve">, during the Locked Box Period, the Sellers (other than the Trustee Seller and the Loggie Trustee Sellers) shall procure that none of the Companies nor any of their Subsidiaries effects any Leakage (other than Permitted Leakage). The Sellers acknowledge that a purpose of this </w:t>
      </w:r>
      <w:r>
        <w:rPr>
          <w:rFonts w:ascii="Times New Roman" w:hAnsi="Times New Roman"/>
          <w:sz w:val="20"/>
          <w:u w:val="single"/>
        </w:rPr>
        <w:t>Section 7.1</w:t>
      </w:r>
      <w:r>
        <w:rPr>
          <w:rFonts w:ascii="Times New Roman" w:hAnsi="Times New Roman"/>
          <w:sz w:val="20"/>
        </w:rPr>
        <w:t xml:space="preserve"> is to preserve the economic value of the Companies and their Subsidiaries from and after the Locked Box Date. </w:t>
      </w:r>
    </w:p>
    <w:p>
      <w:pPr>
        <w:pStyle w:val="TextBody"/>
        <w:bidi w:val="0"/>
        <w:spacing w:before="240" w:after="0"/>
        <w:jc w:val="left"/>
        <w:rPr>
          <w:rFonts w:ascii="Times New Roman" w:hAnsi="Times New Roman"/>
          <w:sz w:val="20"/>
        </w:rPr>
      </w:pPr>
      <w:r>
        <w:rPr>
          <w:rFonts w:ascii="Times New Roman" w:hAnsi="Times New Roman"/>
          <w:sz w:val="20"/>
        </w:rPr>
        <w:t xml:space="preserve">(b) issue, grant, redeem or sell any Equity Interests or options, convertible securities, warrants, calls, subscriptions or other rights to issue, purchase or redeem any Equity Interests or convertible securities of the Companies, or issue or declare any non-cash dividends or distributions with respect thereto, or split, combine, reclassify or subdivide the Equity Interests of the Companies or issue any securities in exchange for, lieu of, or substitution for any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(c) other than in the Ordinary Course of Business: (i) transfer, lease or dispose of any material tangible property or assets of the Companies; or (ii) mortgage, encumber or subject to any Lien (other than Permitted Liens), any property or assets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(d) (i) transfer, assign, sell, lease, license, sublicense, abandon, permit to lapse or expire (other than expiration of Company Registered Intellectual Property in accordance with its maximum statutory term) or otherwise dispose of any Company-Owned IP, or (ii) disclose any trade secret or other confidential information included in the Company-Owned IP (other than in the Ordinary Course of Business in circumstances in which the Companies have imposed reasonable and customary confidentiality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incur any additional borrowings or incur any other indebtedness including any off balance sheet liabilities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amend, modify or affirmatively terminate any Material Contract (other than expirations or non-renewals in accordance with their respective terms); provided, that the Companies shall be permitted to extend, renew or replace any such Material Contract with one or more Contracts on substantially similar terms; </w:t>
      </w:r>
    </w:p>
    <w:p>
      <w:pPr>
        <w:pStyle w:val="TextBody"/>
        <w:bidi w:val="0"/>
        <w:spacing w:before="240" w:after="0"/>
        <w:jc w:val="left"/>
        <w:rPr>
          <w:rFonts w:ascii="Times New Roman" w:hAnsi="Times New Roman"/>
          <w:sz w:val="20"/>
        </w:rPr>
      </w:pPr>
      <w:r>
        <w:rPr>
          <w:rFonts w:ascii="Times New Roman" w:hAnsi="Times New Roman"/>
          <w:sz w:val="20"/>
        </w:rPr>
        <w:t xml:space="preserve">(g) (i) enter into, adopt, amend, modify, terminate, or increase the amount of benefits or compensation due under any Employee Plan or other benefit or compensation plan, program, Contract, or arrangement, including any agreement relating to the compensation or severance of any employee of the Companies, except to the extent required by Law or any existing agreements or Employee Plans in effect on the date hereof, (ii) grant any change in control or transaction bonus, severance, termination pay, benefits or other direct or indirect compensation to any current or former director, officer, employee or other individual service provider of the Companies, or (iii) take any action to accelerate the vesting, funding or payment of, the compensation or benefits to any current or former director, officer, employee or other individual service provider of the Companies, except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negotiate, modify, extend, terminate, or enter into any Labor Agreement, or recognize or certify any labour union, labour organization, works council, or group of employees as the bargaining representative for any employees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(i) implement or announce any employee layoffs, plant closings, reductions in force, furloughs, temporary layoffs, salary or wage reductions or work schedule changes; </w:t>
      </w:r>
    </w:p>
    <w:p>
      <w:pPr>
        <w:pStyle w:val="TextBody"/>
        <w:bidi w:val="0"/>
        <w:spacing w:before="240" w:after="0"/>
        <w:jc w:val="left"/>
        <w:rPr>
          <w:rFonts w:ascii="Times New Roman" w:hAnsi="Times New Roman"/>
          <w:sz w:val="20"/>
        </w:rPr>
      </w:pPr>
      <w:r>
        <w:rPr>
          <w:rFonts w:ascii="Times New Roman" w:hAnsi="Times New Roman"/>
          <w:sz w:val="20"/>
        </w:rPr>
        <w:t xml:space="preserve">(j) hire, engage, terminate (without cause), furlough, or temporarily layoff or make redundant any employee or independent contractor with annual compensation in excess of £100,000; </w:t>
      </w:r>
    </w:p>
    <w:p>
      <w:pPr>
        <w:pStyle w:val="TextBody"/>
        <w:bidi w:val="0"/>
        <w:spacing w:before="240" w:after="0"/>
        <w:jc w:val="left"/>
        <w:rPr>
          <w:rFonts w:ascii="Times New Roman" w:hAnsi="Times New Roman"/>
          <w:sz w:val="20"/>
        </w:rPr>
      </w:pPr>
      <w:r>
        <w:rPr>
          <w:rFonts w:ascii="Times New Roman" w:hAnsi="Times New Roman"/>
          <w:sz w:val="20"/>
        </w:rPr>
        <w:t xml:space="preserve">(k) waive or release any noncompetition, nonsolicitation, nondisclosure, noninterference, nondisparagement, or other restrictive covenant obligation of any current or former employee or independent contractor; </w:t>
      </w:r>
    </w:p>
    <w:p>
      <w:pPr>
        <w:pStyle w:val="TextBody"/>
        <w:bidi w:val="0"/>
        <w:spacing w:before="240" w:after="0"/>
        <w:jc w:val="left"/>
        <w:rPr>
          <w:rFonts w:ascii="Times New Roman" w:hAnsi="Times New Roman"/>
          <w:sz w:val="20"/>
        </w:rPr>
      </w:pPr>
      <w:r>
        <w:rPr>
          <w:rFonts w:ascii="Times New Roman" w:hAnsi="Times New Roman"/>
          <w:sz w:val="20"/>
        </w:rPr>
        <w:t xml:space="preserve">(l) directly or indirectly engage in any transaction, arrangement or contract with, or make any loan to, any Related Person, other than (A) in such person’s capacity as an employee or director of the Companies in the Ordinary Course of Business or (B) entering into the Property Leases; </w:t>
      </w:r>
    </w:p>
    <w:p>
      <w:pPr>
        <w:pStyle w:val="TextBody"/>
        <w:bidi w:val="0"/>
        <w:spacing w:before="240" w:after="0"/>
        <w:jc w:val="left"/>
        <w:rPr>
          <w:rFonts w:ascii="Times New Roman" w:hAnsi="Times New Roman"/>
          <w:sz w:val="20"/>
        </w:rPr>
      </w:pPr>
      <w:r>
        <w:rPr>
          <w:rFonts w:ascii="Times New Roman" w:hAnsi="Times New Roman"/>
          <w:sz w:val="20"/>
        </w:rPr>
        <w:t xml:space="preserve">(m) adversely modify, in any material respect, any standard billing or collection procedures, backlog conversion or revenue recognition policies used in the Ordinary Course of Business, including any such modification to billing practices in respect of annual maintenance or license or subscription fees; </w:t>
      </w:r>
    </w:p>
    <w:p>
      <w:pPr>
        <w:pStyle w:val="TextBody"/>
        <w:bidi w:val="0"/>
        <w:spacing w:before="240" w:after="0"/>
        <w:jc w:val="left"/>
        <w:rPr>
          <w:rFonts w:ascii="Times New Roman" w:hAnsi="Times New Roman"/>
          <w:sz w:val="20"/>
        </w:rPr>
      </w:pPr>
      <w:r>
        <w:rPr>
          <w:rFonts w:ascii="Times New Roman" w:hAnsi="Times New Roman"/>
          <w:sz w:val="20"/>
        </w:rPr>
        <w:t xml:space="preserve">(n) make any change to the Companies’ accounting methods, principles or practices, except as may be required by changes in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(i) make any Tax election inconsistent with past practices or outside of the Ordinary Course of Business or change or revoke any Tax election, change an annual accounting period or adopt or change any accounting method in each case otherwise than as required by applicable Law; (ii) settle or compromise any Action in respect of income or other material Taxes (other than Taxes that are set out in the EV to Equity Bridge); (iii) file any amended Tax Return save for to correct an immaterial error or as required by applicable Law; (iv) agree to or seek any extension or waiver of a statute of limitations in respect of any Tax; (v) surrender or compromise any right to claim a Tax refund; or (vi) take any position on any income or other material Tax Return that is inconsistent with past practice save for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(p) make any amendment to the Companies’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(q) acquire by merger or consolidation with, or merge or consolidate with, or purchase assets or otherwise acquire any business or division of, or acquire any Equity Interests in, any other Person, other than purchases of assets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(r) enter into or adopt any plan or agreement of complete or partial liquidation, dissolution, merger, consolidation, restructuring, recapitalization or other material reorganization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(s) institute Actions or enter into any settlements or compromises of any Actions, if such settlements or compromises would involve the imposition of any material non-monetary restrictions upon the Companies or which require a cash payment in excess of £100,000 (other than if such cash payment is to be paid in full by the Companies prior to Closing with no additional restrictions or liabilities on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(t) make or commit to making any capital expenditures in excess of £100,000; or </w:t>
      </w:r>
    </w:p>
    <w:p>
      <w:pPr>
        <w:pStyle w:val="TextBody"/>
        <w:bidi w:val="0"/>
        <w:spacing w:before="240" w:after="0"/>
        <w:jc w:val="left"/>
        <w:rPr>
          <w:rFonts w:ascii="Times New Roman" w:hAnsi="Times New Roman"/>
          <w:sz w:val="20"/>
        </w:rPr>
      </w:pPr>
      <w:r>
        <w:rPr>
          <w:rFonts w:ascii="Times New Roman" w:hAnsi="Times New Roman"/>
          <w:sz w:val="20"/>
        </w:rPr>
        <w:t xml:space="preserve">(u) propose, authorize or agree to take any of the actions described in the foregoing sub-clauses of this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 For the purposes of this </w:t>
      </w:r>
      <w:r>
        <w:rPr>
          <w:rFonts w:ascii="Times New Roman" w:hAnsi="Times New Roman"/>
          <w:sz w:val="20"/>
          <w:u w:val="single"/>
        </w:rPr>
        <w:t>Section 7.1</w:t>
      </w:r>
      <w:r>
        <w:rPr>
          <w:rFonts w:ascii="Times New Roman" w:hAnsi="Times New Roman"/>
          <w:sz w:val="20"/>
        </w:rPr>
        <w:t xml:space="preserve">, if the Companies deliver a written request to Buyer seeking consent to take any action described in this </w:t>
      </w:r>
      <w:r>
        <w:rPr>
          <w:rFonts w:ascii="Times New Roman" w:hAnsi="Times New Roman"/>
          <w:sz w:val="20"/>
          <w:u w:val="single"/>
        </w:rPr>
        <w:t>Section 7.1</w:t>
      </w:r>
      <w:r>
        <w:rPr>
          <w:rFonts w:ascii="Times New Roman" w:hAnsi="Times New Roman"/>
          <w:sz w:val="20"/>
        </w:rPr>
        <w:t xml:space="preserve"> and Buyer does not respond in writing (whether to grant or withhold such consent) within ten (10) Business Days of receipt of such request, Buyer shall be deemed to have consented to the action specified in such request. </w:t>
      </w:r>
    </w:p>
    <w:p>
      <w:pPr>
        <w:pStyle w:val="TextBody"/>
        <w:bidi w:val="0"/>
        <w:spacing w:before="240" w:after="0"/>
        <w:jc w:val="left"/>
        <w:rPr>
          <w:rFonts w:ascii="Times New Roman" w:hAnsi="Times New Roman"/>
          <w:sz w:val="20"/>
        </w:rPr>
      </w:pPr>
      <w:r>
        <w:rPr>
          <w:rFonts w:ascii="Times New Roman" w:hAnsi="Times New Roman"/>
          <w:sz w:val="20"/>
        </w:rPr>
        <w:t xml:space="preserve">(w) Notwithstanding anything to the contrary in this </w:t>
      </w:r>
      <w:r>
        <w:rPr>
          <w:rFonts w:ascii="Times New Roman" w:hAnsi="Times New Roman"/>
          <w:sz w:val="20"/>
          <w:u w:val="single"/>
        </w:rPr>
        <w:t>Section 7.1</w:t>
      </w:r>
      <w:r>
        <w:rPr>
          <w:rFonts w:ascii="Times New Roman" w:hAnsi="Times New Roman"/>
          <w:sz w:val="20"/>
        </w:rPr>
        <w:t xml:space="preserve">, the Sellers (other than the Trustee Seller) shall procure that Saltire Romania continues to take all steps reasonably necessary to progress and, if reasonably practicable prior to Closing, complete its voluntary dissolution, liquidation and strike-off from the Romanian Trade Register, including making all filings and taking all corporate and procedural steps required under applicable Romanian Law in connection with such process, maintaining a valid registered office until strike-off and taking the steps required in respect of the outstanding 2025 statutory financial statements, and shall keep the Buyer reasonably informed and consult with the Buyer in advance in relation to any material step. Any action taken in compliance with this </w:t>
      </w:r>
      <w:r>
        <w:rPr>
          <w:rFonts w:ascii="Times New Roman" w:hAnsi="Times New Roman"/>
          <w:sz w:val="20"/>
          <w:u w:val="single"/>
        </w:rPr>
        <w:t>Section 7.1(w)</w:t>
      </w:r>
      <w:r>
        <w:rPr>
          <w:rFonts w:ascii="Times New Roman" w:hAnsi="Times New Roman"/>
          <w:sz w:val="20"/>
        </w:rPr>
        <w:t xml:space="preserve"> shall not constitute a breach of any other provision of this </w:t>
      </w:r>
      <w:r>
        <w:rPr>
          <w:rFonts w:ascii="Times New Roman" w:hAnsi="Times New Roman"/>
          <w:sz w:val="20"/>
          <w:u w:val="single"/>
        </w:rPr>
        <w:t>Section 7.1</w:t>
      </w:r>
      <w:r>
        <w:rPr>
          <w:rFonts w:ascii="Times New Roman" w:hAnsi="Times New Roman"/>
          <w:sz w:val="20"/>
        </w:rPr>
        <w:t xml:space="preserve">. No breach of this </w:t>
      </w:r>
      <w:r>
        <w:rPr>
          <w:rFonts w:ascii="Times New Roman" w:hAnsi="Times New Roman"/>
          <w:sz w:val="20"/>
          <w:u w:val="single"/>
        </w:rPr>
        <w:t>Section 7.1(w)</w:t>
      </w:r>
      <w:r>
        <w:rPr>
          <w:rFonts w:ascii="Times New Roman" w:hAnsi="Times New Roman"/>
          <w:sz w:val="20"/>
        </w:rPr>
        <w:t xml:space="preserve"> shall constitute a failure to satisfy any condition to Closing set forth in </w:t>
      </w:r>
      <w:r>
        <w:rPr>
          <w:rFonts w:ascii="Times New Roman" w:hAnsi="Times New Roman"/>
          <w:sz w:val="20"/>
          <w:u w:val="single"/>
        </w:rPr>
        <w:t>Section 8.2</w:t>
      </w:r>
      <w:r>
        <w:rPr>
          <w:rFonts w:ascii="Times New Roman" w:hAnsi="Times New Roman"/>
          <w:sz w:val="20"/>
        </w:rPr>
        <w:t xml:space="preserve"> or give rise to a right of termination under </w:t>
      </w:r>
      <w:r>
        <w:rPr>
          <w:rFonts w:ascii="Times New Roman" w:hAnsi="Times New Roman"/>
          <w:sz w:val="20"/>
          <w:u w:val="single"/>
        </w:rPr>
        <w:t>Article IX</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Notification of Material Adverse Effect</w:t>
      </w:r>
      <w:r>
        <w:rPr>
          <w:rFonts w:ascii="Times New Roman" w:hAnsi="Times New Roman"/>
          <w:sz w:val="20"/>
        </w:rPr>
        <w:t xml:space="preserve">. Between the date of this Agreement and the Closing or the earlier termination of this Agreement in accordance with Article IX, each Seller (other than the Trustee Seller) shall (and the Sellers (other than the Trustee Seller and the Loggie Trustee Sellers) shall procure that the Companies shall) promptly notify the Buyer in writing (and in any event within ten (10) Business Days of becoming actually aware thereof) of any matter or circumstances or development of which such Seller or the Companies become actually aware that has resulted in, or could reasonably be expected to result in, a Material Adverse Effect, together with such details as are reasonably available and as the Seller reasonably considers material in the circumstances. For the avoidance of doubt, delivery of any such notification shall not (a) be deemed to amend or supplement the Disclosure Letter or otherwise qualify any warranty contained in this Agreement, (b) limit or affect the rights or remedies available to Buyer under this Agreement (including under Article IX), or (c) constitute an acknowledgement by the Sellers or the Companies that a Material Adverse Effect has occurred. </w:t>
      </w:r>
    </w:p>
    <w:p>
      <w:pPr>
        <w:pStyle w:val="TextBody"/>
        <w:bidi w:val="0"/>
        <w:spacing w:before="240" w:after="0"/>
        <w:jc w:val="left"/>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u w:val="single"/>
        </w:rPr>
        <w:t>Historic Scottish 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Sellers (other than the Trustee Seller) shall procure that, prior to Closing, and following agreement with the Buyer in respect of the Agreed Historic Lease Tax Amount, all outstanding Tax Returns related to Land and Buildings Transaction Tax and Stamp Duty Land Tax required to have been submitted in respect of each Historic Scottish Lease prior to its termination are duly submitted to the relevant Taxing Authority and that all Tax, interest and penalties due and payable on or before the Closing in respect thereof are timely paid. </w:t>
      </w:r>
    </w:p>
    <w:p>
      <w:pPr>
        <w:pStyle w:val="TextBody"/>
        <w:bidi w:val="0"/>
        <w:spacing w:before="240" w:after="0"/>
        <w:jc w:val="left"/>
        <w:rPr>
          <w:rFonts w:ascii="Times New Roman" w:hAnsi="Times New Roman"/>
          <w:sz w:val="20"/>
        </w:rPr>
      </w:pPr>
      <w:r>
        <w:rPr>
          <w:rFonts w:ascii="Times New Roman" w:hAnsi="Times New Roman"/>
          <w:sz w:val="20"/>
        </w:rPr>
        <w:t xml:space="preserve">(b) Following the termination of each Historic Scottish Lease, the Buyer shall procure that the relevant Company or Subsidiary submits any Tax Return related to Land and Buildings Transaction Tax and Stamp Duty Land Tax required as a consequence of that termination within the applicable statutory period. </w:t>
      </w:r>
    </w:p>
    <w:p>
      <w:pPr>
        <w:pStyle w:val="TextBody"/>
        <w:bidi w:val="0"/>
        <w:spacing w:before="240" w:after="0"/>
        <w:jc w:val="left"/>
        <w:rPr>
          <w:rFonts w:ascii="Times New Roman" w:hAnsi="Times New Roman"/>
          <w:sz w:val="20"/>
        </w:rPr>
      </w:pPr>
      <w:r>
        <w:rPr>
          <w:rFonts w:ascii="Times New Roman" w:hAnsi="Times New Roman"/>
          <w:sz w:val="20"/>
        </w:rPr>
        <w:t xml:space="preserve">(c) The Sellers (other than the Trustee Seller) shall promptly provide the Buyer, the relevant Company or Subsidiary and their respective advisers with all information, records and assistance reasonably required in connection with the preparation and submission of any Tax Return related to Land and Buildings Transaction Tax and Stamp Duty Land Tax referred to in paragraph (b). </w:t>
      </w:r>
    </w:p>
    <w:p>
      <w:pPr>
        <w:pStyle w:val="TextBody"/>
        <w:bidi w:val="0"/>
        <w:spacing w:before="240" w:after="0"/>
        <w:jc w:val="left"/>
        <w:rPr>
          <w:rFonts w:ascii="Times New Roman" w:hAnsi="Times New Roman"/>
          <w:sz w:val="20"/>
        </w:rPr>
      </w:pPr>
      <w:r>
        <w:rPr>
          <w:rFonts w:ascii="Times New Roman" w:hAnsi="Times New Roman"/>
          <w:sz w:val="20"/>
        </w:rPr>
        <w:t>(d) The Sellers (other than the Trustee Seller) shall provide to the Buyer, within a reasonable time period after the date of this Agreement, calculations in respect of the Land and Buildings Transaction Tax and Stamp Duty Land Tax payable in respect of each Historic Scottish Lease on or prior to Closing and the Sellers (other than the Trustee Seller and the Loggie Trustee Sellers) and the Buyer shall co-operate, each acting reasonably, in agreeing in writing the amount of such Land and Buildings Transaction Tax and Stamp Duty Land Tax, together with any interest and / or penalties thereon, (the “</w:t>
      </w:r>
      <w:r>
        <w:rPr>
          <w:rFonts w:ascii="Times New Roman" w:hAnsi="Times New Roman"/>
          <w:b/>
          <w:i/>
          <w:sz w:val="20"/>
        </w:rPr>
        <w:t>Agreed Historic Lease Tax Amount</w:t>
      </w:r>
      <w:r>
        <w:rPr>
          <w:rFonts w:ascii="Times New Roman" w:hAnsi="Times New Roman"/>
          <w:sz w:val="20"/>
        </w:rPr>
        <w:t xml:space="preserve">”) as soon as reasonably practicable so as to allow the Sellers (other than the Trustee Seller and the Loggie Trustee Sellers) to procure that the relevant Companies and / or Subsidiaries are able to prepare and file the Tax Returns related to such Taxes (to the extent the deadline for filing without interest and / or penalties falls prior to Closing) prior to Closing (without prejudice to </w:t>
      </w:r>
      <w:r>
        <w:rPr>
          <w:rFonts w:ascii="Times New Roman" w:hAnsi="Times New Roman"/>
          <w:sz w:val="20"/>
          <w:u w:val="single"/>
        </w:rPr>
        <w:t>Section 7.3(b)</w:t>
      </w:r>
      <w:r>
        <w:rPr>
          <w:rFonts w:ascii="Times New Roman" w:hAnsi="Times New Roman"/>
          <w:sz w:val="20"/>
        </w:rPr>
        <w:t xml:space="preserve"> in respect of the Buyer procuring the filings required as a consequence of the termination of the Historic Scottish Leases within the applicable statutory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7.4</w:t>
      </w:r>
      <w:r>
        <w:rPr>
          <w:rFonts w:ascii="Times New Roman" w:hAnsi="Times New Roman"/>
          <w:sz w:val="20"/>
        </w:rPr>
        <w:t xml:space="preserve"> </w:t>
      </w:r>
      <w:r>
        <w:rPr>
          <w:rFonts w:ascii="Times New Roman" w:hAnsi="Times New Roman"/>
          <w:b/>
          <w:sz w:val="20"/>
          <w:u w:val="single"/>
        </w:rPr>
        <w:t>Reasonable Access; 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the date hereof until the Closing Date or the earlier termination of this Agreement in accordance with </w:t>
      </w:r>
      <w:r>
        <w:rPr>
          <w:rFonts w:ascii="Times New Roman" w:hAnsi="Times New Roman"/>
          <w:sz w:val="20"/>
          <w:u w:val="single"/>
        </w:rPr>
        <w:t>Article IX</w:t>
      </w:r>
      <w:r>
        <w:rPr>
          <w:rFonts w:ascii="Times New Roman" w:hAnsi="Times New Roman"/>
          <w:sz w:val="20"/>
        </w:rPr>
        <w:t xml:space="preserve">, and subject to applicable Law, the Companies (A) shall use their commercially reasonable efforts to give Buyer, its Affiliates and their respective representatives, upon reasonable advance notice to the Companies, reasonable access, during normal business hours, to the officers, employees, directors, offices, personnel, books and records of the Companies with due regard to minimizing disruption of the conduct of the Companies’ businesses, (B) instruct its employees, counsel, accountants, financial advisors and other representatives to cooperate reasonably with the Buyer, and (C) cooperate with Buyer in Buyer’s preparation of a quality of earnings report. Notwithstanding anything to the contrary in this </w:t>
      </w:r>
      <w:r>
        <w:rPr>
          <w:rFonts w:ascii="Times New Roman" w:hAnsi="Times New Roman"/>
          <w:sz w:val="20"/>
          <w:u w:val="single"/>
        </w:rPr>
        <w:t>Section 7.4(a)</w:t>
      </w:r>
      <w:r>
        <w:rPr>
          <w:rFonts w:ascii="Times New Roman" w:hAnsi="Times New Roman"/>
          <w:sz w:val="20"/>
        </w:rPr>
        <w:t xml:space="preserve">, the Companies may withhold any document (or redact portions thereof) or information to the extent that (i) such information or document may constitute privileged attorney-client communications or attorney work product and the transfer of which, or the provision of access to which, as reasonably determined by the Companies’ counsel, may be deemed to constitute a waiver of any such privilege or (ii) the provision of access to such document (or portion thereof) or information, as reasonably determined by the Companies’ counsel, would conflict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Any information provided to or obtained by Buyer pursuant to </w:t>
      </w:r>
      <w:r>
        <w:rPr>
          <w:rFonts w:ascii="Times New Roman" w:hAnsi="Times New Roman"/>
          <w:sz w:val="20"/>
          <w:u w:val="single"/>
        </w:rPr>
        <w:t>Section 7.4(a)</w:t>
      </w:r>
      <w:r>
        <w:rPr>
          <w:rFonts w:ascii="Times New Roman" w:hAnsi="Times New Roman"/>
          <w:sz w:val="20"/>
        </w:rPr>
        <w:t xml:space="preserve"> will be subject to the Nondisclosure Agreement, dated October 24, 2024 by and between Saltire and Buyer (the “</w:t>
      </w:r>
      <w:r>
        <w:rPr>
          <w:rFonts w:ascii="Times New Roman" w:hAnsi="Times New Roman"/>
          <w:b/>
          <w:i/>
          <w:sz w:val="20"/>
        </w:rPr>
        <w:t>Confidentiality Agreement</w:t>
      </w:r>
      <w:r>
        <w:rPr>
          <w:rFonts w:ascii="Times New Roman" w:hAnsi="Times New Roman"/>
          <w:sz w:val="20"/>
        </w:rPr>
        <w:t xml:space="preserve">”), and must be held by Buyer in accordance with and be subject to the terms of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(c) Until the Closing, Buyer shall be bound by and comply with the provisions set forth in the Confidentiality Agreement as if such provisions were set forth herein, and such provisions are hereby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(d) The Confidentiality Agreement shall automatically terminate and be of no further force or effect upon the consummation of the Closing. </w:t>
      </w:r>
    </w:p>
    <w:p>
      <w:pPr>
        <w:pStyle w:val="TextBody"/>
        <w:bidi w:val="0"/>
        <w:spacing w:before="240" w:after="0"/>
        <w:jc w:val="left"/>
        <w:rPr>
          <w:rFonts w:ascii="Times New Roman" w:hAnsi="Times New Roman"/>
          <w:sz w:val="20"/>
        </w:rPr>
      </w:pPr>
      <w:r>
        <w:rPr>
          <w:rFonts w:ascii="Times New Roman" w:hAnsi="Times New Roman"/>
          <w:b/>
          <w:sz w:val="20"/>
        </w:rPr>
        <w:t>7.5</w:t>
      </w:r>
      <w:r>
        <w:rPr>
          <w:rFonts w:ascii="Times New Roman" w:hAnsi="Times New Roman"/>
          <w:sz w:val="20"/>
        </w:rPr>
        <w:t xml:space="preserve"> </w:t>
      </w:r>
      <w:r>
        <w:rPr>
          <w:rFonts w:ascii="Times New Roman" w:hAnsi="Times New Roman"/>
          <w:b/>
          <w:sz w:val="20"/>
          <w:u w:val="single"/>
        </w:rPr>
        <w:t>Publicity</w:t>
      </w:r>
      <w:r>
        <w:rPr>
          <w:rFonts w:ascii="Times New Roman" w:hAnsi="Times New Roman"/>
          <w:sz w:val="20"/>
        </w:rPr>
        <w:t xml:space="preserve">. Except as may be required to comply with the requirements of any applicable Law or to comply with the rules of any relevant stock exchange, in each case, in the reasonable opinion of counsel to such Party, and in which event such Party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by the other Party, no Party will issue any press release or other public announcement relating to the subject matter of this Agreement or the transactions contemplated hereby without the prior approval (which approval will not be unreasonably withheld or delayed) of (a) with respect to such releases or announcements by Buyer or the Companies (from and after the Closing Date), the Sellers, or (b) with respect to such releases or announcements by the Sellers or the Companies (prior to the Closing Date), Buyer;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Closing, (i) in connection with any press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release or public announcement required by Law, Buyer and the Sellers shall, to the extent possible, have the right to review and comment on such public announcement prior to its publication, provided that Buyer shall have final authority over the form and content of any such announcement, (ii) the Closing Date Consideration shall not be included in any press release or other public announcement issued or made by a Party and (iii) the foregoing shall not prohibit any Party from making any press release or other public announcement that contains no more information than has already been disclosed pursuant to a press release or other public announcement issued pursuant to this </w:t>
      </w:r>
      <w:r>
        <w:rPr>
          <w:rFonts w:ascii="Times New Roman" w:hAnsi="Times New Roman"/>
          <w:sz w:val="20"/>
          <w:u w:val="single"/>
        </w:rPr>
        <w:t>Section 7.5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7.6</w:t>
      </w:r>
      <w:r>
        <w:rPr>
          <w:rFonts w:ascii="Times New Roman" w:hAnsi="Times New Roman"/>
          <w:sz w:val="20"/>
        </w:rPr>
        <w:t xml:space="preserve"> </w:t>
      </w:r>
      <w:r>
        <w:rPr>
          <w:rFonts w:ascii="Times New Roman" w:hAnsi="Times New Roman"/>
          <w:b/>
          <w:sz w:val="20"/>
          <w:u w:val="single"/>
        </w:rPr>
        <w:t>Records</w:t>
      </w:r>
      <w:r>
        <w:rPr>
          <w:rFonts w:ascii="Times New Roman" w:hAnsi="Times New Roman"/>
          <w:sz w:val="20"/>
        </w:rPr>
        <w:t xml:space="preserve">. With respect to the financial books and records, Tax Returns and minute books or equivalent statutory corporate records of the Companies and their Subsidiaries relating to matters on or prior to the Closing Date: (a) for a period of seven (7) years after the Closing Date, Buyer shall not cause or permit their destruction or disposal without first offering to surrender them to the Sellers, and (b) where there is an audit of the Companies by any Taxing Authority that relates to any period prior to the Closing, Buyer shall allow the Sellers and their representatives to, at their cost, make copies (to the extent permitted by Law) of the relevant books and records (including accountant work papers) of the Companies or any of their Subsidiaries during regular business hours. </w:t>
      </w:r>
    </w:p>
    <w:p>
      <w:pPr>
        <w:pStyle w:val="TextBody"/>
        <w:bidi w:val="0"/>
        <w:spacing w:before="240" w:after="0"/>
        <w:jc w:val="left"/>
        <w:rPr>
          <w:rFonts w:ascii="Times New Roman" w:hAnsi="Times New Roman"/>
          <w:sz w:val="20"/>
        </w:rPr>
      </w:pPr>
      <w:r>
        <w:rPr>
          <w:rFonts w:ascii="Times New Roman" w:hAnsi="Times New Roman"/>
          <w:b/>
          <w:sz w:val="20"/>
        </w:rPr>
        <w:t>7.7</w:t>
      </w:r>
      <w:r>
        <w:rPr>
          <w:rFonts w:ascii="Times New Roman" w:hAnsi="Times New Roman"/>
          <w:sz w:val="20"/>
        </w:rPr>
        <w:t xml:space="preserve"> </w:t>
      </w:r>
      <w:r>
        <w:rPr>
          <w:rFonts w:ascii="Times New Roman" w:hAnsi="Times New Roman"/>
          <w:b/>
          <w:sz w:val="20"/>
          <w:u w:val="single"/>
        </w:rPr>
        <w:t>W&amp;I Insurance</w:t>
      </w:r>
      <w:r>
        <w:rPr>
          <w:rFonts w:ascii="Times New Roman" w:hAnsi="Times New Roman"/>
          <w:sz w:val="20"/>
        </w:rPr>
        <w:t xml:space="preserve">. The Buyer warrants to the Sellers that the W&amp;I Policy is in full force and effect, insuring Buyer for Losses due to breaches of the warranties made by the Sellers and the Companies under </w:t>
      </w:r>
      <w:r>
        <w:rPr>
          <w:rFonts w:ascii="Times New Roman" w:hAnsi="Times New Roman"/>
          <w:sz w:val="20"/>
          <w:u w:val="single"/>
        </w:rPr>
        <w:t>Articles IV</w:t>
      </w:r>
      <w:r>
        <w:rPr>
          <w:rFonts w:ascii="Times New Roman" w:hAnsi="Times New Roman"/>
          <w:sz w:val="20"/>
        </w:rPr>
        <w:t xml:space="preserve"> and </w:t>
      </w:r>
      <w:r>
        <w:rPr>
          <w:rFonts w:ascii="Times New Roman" w:hAnsi="Times New Roman"/>
          <w:sz w:val="20"/>
          <w:u w:val="single"/>
        </w:rPr>
        <w:t>V</w:t>
      </w:r>
      <w:r>
        <w:rPr>
          <w:rFonts w:ascii="Times New Roman" w:hAnsi="Times New Roman"/>
          <w:sz w:val="20"/>
        </w:rPr>
        <w:t xml:space="preserve">, which shall expressly exclude any right of subrogation, contribution or similar rights in favour of any party against any Related Persons, in each case, under or in connection with this Agreement and otherwise in respect of the transactions contemplated hereby, and provide that such Related Persons may rely upon and enforce such anti-subrogation provisions as express third party beneficiaries. Furthermore, Buyer shall not amend, modify, or cancel such subrogation, third party beneficiaries or amendment provisions without the express written consent of the Seller Representative. Buyer, on the one hand, and Sellers, on the other, shall each pay (or, to the extent already paid as of the date of this Agreement, shall be deemed to have paid) 50% of all premiums, Taxes, commissions, fees, costs and other payments in respect of the W&amp;I Policy, in each case in accordance with the payment terms required thereunder; provided, that such cost-sharing shall not apply to any retention amount payable in respect of the W&amp;I Policy, which shall be borne solely by Buyer. Buyer and its Affiliates will not amend, waive or otherwise modify the W&amp;I Policy in any manner that adversely affects the Sellers’ rights or protections, including, without limitation, under the anti-subrogation or third-party beneficiary provisions thereof without the prior written consent of the Seller Representative. </w:t>
      </w:r>
    </w:p>
    <w:p>
      <w:pPr>
        <w:pStyle w:val="TextBody"/>
        <w:bidi w:val="0"/>
        <w:spacing w:before="240" w:after="0"/>
        <w:jc w:val="left"/>
        <w:rPr>
          <w:rFonts w:ascii="Times New Roman" w:hAnsi="Times New Roman"/>
          <w:sz w:val="20"/>
        </w:rPr>
      </w:pPr>
      <w:r>
        <w:rPr>
          <w:rFonts w:ascii="Times New Roman" w:hAnsi="Times New Roman"/>
          <w:b/>
          <w:sz w:val="20"/>
        </w:rPr>
        <w:t>7.8</w:t>
      </w:r>
      <w:r>
        <w:rPr>
          <w:rFonts w:ascii="Times New Roman" w:hAnsi="Times New Roman"/>
          <w:sz w:val="20"/>
        </w:rPr>
        <w:t xml:space="preserve"> </w:t>
      </w:r>
      <w:r>
        <w:rPr>
          <w:rFonts w:ascii="Times New Roman" w:hAnsi="Times New Roman"/>
          <w:b/>
          <w:sz w:val="20"/>
          <w:u w:val="single"/>
        </w:rPr>
        <w:t>Continuing Indemnification for Companies Actors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six (6) years after the Closing Date and to the extent permitted by applicable Law, the Companies shall fulfil and honour in all respects the obligations of the Companies for indemnification and advancement of expenses in favour of each past and present officer, manager and director of the Companies (each, a “</w:t>
      </w:r>
      <w:r>
        <w:rPr>
          <w:rFonts w:ascii="Times New Roman" w:hAnsi="Times New Roman"/>
          <w:b/>
          <w:i/>
          <w:sz w:val="20"/>
        </w:rPr>
        <w:t>Company Indemnitee</w:t>
      </w:r>
      <w:r>
        <w:rPr>
          <w:rFonts w:ascii="Times New Roman" w:hAnsi="Times New Roman"/>
          <w:sz w:val="20"/>
        </w:rPr>
        <w:t xml:space="preserve">”) under the Organizational Documents of the Companies (as in effect as of the date hereof). The Organizational Documents of the Companies following the Closing shall contain provisions with respect to indemnification that are at least as favourable to the Company Indemnitees as those contained in the Organizational Documents of the Companies as in effect on the date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which provisions will not be amended, repealed or otherwise modified (including by merger, conversion, domestication, operation of law or otherwise) for a period of six (6) years from the Closing Date in any manner that would adversely affect the rights thereunder of any of the Company Indemnitees (unless such modification is required by applicable Law) and all rights to indemnification thereunder in respect of any Action asserted or made within such period shall continue until the final disposition or resolution of such Action or the expiration of the statute of limitations with respect to any such claim, together with any appeal thereof. </w:t>
      </w:r>
    </w:p>
    <w:p>
      <w:pPr>
        <w:pStyle w:val="TextBody"/>
        <w:bidi w:val="0"/>
        <w:spacing w:before="240" w:after="0"/>
        <w:jc w:val="left"/>
        <w:rPr>
          <w:rFonts w:ascii="Times New Roman" w:hAnsi="Times New Roman"/>
          <w:sz w:val="20"/>
        </w:rPr>
      </w:pPr>
      <w:r>
        <w:rPr>
          <w:rFonts w:ascii="Times New Roman" w:hAnsi="Times New Roman"/>
          <w:sz w:val="20"/>
        </w:rPr>
        <w:t xml:space="preserve">(b) For a period of six (6) years beginning on the Closing Date, the Companies shall maintain in effect directors’ and officers’ liability insurance, employment practices liability insurance and fiduciary liability insurance covering acts or omissions occurring on or prior to the Closing Date with respect to those Persons who are currently covered by the Companies’ comparable insurance policies on terms with respect to such coverage and amount no less favourable to the insured than those of such current insurance coverages. </w:t>
      </w:r>
    </w:p>
    <w:p>
      <w:pPr>
        <w:pStyle w:val="TextBody"/>
        <w:bidi w:val="0"/>
        <w:spacing w:before="240" w:after="0"/>
        <w:jc w:val="left"/>
        <w:rPr>
          <w:rFonts w:ascii="Times New Roman" w:hAnsi="Times New Roman"/>
          <w:sz w:val="20"/>
        </w:rPr>
      </w:pPr>
      <w:r>
        <w:rPr>
          <w:rFonts w:ascii="Times New Roman" w:hAnsi="Times New Roman"/>
          <w:sz w:val="20"/>
        </w:rPr>
        <w:t xml:space="preserve">(c) The provisions of this </w:t>
      </w:r>
      <w:r>
        <w:rPr>
          <w:rFonts w:ascii="Times New Roman" w:hAnsi="Times New Roman"/>
          <w:sz w:val="20"/>
          <w:u w:val="single"/>
        </w:rPr>
        <w:t>Section 7.8</w:t>
      </w:r>
      <w:r>
        <w:rPr>
          <w:rFonts w:ascii="Times New Roman" w:hAnsi="Times New Roman"/>
          <w:sz w:val="20"/>
        </w:rPr>
        <w:t xml:space="preserve"> are intended to be for the benefit of, and will be enforceable by, each Company Indemnitee or insured Person, his or her heirs and his or her representatives and are in addition to, and not in substitution for, any other right to indemnification or contribution that any such Person may have by contract or otherwise. Following the Closing, in the event the Companies or any of its successors or assigns (i) consolidates with or merges into any other Person and is not the continuing or surviving entity of such consolidation or merger or (ii) transfers all or substantially all of its properties and assets to any Person, then, in each such case, the successors and assigns of the Companies shall automatically assume the obligations of the Companies set forth in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herein, no Company Indemnitee shall have any right to indemnification, advancement, contribution, reimbursement of expenses or recovery of any other kind from the Buyer or any of its Affiliates (including, following the Closing, the Companies) in respect of any claims by the Buyer or any of its Affiliates in respect of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7.9</w:t>
      </w:r>
      <w:r>
        <w:rPr>
          <w:rFonts w:ascii="Times New Roman" w:hAnsi="Times New Roman"/>
          <w:sz w:val="20"/>
        </w:rPr>
        <w:t xml:space="preserve"> </w:t>
      </w:r>
      <w:r>
        <w:rPr>
          <w:rFonts w:ascii="Times New Roman" w:hAnsi="Times New Roman"/>
          <w:b/>
          <w:sz w:val="20"/>
          <w:u w:val="single"/>
        </w:rPr>
        <w:t>Reasonable Efforts</w:t>
      </w:r>
      <w:r>
        <w:rPr>
          <w:rFonts w:ascii="Times New Roman" w:hAnsi="Times New Roman"/>
          <w:sz w:val="20"/>
        </w:rPr>
        <w:t xml:space="preserve">. Subject to the terms and conditions set forth in this Agreement, each of the Parties agrees to use all reasonable efforts to take, or cause to be taken, all actions, and to do, or cause to be done, and to assist and cooperate with the other Parties in doing, all things necessary, proper or advisable to consummate and make effective, in the most expeditious manner practicable, the transactions contemplated by this Agreement and to obtain satisfaction of the conditions precedent to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7.10</w:t>
      </w:r>
      <w:r>
        <w:rPr>
          <w:rFonts w:ascii="Times New Roman" w:hAnsi="Times New Roman"/>
          <w:sz w:val="20"/>
        </w:rPr>
        <w:t xml:space="preserve"> </w:t>
      </w:r>
      <w:r>
        <w:rPr>
          <w:rFonts w:ascii="Times New Roman" w:hAnsi="Times New Roman"/>
          <w:b/>
          <w:sz w:val="20"/>
          <w:u w:val="single"/>
        </w:rPr>
        <w:t>Cooperation and Payoff Letters</w:t>
      </w:r>
      <w:r>
        <w:rPr>
          <w:rFonts w:ascii="Times New Roman" w:hAnsi="Times New Roman"/>
          <w:sz w:val="20"/>
        </w:rPr>
        <w:t xml:space="preserve">. The Companies shall use commercially reasonable efforts to deliver to the Buyer drafts of the Payoff Letters (and any related collateral and lien release documentation) no later than ten (10) Business Days prior to the Closing Date, and to provide an opportunity for the Buyer and its legal counsel to comment on such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7.11 </w:t>
      </w:r>
      <w:r>
        <w:rPr>
          <w:rFonts w:ascii="Times New Roman" w:hAnsi="Times New Roman"/>
          <w:b/>
          <w:sz w:val="20"/>
          <w:u w:val="single"/>
        </w:rPr>
        <w:t>Employment and Benefit Arrangements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the period commencing on Closing and ending on the first anniversary of Closing, Buyer shall ensure that the Companies provide each individual who is employed by the Companies as of the Closing Date and who continues to be so employed immediately following the Closing Date (the “</w:t>
      </w:r>
      <w:r>
        <w:rPr>
          <w:rFonts w:ascii="Times New Roman" w:hAnsi="Times New Roman"/>
          <w:b/>
          <w:i/>
          <w:sz w:val="20"/>
        </w:rPr>
        <w:t>Company Employees</w:t>
      </w:r>
      <w:r>
        <w:rPr>
          <w:rFonts w:ascii="Times New Roman" w:hAnsi="Times New Roman"/>
          <w:sz w:val="20"/>
        </w:rPr>
        <w:t xml:space="preserve">”) with base salary, cash incentive opportunities and employee benefits that are, in the aggregate, no less favourable than those provided to such Company Employee immediately prior to Closing (excluding any equity or equity-based compensation or benefits, defined benefit pension, nonqualified deferred compensation, and post-termination or retiree health or welfare benefits). </w:t>
      </w:r>
    </w:p>
    <w:p>
      <w:pPr>
        <w:pStyle w:val="TextBody"/>
        <w:bidi w:val="0"/>
        <w:spacing w:before="240" w:after="0"/>
        <w:jc w:val="left"/>
        <w:rPr>
          <w:rFonts w:ascii="Times New Roman" w:hAnsi="Times New Roman"/>
          <w:sz w:val="20"/>
        </w:rPr>
      </w:pPr>
      <w:r>
        <w:rPr>
          <w:rFonts w:ascii="Times New Roman" w:hAnsi="Times New Roman"/>
          <w:sz w:val="20"/>
        </w:rPr>
        <w:t xml:space="preserve">(b) Where, following Closing, a Company Employee becomes eligible to participate in any employee benefit plan, programme or arrangement maintained or adopted by Buyer or any of its Affiliates, Buyer shall ensure that such Company Employee receives credit for service with the Companies prior to Closing for purposes of eligibility, vesting and, where applicable, benefit accrual under such plan, programme or arrangement, in each case to the same extent that such service was recognised under the corresponding Employee Plan immediately prior to Closing; provided that such recognition shall not result in any duplication of benefits or credit for the same period of service.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obligations set out in this Section and applicable Law, nothing in this Agreement shall require Buyer or any of its Affiliates to continue the employment of any Company Employee for any period of time following Closing or to prevent Buyer, any Affiliate of Buyer or any Company from amending, modifying or terminating any compensation or benefit plan, programme, agreement, policy or arrangement after the first anniversary of Closing. No provision of this Agreement shall create any third-party beneficiary rights in favour of any current or former employee, director, officer, independent contractor or other service provider of any Company or any of their dependants or beneficiaries. </w:t>
      </w:r>
    </w:p>
    <w:p>
      <w:pPr>
        <w:pStyle w:val="TextBody"/>
        <w:bidi w:val="0"/>
        <w:spacing w:before="240" w:after="0"/>
        <w:jc w:val="left"/>
        <w:rPr>
          <w:rFonts w:ascii="Times New Roman" w:hAnsi="Times New Roman"/>
          <w:sz w:val="20"/>
        </w:rPr>
      </w:pPr>
      <w:r>
        <w:rPr>
          <w:rFonts w:ascii="Times New Roman" w:hAnsi="Times New Roman"/>
          <w:b/>
          <w:sz w:val="20"/>
        </w:rPr>
        <w:t>7.12</w:t>
      </w:r>
      <w:r>
        <w:rPr>
          <w:rFonts w:ascii="Times New Roman" w:hAnsi="Times New Roman"/>
          <w:sz w:val="20"/>
        </w:rPr>
        <w:t xml:space="preserve"> </w:t>
      </w:r>
      <w:r>
        <w:rPr>
          <w:rFonts w:ascii="Times New Roman" w:hAnsi="Times New Roman"/>
          <w:b/>
          <w:sz w:val="20"/>
          <w:u w:val="single"/>
        </w:rPr>
        <w:t>No Shop</w:t>
      </w:r>
      <w:r>
        <w:rPr>
          <w:rFonts w:ascii="Times New Roman" w:hAnsi="Times New Roman"/>
          <w:sz w:val="20"/>
        </w:rPr>
        <w:t xml:space="preserve">. Until the termination of this Agreement in accordance with </w:t>
      </w:r>
      <w:r>
        <w:rPr>
          <w:rFonts w:ascii="Times New Roman" w:hAnsi="Times New Roman"/>
          <w:sz w:val="20"/>
          <w:u w:val="single"/>
        </w:rPr>
        <w:t>Article IX</w:t>
      </w:r>
      <w:r>
        <w:rPr>
          <w:rFonts w:ascii="Times New Roman" w:hAnsi="Times New Roman"/>
          <w:sz w:val="20"/>
        </w:rPr>
        <w:t>, the Sellers and the Companies shall not, and shall direct their respective officers, directors, partners, Affiliates and representatives not to, directly or indirectly, solicit, initiate, undertake, authorize, recommend, pursue, propose, enter into or encourage the submission of any proposal or offer from any Person relating to the acquisition of any portion of the Company Capital Stock or any material portion of the Companies’ assets (other than assets sold in the Ordinary Course of Business) (each, an “</w:t>
      </w:r>
      <w:r>
        <w:rPr>
          <w:rFonts w:ascii="Times New Roman" w:hAnsi="Times New Roman"/>
          <w:b/>
          <w:i/>
          <w:sz w:val="20"/>
        </w:rPr>
        <w:t>Acquisition Proposal</w:t>
      </w:r>
      <w:r>
        <w:rPr>
          <w:rFonts w:ascii="Times New Roman" w:hAnsi="Times New Roman"/>
          <w:sz w:val="20"/>
        </w:rPr>
        <w:t xml:space="preserve">”) or otherwise enter into or participate in any discussions, negotiations or other communications regarding an Acquisition Proposal;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Companies’ and the Sellers’ representatives may respond to unsolicited inquiries, but solely for the purpose of communicating that the Companies are not able to entertain the unsolicited offer. Each Seller and the Companies shall (and shall cause their respective representatives to) (A) immediately cease and cause to be terminated any existing discussions or negotiations with any Persons (other than Buyer) conducted heretofore with respect to any Acquisition Proposal and (B) promptly notify Buyer of the receipt of any inquiry, expression of interest or proposal in respect of an Acquisition Proposal, along with details of any material terms (including the identity of the applicable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7.13 </w:t>
      </w:r>
      <w:r>
        <w:rPr>
          <w:rFonts w:ascii="Times New Roman" w:hAnsi="Times New Roman"/>
          <w:b/>
          <w:sz w:val="20"/>
          <w:u w:val="single"/>
        </w:rPr>
        <w:t>Parent Stockholder Meeting; Proxy Statement/Prospectus; Registration Statement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file an additional listing application with NASDAQ with respect to the DTI Common Stock to be issued to the Sellers (other than the Trustee Seller) pursuant to </w:t>
      </w:r>
      <w:r>
        <w:rPr>
          <w:rFonts w:ascii="Times New Roman" w:hAnsi="Times New Roman"/>
          <w:sz w:val="20"/>
          <w:u w:val="single"/>
        </w:rPr>
        <w:t>Section 2.2(d)</w:t>
      </w:r>
      <w:r>
        <w:rPr>
          <w:rFonts w:ascii="Times New Roman" w:hAnsi="Times New Roman"/>
          <w:sz w:val="20"/>
        </w:rPr>
        <w:t xml:space="preserve"> and shall use its reasonable best efforts to cause such shares to be approved for listing on NASDAQ, subject to official notice of issuance,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Closing and continuing until the date that is twenty-four (24) months following the expiration of the applicable Lock-Up Period (as defined in the Lockup and Investor Rights Agreement), Parent covenants and agrees to (A) comply with the reporting requirements of Rule 144(c)(1) of the Securities Act, (B) timely file all reports required to be filed by Parent under Sections 13 or 15(d) of the Exchange Act, (C) provide a letter confirming compliance with the foregoing clauses (A) and (B) at the reasonable request of each Seller, and (D) maintain the listing of the DTI Common Stock on NASDAQ or another national securities exchange (as defined in Section 6 of the Exchange Act), and not take any action that would reasonably be expected to result in the delisting of the DTI Common Stock from such exchange; provided that (i) Parent may transfer the listing of the DTI Common Stock from NASDAQ to another national securities exchange so long as such transfer would not adversely affect the ability of the Sellers to sell their shares of DTI Common Stock pursuant to Rule 144 under the Securities Act and (ii) Parent may maintain a dual listing of the DTI Common Stock on more than one national securities exchange so long as at least one such exchange is a national securities exchange on which sales of the DTI Common Stock may be effected in compliance with Rule 144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promptly following the written request of any Seller (and in any event within five (5) Business Days of such request), instruct its transfer agent to remove any restrictive legends from the certificates (or book-entry positions) representing shares of DTI Common Stock held by such Seller, and shall cause its counsel to deliver any legal opinions required by the transfer agent in connection therewith, in each case, to the extent that (i) the applicable Lock-Up Period (as defined in the Lockup and Investor Rights Agreement) has expired with respect to such shares and (ii) such Seller certifies to Parent in writing that such shares are eligible for resale pursuant to Rule 144 of the Securities Act (or have been sold pursuant to an effective registration statement under the Securities Act). All fees and expenses incurred in connection with the removal of such legends, including transfer agent fees and fees for legal opinions, shall be borne by Parent. Parent shall, prior to the Closing, pre-clear the legend removal process with its transfer agent and outside counsel so as to ensure that legend removal requests can be processed promptly following the expiration of the applicable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(d) The Companies shall, and shall cause their Subsidiaries to, provide Parent with such cooperation as Parent may reasonably request in connection with the preparation of the Form S-4 Registration Statement and the Proxy Statement/Prospectus, including furnishing Parent with all information concerning the Companies and their Subsidiaries as Parent may reasonably request in connection with such actions and the preparation of the Form S-4 Registration Statement and the Proxy Statement/Prospectus. Each of the Companies warrants to Parent that none of the information specifically and expressly supplied in writing by the Companies for inclusion or incorporation by reference in the Form S-4 Registration Statement or the Proxy Statement/Prospectus will, at the time the Form S-4 Registration Statement becomes effective under the Securities Act, at the date the Proxy Statement/Prospectus is first mailed to Parent’s stockholders or at the time of the Parent Stockholders Meeting, contain any untrue statement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fact or omit to state any material fact required to be stated therein or necessary in order to make the statements therein, in light of the circumstances under which they are made, not misleading. For the avoidance of doubt, each of the Companies makes no warranty with respect to (i) any information supplied by Parent, Buyer or any of their representatives for inclusion in the Form S-4 Registration Statement and the Proxy Statement/Prospectus, (ii) any financial statements, projections, forward-looking statements or other financial information of Parent or Buyer included therein, or (iii) any information obtained from third-party sources and not specifically and expressly supplied in writing by the Companies for inclusion therein. </w:t>
      </w:r>
    </w:p>
    <w:p>
      <w:pPr>
        <w:pStyle w:val="TextBody"/>
        <w:bidi w:val="0"/>
        <w:spacing w:before="240" w:after="0"/>
        <w:jc w:val="left"/>
        <w:rPr>
          <w:rFonts w:ascii="Times New Roman" w:hAnsi="Times New Roman"/>
          <w:sz w:val="20"/>
        </w:rPr>
      </w:pPr>
      <w:r>
        <w:rPr>
          <w:rFonts w:ascii="Times New Roman" w:hAnsi="Times New Roman"/>
          <w:sz w:val="20"/>
        </w:rPr>
        <w:t xml:space="preserve">(e) As promptly as reasonably practicable following the date of this Agreement (and in any event within forty-five (45) days following the date hereof), Parent shall prepare and file with the SEC the Form S-4 Registration Statement, in which the Proxy Statement/Prospectus will be included. Parent shall use its reasonable best efforts to (i) cause the Form S-4 Registration Statement to be declared effective by the SEC as promptly as practicable after such filing (including by responding to comments of the SEC), (ii) cause the Proxy Statement/Prospectus to be mailed to Parent’s stockholders as promptly as practicable after the Form S-4 Registration Statement is declared effective by the SEC, (iii) keep the Form S-4 Registration Statement effective through the Closing in order to permit the consummation of the transactions contemplated hereby, and (iv) obtain the Parent Stockholder Approval. Parent shall use its reasonable best efforts to ensure that the Form S-4 Registration Statement and the Proxy Statement/Prospectus comply in all material respects with all applicable rules, regulations and requirements of the Securities Act and the Exchange Act. Prior to the filing of the Form S-4 Registration Statement, Parent shall provide the Companies and their counsel a reasonable opportunity to review and comment on such documents, and Parent will consider, in good faith, incorporating any such comments of Companies and/or their counsel prior to such filing. </w:t>
      </w:r>
    </w:p>
    <w:p>
      <w:pPr>
        <w:pStyle w:val="TextBody"/>
        <w:bidi w:val="0"/>
        <w:spacing w:before="240" w:after="0"/>
        <w:jc w:val="left"/>
        <w:rPr>
          <w:rFonts w:ascii="Times New Roman" w:hAnsi="Times New Roman"/>
          <w:sz w:val="20"/>
        </w:rPr>
      </w:pPr>
      <w:r>
        <w:rPr>
          <w:rFonts w:ascii="Times New Roman" w:hAnsi="Times New Roman"/>
          <w:sz w:val="20"/>
        </w:rPr>
        <w:t xml:space="preserve">(f) If at any time prior to the receipt of the Parent Stockholder Approval, any information relating to the Companies or Parent, or any of their respective Affiliates, directors or officers, should be discovered by the Companies or Parent which is required to be set forth in an amendment or supplement to either the Form S-4 Registration Statement or the Proxy Statement/Prospectus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(i) an appropriate amendment or supplement describing such information shall be promptly filed with the SEC, and (ii) with respect to the Proxy Statement/Prospectus, to the extent required by applicable Law, disseminated to Parent’s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(g) Parent shall advise the Companies, promptly after receipt of notice thereof, of the time when the Form S-4 Registration Statement becomes effective or any supplement or amendment has been filed, the issuance of any stop order relating thereto, or the suspension of the shares of DTI Common Stock for offering or sale in any jurisdiction, or any request by the SEC or its staff for any amendment of or supplement to the Form S-4 Registration Statement or the Proxy Statement/Prospectus or comments thereon and responses thereto or requests by the SEC for additional information (and shall provide the Companies with a reasonable opportunity to participate in the response to those comments and requests), and Parent shall use its reasonable best efforts to as promptly as practicable have any stop order relating to the Form S-4 Registration Statement or any such suspension of the shares of DTI Common Stock lifted, reversed or otherwise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Parent shall, as promptly as reasonably practicable following clearance of the Proxy Statement/Prospectus by the SEC, duly call, give notice of, convene and hold a meeting of its stockholders (the “</w:t>
      </w:r>
      <w:r>
        <w:rPr>
          <w:rFonts w:ascii="Times New Roman" w:hAnsi="Times New Roman"/>
          <w:b/>
          <w:i/>
          <w:sz w:val="20"/>
        </w:rPr>
        <w:t>Parent Stockholders Meeting</w:t>
      </w:r>
      <w:r>
        <w:rPr>
          <w:rFonts w:ascii="Times New Roman" w:hAnsi="Times New Roman"/>
          <w:sz w:val="20"/>
        </w:rPr>
        <w:t>”) for the purpose of obtaining the Parent Stockholder Approval. Parent shall, through its board of directors, recommend to its stockholders that they give the Parent Stockholder Approval (the “</w:t>
      </w:r>
      <w:r>
        <w:rPr>
          <w:rFonts w:ascii="Times New Roman" w:hAnsi="Times New Roman"/>
          <w:b/>
          <w:i/>
          <w:sz w:val="20"/>
        </w:rPr>
        <w:t>Parent Board Recommendation</w:t>
      </w:r>
      <w:r>
        <w:rPr>
          <w:rFonts w:ascii="Times New Roman" w:hAnsi="Times New Roman"/>
          <w:sz w:val="20"/>
        </w:rPr>
        <w:t xml:space="preserve">”) and shall include the Parent Board Recommendation in the Proxy Statement/Prospectus. Parent shall not withdraw, qualify or modify, or propose publicly to withdraw, qualify or modify, in a manner adverse to the Sellers, the Parent Board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(i) If, as of the time for which the Parent Stockholders Meeting is originally scheduled (as set forth in the Proxy Statement/Prospectus), there are insufficient shares of DTI Common Stock represented (either in person or by proxy) to constitute a quorum necessary to conduct the business of the Parent Stockholders Meeting, or if on the date of the Parent Stockholders Meeting Parent has not received proxies representing a sufficient number of shares of DTI Common Stock necessary to obtain the Parent Stockholder Approval, Parent shall adjourn or postpone the Parent Stockholders Meeting (and any subsequent adjourned or postponed meeting) for a period of not more than thirty (30) days to solicit additional proxies; provided, that Parent shall not be required to adjourn or postpone the Parent Stockholders Meeting to a date that is later than three (3) Business Days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(j) In the event that the approval described in clause (i) of the definition of Parent Stockholder Approval is obtained at the Parent Stockholders Meeting but the ratification described in clause (ii) of such definition is not so obtained, Parent shall, as promptly as reasonably practicable following such Parent Stockholders Meeting (and in any event within fifteen (15) Business Days thereafter), file a petition with the Court of Chancery of the State of Delaware pursuant to Section 205 of the DGCL seeking validation of the defective corporate acts that were the subject of such failed ratification. Parent shall use its reasonable best efforts to obtain a final, non-appealable order of the Court of Chancery of the State of Delaware validating such defective corporate acts prior to the Closing and, in any event, prior to the Outside Date, including by diligently prosecuting such petition and promptly responding to any requests or directions of the Court of Chancery in connection therewith. Parent shall keep the Seller Representative reasonably informed of the status of any such proceedings, including by providing copies of all material filings and orders in connection therewith promptly following the filing or receipt thereof. </w:t>
      </w:r>
    </w:p>
    <w:p>
      <w:pPr>
        <w:pStyle w:val="TextBody"/>
        <w:bidi w:val="0"/>
        <w:spacing w:before="240" w:after="0"/>
        <w:jc w:val="left"/>
        <w:rPr>
          <w:rFonts w:ascii="Times New Roman" w:hAnsi="Times New Roman"/>
          <w:sz w:val="20"/>
        </w:rPr>
      </w:pPr>
      <w:r>
        <w:rPr>
          <w:rFonts w:ascii="Times New Roman" w:hAnsi="Times New Roman"/>
          <w:b/>
          <w:sz w:val="20"/>
        </w:rPr>
        <w:t>7.14</w:t>
      </w:r>
      <w:r>
        <w:rPr>
          <w:rFonts w:ascii="Times New Roman" w:hAnsi="Times New Roman"/>
          <w:sz w:val="20"/>
        </w:rPr>
        <w:t xml:space="preserve"> </w:t>
      </w:r>
      <w:r>
        <w:rPr>
          <w:rFonts w:ascii="Times New Roman" w:hAnsi="Times New Roman"/>
          <w:b/>
          <w:sz w:val="20"/>
          <w:u w:val="single"/>
        </w:rPr>
        <w:t>Financial Information</w:t>
      </w:r>
      <w:r>
        <w:rPr>
          <w:rFonts w:ascii="Times New Roman" w:hAnsi="Times New Roman"/>
          <w:sz w:val="20"/>
        </w:rPr>
        <w:t xml:space="preserve">. The Sellers shall cause the Companies to (x) use commercially reasonable efforts to cooperate with an independent registered public accounting firm reasonably acceptable to Buyer in connection with the preparation and completion of any financial statements required for inclusion in any registration statement or report filed by Parent with the SEC, including by providing reasonable access to books, records, personnel and other information as may be reasonably requested, and (y) provide historical financial data as Buyer may reasonably request, including with respect to periods other than those covered in this Agreement, to facilitate Buyer’s preparation of any pro forma financial information required for inclusion in the foregoing filed by Parent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7.15</w:t>
      </w:r>
      <w:r>
        <w:rPr>
          <w:rFonts w:ascii="Times New Roman" w:hAnsi="Times New Roman"/>
          <w:sz w:val="20"/>
        </w:rPr>
        <w:t xml:space="preserve"> </w:t>
      </w:r>
      <w:r>
        <w:rPr>
          <w:rFonts w:ascii="Times New Roman" w:hAnsi="Times New Roman"/>
          <w:b/>
          <w:sz w:val="20"/>
          <w:u w:val="single"/>
        </w:rPr>
        <w:t>Leased Real Properties</w:t>
      </w:r>
      <w:r>
        <w:rPr>
          <w:rFonts w:ascii="Times New Roman" w:hAnsi="Times New Roman"/>
          <w:sz w:val="20"/>
        </w:rPr>
        <w:t xml:space="preserve">. From the date of this Agreement until the Closing Date, the Sellers (other than the Trustee Seller) shall procure that each Company or Subsidiary that is a tenant under a Property Lease keeps and maintains the Leased Real Properties demised by such Property Lease in a condition no worse than their condition as at the date of this Agreement, and otherwise comply with their obligations under the Property Leases, in each case in accordance with the terms of the relevant Property Lease. </w:t>
      </w:r>
    </w:p>
    <w:p>
      <w:pPr>
        <w:pStyle w:val="TextBody"/>
        <w:bidi w:val="0"/>
        <w:spacing w:before="240" w:after="0"/>
        <w:jc w:val="left"/>
        <w:rPr>
          <w:rFonts w:ascii="Times New Roman" w:hAnsi="Times New Roman"/>
          <w:sz w:val="20"/>
        </w:rPr>
      </w:pPr>
      <w:r>
        <w:rPr>
          <w:rFonts w:ascii="Times New Roman" w:hAnsi="Times New Roman"/>
          <w:b/>
          <w:sz w:val="20"/>
        </w:rPr>
        <w:t>7.16</w:t>
      </w:r>
      <w:r>
        <w:rPr>
          <w:rFonts w:ascii="Times New Roman" w:hAnsi="Times New Roman"/>
          <w:sz w:val="20"/>
        </w:rPr>
        <w:t xml:space="preserve"> </w:t>
      </w:r>
      <w:r>
        <w:rPr>
          <w:rFonts w:ascii="Times New Roman" w:hAnsi="Times New Roman"/>
          <w:b/>
          <w:sz w:val="20"/>
          <w:u w:val="single"/>
        </w:rPr>
        <w:t>EBT Tax Liability</w:t>
      </w:r>
      <w:r>
        <w:rPr>
          <w:rFonts w:ascii="Times New Roman" w:hAnsi="Times New Roman"/>
          <w:sz w:val="20"/>
        </w:rPr>
        <w:t>. The Sellers (other than the Trustee Seller and the Loggie Trustee Sellers) shall provide to the Buyer, within a reasonable time period after the date of this Agreement, copies of all correspondence with His Majesty’s Revenue and Customs and, to the extent available, calculations in respect of any EBT Tax Liability arising in connection with the Companies and / or their Subsidiaries, and the Sellers (other than the Trustee Seller and the Loggie Trustee Sellers) and the Buyer shall co-operate, each acting reasonably, in agreeing in writing the amount of such EBT Tax Liability, together with any interest and / or penalties thereon (the “</w:t>
      </w:r>
      <w:r>
        <w:rPr>
          <w:rFonts w:ascii="Times New Roman" w:hAnsi="Times New Roman"/>
          <w:b/>
          <w:i/>
          <w:sz w:val="20"/>
        </w:rPr>
        <w:t>Agreed EBT Tax Liability Amount</w:t>
      </w:r>
      <w:r>
        <w:rPr>
          <w:rFonts w:ascii="Times New Roman" w:hAnsi="Times New Roman"/>
          <w:sz w:val="20"/>
        </w:rPr>
        <w:t xml:space="preserve">”), as soon as reasonably practicable and in any event prior to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CLOSING </w:t>
      </w:r>
    </w:p>
    <w:p>
      <w:pPr>
        <w:pStyle w:val="TextBody"/>
        <w:bidi w:val="0"/>
        <w:spacing w:before="240" w:after="0"/>
        <w:jc w:val="left"/>
        <w:rPr>
          <w:rFonts w:ascii="Times New Roman" w:hAnsi="Times New Roman"/>
          <w:sz w:val="20"/>
        </w:rPr>
      </w:pPr>
      <w:r>
        <w:rPr>
          <w:rFonts w:ascii="Times New Roman" w:hAnsi="Times New Roman"/>
          <w:b/>
          <w:sz w:val="20"/>
        </w:rPr>
        <w:t>8.1</w:t>
      </w:r>
      <w:r>
        <w:rPr>
          <w:rFonts w:ascii="Times New Roman" w:hAnsi="Times New Roman"/>
          <w:sz w:val="20"/>
        </w:rPr>
        <w:t xml:space="preserve"> </w:t>
      </w:r>
      <w:r>
        <w:rPr>
          <w:rFonts w:ascii="Times New Roman" w:hAnsi="Times New Roman"/>
          <w:b/>
          <w:sz w:val="20"/>
          <w:u w:val="single"/>
        </w:rPr>
        <w:t>Conditions to Obligations of the Parties</w:t>
      </w:r>
      <w:r>
        <w:rPr>
          <w:rFonts w:ascii="Times New Roman" w:hAnsi="Times New Roman"/>
          <w:sz w:val="20"/>
        </w:rPr>
        <w:t xml:space="preserve">. The respective obligations of the Parties to consummate the Closing are subject to the satisfaction (or, if permitted by applicable Law, waiver in writing by the Parties) of the following conditions: </w:t>
      </w:r>
    </w:p>
    <w:p>
      <w:pPr>
        <w:pStyle w:val="TextBody"/>
        <w:bidi w:val="0"/>
        <w:spacing w:before="240" w:after="0"/>
        <w:jc w:val="left"/>
        <w:rPr>
          <w:rFonts w:ascii="Times New Roman" w:hAnsi="Times New Roman"/>
          <w:sz w:val="20"/>
        </w:rPr>
      </w:pPr>
      <w:r>
        <w:rPr>
          <w:rFonts w:ascii="Times New Roman" w:hAnsi="Times New Roman"/>
          <w:sz w:val="20"/>
        </w:rPr>
        <w:t>(a) no Order shall have been entered by any Governmental Authority which would prohibit, restrain or otherwise make illegal the consummation of the Closing or cause such transactions to be rescinded (“</w:t>
      </w:r>
      <w:r>
        <w:rPr>
          <w:rFonts w:ascii="Times New Roman" w:hAnsi="Times New Roman"/>
          <w:b/>
          <w:i/>
          <w:sz w:val="20"/>
        </w:rPr>
        <w:t>Restraint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Form S-4 Registration Statement shall have become effective under the Securities Act, no stop order suspending the effectiveness of the Form S-4 Registration Statement shall be in effect and no proceedings for such purpose shall be pending before or threatened by the SEC, and the shares of DTI Common Stock to be issued to the Sellers (other than the Trustee Seller) shall have been registered under the Securities Act pursuant to the Form S-4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the Parent Stockholder Approval shall have been obtained (including, for the avoidance of doubt, where the requirement set forth in clause (ii) of the definition thereof is deemed satisfied by a final, non-appealable order of the Court of Chancery of the State of Delaware pursuant to Section 205 of the DGCL in accordance with Section 7.13(j)); and </w:t>
      </w:r>
    </w:p>
    <w:p>
      <w:pPr>
        <w:pStyle w:val="TextBody"/>
        <w:bidi w:val="0"/>
        <w:spacing w:before="240" w:after="0"/>
        <w:jc w:val="left"/>
        <w:rPr>
          <w:rFonts w:ascii="Times New Roman" w:hAnsi="Times New Roman"/>
          <w:sz w:val="20"/>
        </w:rPr>
      </w:pPr>
      <w:r>
        <w:rPr>
          <w:rFonts w:ascii="Times New Roman" w:hAnsi="Times New Roman"/>
          <w:sz w:val="20"/>
        </w:rPr>
        <w:t xml:space="preserve">(d) the DTI Common Stock to be issued to the Sellers (other than the Trustee Seller) pursuant to </w:t>
      </w:r>
      <w:r>
        <w:rPr>
          <w:rFonts w:ascii="Times New Roman" w:hAnsi="Times New Roman"/>
          <w:sz w:val="20"/>
          <w:u w:val="single"/>
        </w:rPr>
        <w:t>Section 2.2(d)</w:t>
      </w:r>
      <w:r>
        <w:rPr>
          <w:rFonts w:ascii="Times New Roman" w:hAnsi="Times New Roman"/>
          <w:sz w:val="20"/>
        </w:rPr>
        <w:t xml:space="preserve"> shall have been approved for listing on NASDAQ, subject to official notice of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8.2</w:t>
      </w:r>
      <w:r>
        <w:rPr>
          <w:rFonts w:ascii="Times New Roman" w:hAnsi="Times New Roman"/>
          <w:sz w:val="20"/>
        </w:rPr>
        <w:t xml:space="preserve"> </w:t>
      </w:r>
      <w:r>
        <w:rPr>
          <w:rFonts w:ascii="Times New Roman" w:hAnsi="Times New Roman"/>
          <w:b/>
          <w:sz w:val="20"/>
          <w:u w:val="single"/>
        </w:rPr>
        <w:t>Conditions to Obligations of the Buyer</w:t>
      </w:r>
      <w:r>
        <w:rPr>
          <w:rFonts w:ascii="Times New Roman" w:hAnsi="Times New Roman"/>
          <w:sz w:val="20"/>
        </w:rPr>
        <w:t xml:space="preserve">. The obligations of the Buyer to consummate the Closing are subject to the satisfaction (or, if permitted by applicable Law, waiver in writing by the Buyer)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the Fundamental Warranties shall be true, correct and accurate in all respects except for inaccuracies that are de minimis (A) as of the date of this Agreement and (B) as of the Closing Date as if made on and as of the Closing Date, except to the extent that any such warranty by its terms relates to a particular date or period of time (in which case, such warranty shall be true, correct and accurate in all respects as of such particular date or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(b) the Commercial Warranties shall be true, correct and accurate in all respects as of the date of this Agreement, provided always that (x) to the extent that any such warranty by its terms relates to a particular date or period of time (in which case, such warranty shall be true, correct and accurate in all respects as of such particular date or period of time) and (y) that any failure of such warranties to be true, correct and accurate in all respects shall be disregarded if such failure, individually or in the aggregate, would not or would not reasonably be expected to have a Material Adverse Effect on the Companies and the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the covenants and agreements contained in this Agreement to be complied with or performed by each Company or the Sellers on or before the Closing, including delivery of all items in </w:t>
      </w:r>
      <w:r>
        <w:rPr>
          <w:rFonts w:ascii="Times New Roman" w:hAnsi="Times New Roman"/>
          <w:sz w:val="20"/>
          <w:u w:val="single"/>
        </w:rPr>
        <w:t>Section 3.2</w:t>
      </w:r>
      <w:r>
        <w:rPr>
          <w:rFonts w:ascii="Times New Roman" w:hAnsi="Times New Roman"/>
          <w:sz w:val="20"/>
        </w:rPr>
        <w:t xml:space="preserve"> and compliance with </w:t>
      </w:r>
      <w:r>
        <w:rPr>
          <w:rFonts w:ascii="Times New Roman" w:hAnsi="Times New Roman"/>
          <w:sz w:val="20"/>
          <w:u w:val="single"/>
        </w:rPr>
        <w:t>Section 7.1</w:t>
      </w:r>
      <w:r>
        <w:rPr>
          <w:rFonts w:ascii="Times New Roman" w:hAnsi="Times New Roman"/>
          <w:sz w:val="20"/>
        </w:rPr>
        <w:t xml:space="preserve">, shall have been complied with or performed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(d) there shall not have occurred, since the date of this Agreement, a Material Adverse Effect in respect of each Company; and </w:t>
      </w:r>
    </w:p>
    <w:p>
      <w:pPr>
        <w:pStyle w:val="TextBody"/>
        <w:bidi w:val="0"/>
        <w:spacing w:before="240" w:after="0"/>
        <w:jc w:val="left"/>
        <w:rPr>
          <w:rFonts w:ascii="Times New Roman" w:hAnsi="Times New Roman"/>
          <w:sz w:val="20"/>
        </w:rPr>
      </w:pPr>
      <w:r>
        <w:rPr>
          <w:rFonts w:ascii="Times New Roman" w:hAnsi="Times New Roman"/>
          <w:sz w:val="20"/>
        </w:rPr>
        <w:t xml:space="preserve">(e) Buyer shall have obtained debt and/or equity financing on terms consistent with the heads of terms agreed between Buyer and the Seller Representative and attached hereto as </w:t>
      </w:r>
      <w:r>
        <w:rPr>
          <w:rFonts w:ascii="Times New Roman" w:hAnsi="Times New Roman"/>
          <w:b/>
          <w:i/>
          <w:sz w:val="20"/>
        </w:rPr>
        <w:t>Exhibit E</w:t>
      </w:r>
      <w:r>
        <w:rPr>
          <w:rFonts w:ascii="Times New Roman" w:hAnsi="Times New Roman"/>
          <w:sz w:val="20"/>
        </w:rPr>
        <w:t xml:space="preserve"> (the “</w:t>
      </w:r>
      <w:r>
        <w:rPr>
          <w:rFonts w:ascii="Times New Roman" w:hAnsi="Times New Roman"/>
          <w:b/>
          <w:i/>
          <w:sz w:val="20"/>
        </w:rPr>
        <w:t>Agreed Financing Terms</w:t>
      </w:r>
      <w:r>
        <w:rPr>
          <w:rFonts w:ascii="Times New Roman" w:hAnsi="Times New Roman"/>
          <w:sz w:val="20"/>
        </w:rPr>
        <w:t>”) in an aggregate amount sufficient to pay the Adjusted Closing Date Cash Consideration and all fees and expenses required to be paid by Buyer at or prior to the Closing (the “</w:t>
      </w:r>
      <w:r>
        <w:rPr>
          <w:rFonts w:ascii="Times New Roman" w:hAnsi="Times New Roman"/>
          <w:b/>
          <w:i/>
          <w:sz w:val="20"/>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8.3</w:t>
      </w:r>
      <w:r>
        <w:rPr>
          <w:rFonts w:ascii="Times New Roman" w:hAnsi="Times New Roman"/>
          <w:sz w:val="20"/>
        </w:rPr>
        <w:t xml:space="preserve"> </w:t>
      </w:r>
      <w:r>
        <w:rPr>
          <w:rFonts w:ascii="Times New Roman" w:hAnsi="Times New Roman"/>
          <w:b/>
          <w:sz w:val="20"/>
          <w:u w:val="single"/>
        </w:rPr>
        <w:t>Conditions to Obligations of the Seller</w:t>
      </w:r>
      <w:r>
        <w:rPr>
          <w:rFonts w:ascii="Times New Roman" w:hAnsi="Times New Roman"/>
          <w:b/>
          <w:sz w:val="20"/>
        </w:rPr>
        <w:t>s</w:t>
      </w:r>
      <w:r>
        <w:rPr>
          <w:rFonts w:ascii="Times New Roman" w:hAnsi="Times New Roman"/>
          <w:sz w:val="20"/>
        </w:rPr>
        <w:t xml:space="preserve">. The obligations of the Sellers to consummate the Closing are subject to the satisfaction (or, if permitted by applicable Law, waiver in writing by the Sellers)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the warranties of Buyer and Parent contained in </w:t>
      </w:r>
      <w:r>
        <w:rPr>
          <w:rFonts w:ascii="Times New Roman" w:hAnsi="Times New Roman"/>
          <w:sz w:val="20"/>
          <w:u w:val="single"/>
        </w:rPr>
        <w:t>Article VI</w:t>
      </w:r>
      <w:r>
        <w:rPr>
          <w:rFonts w:ascii="Times New Roman" w:hAnsi="Times New Roman"/>
          <w:sz w:val="20"/>
        </w:rPr>
        <w:t xml:space="preserve"> of this Agreement shall be true, correct and accurate in all respects (A) as of the date of this Agreement and (B) as of the Closing Date as if made on and as of the Closing Date, except (x) to the extent that any such warranty by its terms relates to a particular date or period of time (in which case, such warranty shall be true, correct and accurate in all respects as of such particular date or period of time) and (y) that any failure of such warranties to be true, correct and accurate in all respects shall be disregarded if such failure, individually or in the aggregate, would not and would not reasonably be expected to have a material adverse effect on Buyer’s or Parent’s ability to consummate the transactions contemplated under this Agreement or the Lockup and Investor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covenants and agreements contained in this Agreement to be complied with or performed by Buyer or Parent on or before the Closing, including delivery of all items in </w:t>
      </w:r>
      <w:r>
        <w:rPr>
          <w:rFonts w:ascii="Times New Roman" w:hAnsi="Times New Roman"/>
          <w:sz w:val="20"/>
          <w:u w:val="single"/>
        </w:rPr>
        <w:t>Section 3.3</w:t>
      </w:r>
      <w:r>
        <w:rPr>
          <w:rFonts w:ascii="Times New Roman" w:hAnsi="Times New Roman"/>
          <w:sz w:val="20"/>
        </w:rPr>
        <w:t xml:space="preserve">, shall have been complied with or performed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Lockup and Investor Rights Agreement shall be in full force and effect as of Closing; and </w:t>
      </w:r>
    </w:p>
    <w:p>
      <w:pPr>
        <w:pStyle w:val="TextBody"/>
        <w:bidi w:val="0"/>
        <w:spacing w:before="240" w:after="0"/>
        <w:jc w:val="left"/>
        <w:rPr>
          <w:rFonts w:ascii="Times New Roman" w:hAnsi="Times New Roman"/>
          <w:sz w:val="20"/>
        </w:rPr>
      </w:pPr>
      <w:r>
        <w:rPr>
          <w:rFonts w:ascii="Times New Roman" w:hAnsi="Times New Roman"/>
          <w:sz w:val="20"/>
        </w:rPr>
        <w:t xml:space="preserve">(d) His Majesty’s Revenue and Customs having confirmed in writing under section 138 of the Taxation of Chargeable Gains Act 1992 and section 701 of the Income Tax Act 2007 (as applicable) in response to the letter from Johnston Carmichael dated 7 October 2026 that: (a) no counteraction notice under section 698 of the Income Tax Act 2007 will be issued in respect of (i) the disposal of Company Capital Stock by the Sellers and (ii) the exchange of loan notes through the acquisition structure, ultimately for DTI Common Stock; and (b) the exchange of shares for the Closing Date Loan Note Consideration will be effected without arrangements to which section 137 of the Taxation of Chargeable Gains Act 1992 applies. </w:t>
      </w:r>
    </w:p>
    <w:p>
      <w:pPr>
        <w:pStyle w:val="TextBody"/>
        <w:bidi w:val="0"/>
        <w:spacing w:before="240" w:after="0"/>
        <w:jc w:val="left"/>
        <w:rPr>
          <w:rFonts w:ascii="Times New Roman" w:hAnsi="Times New Roman"/>
          <w:sz w:val="20"/>
        </w:rPr>
      </w:pPr>
      <w:r>
        <w:rPr>
          <w:rFonts w:ascii="Times New Roman" w:hAnsi="Times New Roman"/>
          <w:b/>
          <w:sz w:val="20"/>
        </w:rPr>
        <w:t>8.4</w:t>
      </w:r>
      <w:r>
        <w:rPr>
          <w:rFonts w:ascii="Times New Roman" w:hAnsi="Times New Roman"/>
          <w:sz w:val="20"/>
        </w:rPr>
        <w:t xml:space="preserve"> </w:t>
      </w:r>
      <w:r>
        <w:rPr>
          <w:rFonts w:ascii="Times New Roman" w:hAnsi="Times New Roman"/>
          <w:b/>
          <w:sz w:val="20"/>
          <w:u w:val="single"/>
        </w:rPr>
        <w:t>Frustration of Closing Conditions</w:t>
      </w:r>
      <w:r>
        <w:rPr>
          <w:rFonts w:ascii="Times New Roman" w:hAnsi="Times New Roman"/>
          <w:sz w:val="20"/>
        </w:rPr>
        <w:t xml:space="preserve">. Neither Buyer, the Companies nor the Sellers may rely on the failure of any condition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or </w:t>
      </w:r>
      <w:r>
        <w:rPr>
          <w:rFonts w:ascii="Times New Roman" w:hAnsi="Times New Roman"/>
          <w:sz w:val="20"/>
          <w:u w:val="single"/>
        </w:rPr>
        <w:t>8.3</w:t>
      </w:r>
      <w:r>
        <w:rPr>
          <w:rFonts w:ascii="Times New Roman" w:hAnsi="Times New Roman"/>
          <w:sz w:val="20"/>
        </w:rPr>
        <w:t xml:space="preserve"> to be satisfied if such failure was primarily caused by such Party’s material breach of its obligations to consummate the transactions contemplated by this Agreement as required by the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8.5</w:t>
      </w:r>
      <w:r>
        <w:rPr>
          <w:rFonts w:ascii="Times New Roman" w:hAnsi="Times New Roman"/>
          <w:sz w:val="20"/>
        </w:rPr>
        <w:t xml:space="preserve"> </w:t>
      </w:r>
      <w:r>
        <w:rPr>
          <w:rFonts w:ascii="Times New Roman" w:hAnsi="Times New Roman"/>
          <w:b/>
          <w:sz w:val="20"/>
          <w:u w:val="single"/>
        </w:rPr>
        <w:t>Financing Updates</w:t>
      </w:r>
      <w:r>
        <w:rPr>
          <w:rFonts w:ascii="Times New Roman" w:hAnsi="Times New Roman"/>
          <w:sz w:val="20"/>
        </w:rPr>
        <w:t xml:space="preserve">. From the date of this Agreement until the earlier of the Closing and the termination of this Agreement, Buyer shall keep the Seller Representative reasonably informed of the status of the Financing, including by providing written updates no less frequently than once every five (5) Business Days setting out in reasonable detail (i) the key milestones achieved and remaining in connection with obtaining the Financing, (ii) any material developments, changes or conditions relating to the Financing, and (iii) any circumstances that could reasonably be expected to prevent or materially delay the obtaining of the Financing on or prior to the Outside Date. </w:t>
      </w:r>
    </w:p>
    <w:p>
      <w:pPr>
        <w:pStyle w:val="TextBody"/>
        <w:bidi w:val="0"/>
        <w:spacing w:before="240" w:after="0"/>
        <w:jc w:val="left"/>
        <w:rPr>
          <w:rFonts w:ascii="Times New Roman" w:hAnsi="Times New Roman"/>
          <w:sz w:val="20"/>
        </w:rPr>
      </w:pPr>
      <w:r>
        <w:rPr>
          <w:rFonts w:ascii="Times New Roman" w:hAnsi="Times New Roman"/>
          <w:b/>
          <w:sz w:val="20"/>
        </w:rPr>
        <w:t>8.6</w:t>
      </w:r>
      <w:r>
        <w:rPr>
          <w:rFonts w:ascii="Times New Roman" w:hAnsi="Times New Roman"/>
          <w:sz w:val="20"/>
        </w:rPr>
        <w:t xml:space="preserve"> </w:t>
      </w:r>
      <w:r>
        <w:rPr>
          <w:rFonts w:ascii="Times New Roman" w:hAnsi="Times New Roman"/>
          <w:b/>
          <w:sz w:val="20"/>
          <w:u w:val="single"/>
        </w:rPr>
        <w:t>Financing Discussions</w:t>
      </w:r>
      <w:r>
        <w:rPr>
          <w:rFonts w:ascii="Times New Roman" w:hAnsi="Times New Roman"/>
          <w:sz w:val="20"/>
        </w:rPr>
        <w:t>. If the Financing has not been obtained on or prior to November 30, 2026, the Seller Representative may, by written notice to Buyer (a “</w:t>
      </w:r>
      <w:r>
        <w:rPr>
          <w:rFonts w:ascii="Times New Roman" w:hAnsi="Times New Roman"/>
          <w:b/>
          <w:i/>
          <w:sz w:val="20"/>
        </w:rPr>
        <w:t>Financing Discussion Notice</w:t>
      </w:r>
      <w:r>
        <w:rPr>
          <w:rFonts w:ascii="Times New Roman" w:hAnsi="Times New Roman"/>
          <w:sz w:val="20"/>
        </w:rPr>
        <w:t>”), require Buyer to enter into good faith discussions with the Seller Representative regarding the status and prospects of the Financing. Following receipt of a Financing Discussion Notice, Buyer and the Seller Representative and their respective advisors shall meet (in person or by video conference) within five (5) Business Days and shall thereafter continue to engage in good faith discussions for a period of not less than ten (10) Business Days (the “</w:t>
      </w:r>
      <w:r>
        <w:rPr>
          <w:rFonts w:ascii="Times New Roman" w:hAnsi="Times New Roman"/>
          <w:b/>
          <w:i/>
          <w:sz w:val="20"/>
        </w:rPr>
        <w:t>Financing Discussion Period</w:t>
      </w:r>
      <w:r>
        <w:rPr>
          <w:rFonts w:ascii="Times New Roman" w:hAnsi="Times New Roman"/>
          <w:sz w:val="20"/>
        </w:rPr>
        <w:t xml:space="preserve">”) with a view to agreeing a path to completion of the Financing on or prior to the Outside Date. During the Financing Discussion Period, Buyer shall provide the Seller Representative with such information regarding the Financing as the Seller Representative may reasonably request (subject to customary confidentiality restrictions imposed by any financing provider).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OF AGREEMENT </w:t>
      </w:r>
    </w:p>
    <w:p>
      <w:pPr>
        <w:pStyle w:val="TextBody"/>
        <w:bidi w:val="0"/>
        <w:spacing w:before="240" w:after="0"/>
        <w:jc w:val="left"/>
        <w:rPr>
          <w:rFonts w:ascii="Times New Roman" w:hAnsi="Times New Roman"/>
          <w:sz w:val="20"/>
        </w:rPr>
      </w:pPr>
      <w:r>
        <w:rPr>
          <w:rFonts w:ascii="Times New Roman" w:hAnsi="Times New Roman"/>
          <w:b/>
          <w:sz w:val="20"/>
        </w:rPr>
        <w:t>9.1</w:t>
      </w:r>
      <w:r>
        <w:rPr>
          <w:rFonts w:ascii="Times New Roman" w:hAnsi="Times New Roman"/>
          <w:sz w:val="20"/>
        </w:rPr>
        <w:t xml:space="preserve"> </w:t>
      </w:r>
      <w:r>
        <w:rPr>
          <w:rFonts w:ascii="Times New Roman" w:hAnsi="Times New Roman"/>
          <w:b/>
          <w:sz w:val="20"/>
          <w:u w:val="single"/>
        </w:rPr>
        <w:t>Termination</w:t>
      </w:r>
      <w:r>
        <w:rPr>
          <w:rFonts w:ascii="Times New Roman" w:hAnsi="Times New Roman"/>
          <w:sz w:val="20"/>
        </w:rPr>
        <w:t xml:space="preserve">. Notwithstanding any other provision of this Agreement, this Agreement may be terminated at any time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(a) by the mutual written consent of Buyer and the Seller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by Buyer or the Seller Representative, upon written notice to the other Party, if the Closing has not occurred on or prior to March 31, 2027 (the “</w:t>
      </w:r>
      <w:r>
        <w:rPr>
          <w:rFonts w:ascii="Times New Roman" w:hAnsi="Times New Roman"/>
          <w:b/>
          <w:i/>
          <w:sz w:val="20"/>
        </w:rPr>
        <w:t>Outside Date</w:t>
      </w:r>
      <w:r>
        <w:rPr>
          <w:rFonts w:ascii="Times New Roman" w:hAnsi="Times New Roman"/>
          <w:sz w:val="20"/>
        </w:rPr>
        <w:t xml:space="preserve">”); provided, that the right to terminate this Agreement pursuant to this </w:t>
      </w:r>
      <w:r>
        <w:rPr>
          <w:rFonts w:ascii="Times New Roman" w:hAnsi="Times New Roman"/>
          <w:sz w:val="20"/>
          <w:u w:val="single"/>
        </w:rPr>
        <w:t>Section 9.1(b)</w:t>
      </w:r>
      <w:r>
        <w:rPr>
          <w:rFonts w:ascii="Times New Roman" w:hAnsi="Times New Roman"/>
          <w:sz w:val="20"/>
        </w:rPr>
        <w:t xml:space="preserve"> shall not be available to any Party whose breach of its obligations, covenants, representations or warranties under this Agreement has been the principal cause of the failure of the Closing to occur by such time; provided, further, that the right to terminate this Agreement pursuant to this Section 9.1(b) shall not be available to Parent or Buyer if the failure of the Closing to occur by the Outside Date is primarily attributable to the pendency of proceedings initiated by Parent pursuant to </w:t>
      </w:r>
      <w:r>
        <w:rPr>
          <w:rFonts w:ascii="Times New Roman" w:hAnsi="Times New Roman"/>
          <w:sz w:val="20"/>
          <w:u w:val="single"/>
        </w:rPr>
        <w:t>Section 7.13(j)</w:t>
      </w:r>
      <w:r>
        <w:rPr>
          <w:rFonts w:ascii="Times New Roman" w:hAnsi="Times New Roman"/>
          <w:sz w:val="20"/>
        </w:rPr>
        <w:t xml:space="preserve"> seeking validation of defective corporate acts under Section 205 of the DGCL; </w:t>
      </w:r>
    </w:p>
    <w:p>
      <w:pPr>
        <w:pStyle w:val="TextBody"/>
        <w:bidi w:val="0"/>
        <w:spacing w:before="240" w:after="0"/>
        <w:jc w:val="left"/>
        <w:rPr>
          <w:rFonts w:ascii="Times New Roman" w:hAnsi="Times New Roman"/>
          <w:sz w:val="20"/>
        </w:rPr>
      </w:pPr>
      <w:r>
        <w:rPr>
          <w:rFonts w:ascii="Times New Roman" w:hAnsi="Times New Roman"/>
          <w:sz w:val="20"/>
        </w:rPr>
        <w:t xml:space="preserve">(c) by Buyer or the Seller Representative, upon written notice to the other Party, if any Order shall have been entered by any Governmental Authority which would prohibit, restrain or otherwise make illegal the consummation of the Closing or cause such transactions to be rescinded, and such Order is in effect and has become final and non-appealable;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9.1(c)</w:t>
      </w:r>
      <w:r>
        <w:rPr>
          <w:rFonts w:ascii="Times New Roman" w:hAnsi="Times New Roman"/>
          <w:sz w:val="20"/>
        </w:rPr>
        <w:t xml:space="preserve"> shall not be available to any Party that is in material breach of its obligations or covenants under </w:t>
      </w:r>
      <w:r>
        <w:rPr>
          <w:rFonts w:ascii="Times New Roman" w:hAnsi="Times New Roman"/>
          <w:sz w:val="20"/>
          <w:u w:val="single"/>
        </w:rPr>
        <w:t>Section 7.9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by Buyer, upon written notice to the Seller Representative that the Buyer has determined, acting reasonably, that a Material Adverse Effect has occurred (an “</w:t>
      </w:r>
      <w:r>
        <w:rPr>
          <w:rFonts w:ascii="Times New Roman" w:hAnsi="Times New Roman"/>
          <w:b/>
          <w:i/>
          <w:sz w:val="20"/>
        </w:rPr>
        <w:t>MAE Termination Notice</w:t>
      </w:r>
      <w:r>
        <w:rPr>
          <w:rFonts w:ascii="Times New Roman" w:hAnsi="Times New Roman"/>
          <w:sz w:val="20"/>
        </w:rPr>
        <w:t>”)</w:t>
      </w:r>
      <w:r>
        <w:rPr>
          <w:rFonts w:ascii="Times New Roman" w:hAnsi="Times New Roman"/>
          <w:b/>
          <w:sz w:val="20"/>
        </w:rPr>
        <w:t>,</w:t>
      </w:r>
      <w:r>
        <w:rPr>
          <w:rFonts w:ascii="Times New Roman" w:hAnsi="Times New Roman"/>
          <w:sz w:val="20"/>
        </w:rPr>
        <w:t xml:space="preserve"> provided always that: </w:t>
      </w:r>
    </w:p>
    <w:p>
      <w:pPr>
        <w:pStyle w:val="TextBody"/>
        <w:bidi w:val="0"/>
        <w:spacing w:before="240" w:after="0"/>
        <w:jc w:val="left"/>
        <w:rPr>
          <w:rFonts w:ascii="Times New Roman" w:hAnsi="Times New Roman"/>
          <w:sz w:val="20"/>
        </w:rPr>
      </w:pPr>
      <w:r>
        <w:rPr>
          <w:rFonts w:ascii="Times New Roman" w:hAnsi="Times New Roman"/>
          <w:sz w:val="20"/>
        </w:rPr>
        <w:t xml:space="preserve">(i) the MAE Termination Notice shall set out in reasonable detail the event, change, condition, state of facts, occurrence or development that Buyer considers constitutes a Material Adverse Effect, together with reasonable supporting evidence thereof; </w:t>
      </w:r>
    </w:p>
    <w:p>
      <w:pPr>
        <w:pStyle w:val="TextBody"/>
        <w:bidi w:val="0"/>
        <w:spacing w:before="240" w:after="0"/>
        <w:jc w:val="left"/>
        <w:rPr>
          <w:rFonts w:ascii="Times New Roman" w:hAnsi="Times New Roman"/>
          <w:sz w:val="20"/>
        </w:rPr>
      </w:pPr>
      <w:r>
        <w:rPr>
          <w:rFonts w:ascii="Times New Roman" w:hAnsi="Times New Roman"/>
          <w:sz w:val="20"/>
        </w:rPr>
        <w:t>(ii) the Seller Representative shall have a period of twenty (20) Business Days following receipt of the MAE Termination Notice (the “</w:t>
      </w:r>
      <w:r>
        <w:rPr>
          <w:rFonts w:ascii="Times New Roman" w:hAnsi="Times New Roman"/>
          <w:b/>
          <w:i/>
          <w:sz w:val="20"/>
        </w:rPr>
        <w:t>MAE Cure Period</w:t>
      </w:r>
      <w:r>
        <w:rPr>
          <w:rFonts w:ascii="Times New Roman" w:hAnsi="Times New Roman"/>
          <w:sz w:val="20"/>
        </w:rPr>
        <w:t>”) within which to cure or remedy the event, change, condition, state of facts, occurrence or development giving rise to the Material Adverse Effect (to the extent capable of cure or remedy), and Buyer shall not be entitled to terminate this Agreement pursuant to this Section </w:t>
      </w:r>
      <w:r>
        <w:rPr>
          <w:rFonts w:ascii="Times New Roman" w:hAnsi="Times New Roman"/>
          <w:sz w:val="20"/>
          <w:u w:val="single"/>
        </w:rPr>
        <w:t>9.1(d)</w:t>
      </w:r>
      <w:r>
        <w:rPr>
          <w:rFonts w:ascii="Times New Roman" w:hAnsi="Times New Roman"/>
          <w:sz w:val="20"/>
        </w:rPr>
        <w:t xml:space="preserve"> if such Material Adverse Effect is cured or remedied during the MAE Cure Period such that it no longer constitutes a Material Adverse Effect; </w:t>
      </w:r>
    </w:p>
    <w:p>
      <w:pPr>
        <w:pStyle w:val="TextBody"/>
        <w:bidi w:val="0"/>
        <w:spacing w:before="240" w:after="0"/>
        <w:jc w:val="left"/>
        <w:rPr>
          <w:rFonts w:ascii="Times New Roman" w:hAnsi="Times New Roman"/>
          <w:sz w:val="20"/>
        </w:rPr>
      </w:pPr>
      <w:r>
        <w:rPr>
          <w:rFonts w:ascii="Times New Roman" w:hAnsi="Times New Roman"/>
          <w:sz w:val="20"/>
        </w:rPr>
        <w:t>(iii) if the Seller Representative disputes in writing (an “</w:t>
      </w:r>
      <w:r>
        <w:rPr>
          <w:rFonts w:ascii="Times New Roman" w:hAnsi="Times New Roman"/>
          <w:b/>
          <w:i/>
          <w:sz w:val="20"/>
        </w:rPr>
        <w:t>MAE Dispute Notice</w:t>
      </w:r>
      <w:r>
        <w:rPr>
          <w:rFonts w:ascii="Times New Roman" w:hAnsi="Times New Roman"/>
          <w:sz w:val="20"/>
        </w:rPr>
        <w:t xml:space="preserve">”), within ten (10) Business Days of receipt of the MAE Termination Notice, that a Material Adverse Effect has occurred, then Buyer shall not be entitled to terminate this Agreement pursuant to this </w:t>
      </w:r>
      <w:r>
        <w:rPr>
          <w:rFonts w:ascii="Times New Roman" w:hAnsi="Times New Roman"/>
          <w:sz w:val="20"/>
          <w:u w:val="single"/>
        </w:rPr>
        <w:t>Section 9.1(d)</w:t>
      </w:r>
      <w:r>
        <w:rPr>
          <w:rFonts w:ascii="Times New Roman" w:hAnsi="Times New Roman"/>
          <w:sz w:val="20"/>
        </w:rPr>
        <w:t xml:space="preserve"> unless and until the dispute has been resolved in accordance with the following procedure: </w:t>
      </w:r>
    </w:p>
    <w:p>
      <w:pPr>
        <w:pStyle w:val="TextBody"/>
        <w:bidi w:val="0"/>
        <w:spacing w:before="120" w:after="0"/>
        <w:jc w:val="left"/>
        <w:rPr>
          <w:rFonts w:ascii="Times New Roman" w:hAnsi="Times New Roman"/>
          <w:sz w:val="20"/>
        </w:rPr>
      </w:pPr>
      <w:r>
        <w:rPr>
          <w:rFonts w:ascii="Times New Roman" w:hAnsi="Times New Roman"/>
          <w:sz w:val="20"/>
        </w:rPr>
        <w:t>(A) the Parties shall first seek to resolve the dispute by good faith negotiations between senior representatives of Buyer and the Seller Representative for a period of ten (10) Business Days following receipt by Buyer of the MAE Dispute Notice (the “</w:t>
      </w:r>
      <w:r>
        <w:rPr>
          <w:rFonts w:ascii="Times New Roman" w:hAnsi="Times New Roman"/>
          <w:b/>
          <w:i/>
          <w:sz w:val="20"/>
        </w:rPr>
        <w:t>MAE Negotiation Period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if the dispute is not resolved during the MAE Negotiation Period, either Buyer or the Seller Representative may, by written notice to the other, refer the dispute to an independent expert (the “</w:t>
      </w:r>
      <w:r>
        <w:rPr>
          <w:rFonts w:ascii="Times New Roman" w:hAnsi="Times New Roman"/>
          <w:b/>
          <w:i/>
          <w:sz w:val="20"/>
        </w:rPr>
        <w:t>MAE Expert</w:t>
      </w:r>
      <w:r>
        <w:rPr>
          <w:rFonts w:ascii="Times New Roman" w:hAnsi="Times New Roman"/>
          <w:sz w:val="20"/>
        </w:rPr>
        <w:t xml:space="preserve">”) for determination. The MAE Expert shall be a partner or director of an internationally recognised accounting firm or investment bank (other than the auditors of the Companies or Parent or any advisor to any Party in connection with the transactions contemplated hereby) agreed upon by Buyer and the Seller Representative, or, failing agreement within ten (10) Business Days of the referral notice, appointed on the application of either Party by the President of the Institute of Chartered Accountants in England and Wales; </w:t>
      </w:r>
    </w:p>
    <w:p>
      <w:pPr>
        <w:pStyle w:val="TextBody"/>
        <w:bidi w:val="0"/>
        <w:spacing w:before="120" w:after="0"/>
        <w:jc w:val="left"/>
        <w:rPr>
          <w:rFonts w:ascii="Times New Roman" w:hAnsi="Times New Roman"/>
          <w:sz w:val="20"/>
        </w:rPr>
      </w:pPr>
      <w:r>
        <w:rPr>
          <w:rFonts w:ascii="Times New Roman" w:hAnsi="Times New Roman"/>
          <w:sz w:val="20"/>
        </w:rPr>
        <w:t xml:space="preserve">(C) the MAE Expert shall act as an expert and not as an arbitrator and shall be instructed to determine, as soon as reasonably practicable (and in any event within thirty (30) days of appointment), whether a Material Adverse Effect has occurred. Each of Buyer and the Seller Representative shall be entitled to make written submissions to the MAE Expert and shall provide such information and assistance as the MAE Expert may reasonably require. The MAE Expert’s determination shall, in the absence of manifest error or fraud, be final and binding on the Parties. The costs of the MAE Expert shall be borne by the Party whose position is not upheld by the MAE Expert’s determination (or, if the MAE Expert’s determination does not wholly uphold the position of either Party, such costs shall be apportioned between the Parties as the MAE Expert shall determine); and </w:t>
      </w:r>
    </w:p>
    <w:p>
      <w:pPr>
        <w:pStyle w:val="TextBody"/>
        <w:bidi w:val="0"/>
        <w:spacing w:before="120" w:after="0"/>
        <w:jc w:val="left"/>
        <w:rPr>
          <w:rFonts w:ascii="Times New Roman" w:hAnsi="Times New Roman"/>
          <w:sz w:val="20"/>
        </w:rPr>
      </w:pPr>
      <w:r>
        <w:rPr>
          <w:rFonts w:ascii="Times New Roman" w:hAnsi="Times New Roman"/>
          <w:sz w:val="20"/>
        </w:rPr>
        <w:t>(D) Buyer shall only be entitled to terminate this Agreement pursuant to this Section </w:t>
      </w:r>
      <w:r>
        <w:rPr>
          <w:rFonts w:ascii="Times New Roman" w:hAnsi="Times New Roman"/>
          <w:sz w:val="20"/>
          <w:u w:val="single"/>
        </w:rPr>
        <w:t>9.1(d)</w:t>
      </w:r>
      <w:r>
        <w:rPr>
          <w:rFonts w:ascii="Times New Roman" w:hAnsi="Times New Roman"/>
          <w:sz w:val="20"/>
        </w:rPr>
        <w:t xml:space="preserve"> if the MAE Expert determines that a Material Adverse Effect has occurred (or, if no MAE Dispute Notice is delivered within the period specified above, upon expiry of the MAE Cure Period without the Material Adverse Effect having been cured or remedied); </w:t>
      </w:r>
    </w:p>
    <w:p>
      <w:pPr>
        <w:pStyle w:val="TextBody"/>
        <w:bidi w:val="0"/>
        <w:spacing w:before="240" w:after="0"/>
        <w:jc w:val="left"/>
        <w:rPr>
          <w:rFonts w:ascii="Times New Roman" w:hAnsi="Times New Roman"/>
          <w:sz w:val="20"/>
        </w:rPr>
      </w:pPr>
      <w:r>
        <w:rPr>
          <w:rFonts w:ascii="Times New Roman" w:hAnsi="Times New Roman"/>
          <w:sz w:val="20"/>
        </w:rPr>
        <w:t xml:space="preserve">(e) by the Seller Representative, upon written notice to Buyer, if (i) the Seller Representative has delivered a Financing Discussion Notice pursuant to </w:t>
      </w:r>
      <w:r>
        <w:rPr>
          <w:rFonts w:ascii="Times New Roman" w:hAnsi="Times New Roman"/>
          <w:sz w:val="20"/>
          <w:u w:val="single"/>
        </w:rPr>
        <w:t>Section 8.6</w:t>
      </w:r>
      <w:r>
        <w:rPr>
          <w:rFonts w:ascii="Times New Roman" w:hAnsi="Times New Roman"/>
          <w:sz w:val="20"/>
        </w:rPr>
        <w:t xml:space="preserve">, (ii) the Financing Discussion Period has expired, and (iii) the Seller Representative and Buyer determine, acting reasonably and in good faith and having regard to the discussions conducted during the Financing Discussion Period and all other relevant circumstances, that there is no reasonable prospect of the Financing being obtained on or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(f) by Buyer or the Seller Representative, upon written notice to the other Party, if (i) Buyer has used all reasonable efforts to obtain the Financing and (ii) the Financing has not been obtained on or prior to the Outside Date and this Agreement has not been terminated pursuant to </w:t>
      </w:r>
      <w:r>
        <w:rPr>
          <w:rFonts w:ascii="Times New Roman" w:hAnsi="Times New Roman"/>
          <w:sz w:val="20"/>
          <w:u w:val="single"/>
        </w:rPr>
        <w:t>Section 9.1(e)</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by: (i) Buyer or the Seller Representative, upon written notice to the other Party, if any condition set forth in </w:t>
      </w:r>
      <w:r>
        <w:rPr>
          <w:rFonts w:ascii="Times New Roman" w:hAnsi="Times New Roman"/>
          <w:sz w:val="20"/>
          <w:u w:val="single"/>
        </w:rPr>
        <w:t>Section 8.1</w:t>
      </w:r>
      <w:r>
        <w:rPr>
          <w:rFonts w:ascii="Times New Roman" w:hAnsi="Times New Roman"/>
          <w:sz w:val="20"/>
        </w:rPr>
        <w:t xml:space="preserve"> has become incapable of being satisfied prior to the Outside Date; (ii) Buyer, upon written notice to the Seller Representative, if any condition set forth in </w:t>
      </w:r>
      <w:r>
        <w:rPr>
          <w:rFonts w:ascii="Times New Roman" w:hAnsi="Times New Roman"/>
          <w:sz w:val="20"/>
          <w:u w:val="single"/>
        </w:rPr>
        <w:t>Section 8.2</w:t>
      </w:r>
      <w:r>
        <w:rPr>
          <w:rFonts w:ascii="Times New Roman" w:hAnsi="Times New Roman"/>
          <w:sz w:val="20"/>
        </w:rPr>
        <w:t xml:space="preserve"> has become incapable of being satisfied prior to the Outside Date (other than in respect of a Material Adverse Effect, in respect of which </w:t>
      </w:r>
      <w:r>
        <w:rPr>
          <w:rFonts w:ascii="Times New Roman" w:hAnsi="Times New Roman"/>
          <w:sz w:val="20"/>
          <w:u w:val="single"/>
        </w:rPr>
        <w:t>Section 9.1(d)</w:t>
      </w:r>
      <w:r>
        <w:rPr>
          <w:rFonts w:ascii="Times New Roman" w:hAnsi="Times New Roman"/>
          <w:sz w:val="20"/>
        </w:rPr>
        <w:t xml:space="preserve"> shall apply); and (iii) the Seller Representative, upon written notice to Buyer, if any condition set forth in </w:t>
      </w:r>
      <w:r>
        <w:rPr>
          <w:rFonts w:ascii="Times New Roman" w:hAnsi="Times New Roman"/>
          <w:sz w:val="20"/>
          <w:u w:val="single"/>
        </w:rPr>
        <w:t>Section 8.3</w:t>
      </w:r>
      <w:r>
        <w:rPr>
          <w:rFonts w:ascii="Times New Roman" w:hAnsi="Times New Roman"/>
          <w:sz w:val="20"/>
        </w:rPr>
        <w:t xml:space="preserve"> has become incapable of being satisfied prior to the Outside Date, in each case provided, that the right to terminate this Agreement pursuant to this </w:t>
      </w:r>
      <w:r>
        <w:rPr>
          <w:rFonts w:ascii="Times New Roman" w:hAnsi="Times New Roman"/>
          <w:sz w:val="20"/>
          <w:u w:val="single"/>
        </w:rPr>
        <w:t>Section 9.1(g)</w:t>
      </w:r>
      <w:r>
        <w:rPr>
          <w:rFonts w:ascii="Times New Roman" w:hAnsi="Times New Roman"/>
          <w:sz w:val="20"/>
        </w:rPr>
        <w:t xml:space="preserve"> shall not be available to any Party whose breach of its obligations, covenants, representations or warranties under this Agreement has been the principal cause of such condition becoming incapable of being satisfied. </w:t>
      </w:r>
    </w:p>
    <w:p>
      <w:pPr>
        <w:pStyle w:val="TextBody"/>
        <w:bidi w:val="0"/>
        <w:spacing w:before="240" w:after="0"/>
        <w:jc w:val="left"/>
        <w:rPr>
          <w:rFonts w:ascii="Times New Roman" w:hAnsi="Times New Roman"/>
          <w:sz w:val="20"/>
        </w:rPr>
      </w:pPr>
      <w:r>
        <w:rPr>
          <w:rFonts w:ascii="Times New Roman" w:hAnsi="Times New Roman"/>
          <w:b/>
          <w:sz w:val="20"/>
        </w:rPr>
        <w:t>9.2</w:t>
      </w:r>
      <w:r>
        <w:rPr>
          <w:rFonts w:ascii="Times New Roman" w:hAnsi="Times New Roman"/>
          <w:sz w:val="20"/>
        </w:rPr>
        <w:t xml:space="preserve"> </w:t>
      </w:r>
      <w:r>
        <w:rPr>
          <w:rFonts w:ascii="Times New Roman" w:hAnsi="Times New Roman"/>
          <w:b/>
          <w:sz w:val="20"/>
          <w:u w:val="single"/>
        </w:rPr>
        <w:t>Effect of Termination</w:t>
      </w:r>
      <w:r>
        <w:rPr>
          <w:rFonts w:ascii="Times New Roman" w:hAnsi="Times New Roman"/>
          <w:sz w:val="20"/>
        </w:rPr>
        <w:t xml:space="preserve">. If this Agreement is terminated in accordance with </w:t>
      </w:r>
      <w:r>
        <w:rPr>
          <w:rFonts w:ascii="Times New Roman" w:hAnsi="Times New Roman"/>
          <w:sz w:val="20"/>
          <w:u w:val="single"/>
        </w:rPr>
        <w:t>Section 9.1</w:t>
      </w:r>
      <w:r>
        <w:rPr>
          <w:rFonts w:ascii="Times New Roman" w:hAnsi="Times New Roman"/>
          <w:sz w:val="20"/>
        </w:rPr>
        <w:t xml:space="preserve">, then (a) this Agreement shall forthwith become void and of no further force or effect (other than those provisions which, by their nature, are intended to survive the termination of this Agreement, including </w:t>
      </w:r>
      <w:r>
        <w:rPr>
          <w:rFonts w:ascii="Times New Roman" w:hAnsi="Times New Roman"/>
          <w:sz w:val="20"/>
          <w:u w:val="single"/>
        </w:rPr>
        <w:t>Sections 7.4(c)</w:t>
      </w:r>
      <w:r>
        <w:rPr>
          <w:rFonts w:ascii="Times New Roman" w:hAnsi="Times New Roman"/>
          <w:sz w:val="20"/>
        </w:rPr>
        <w:t xml:space="preserve"> and </w:t>
      </w:r>
      <w:r>
        <w:rPr>
          <w:rFonts w:ascii="Times New Roman" w:hAnsi="Times New Roman"/>
          <w:sz w:val="20"/>
          <w:u w:val="single"/>
        </w:rPr>
        <w:t>7.4(d)</w:t>
      </w:r>
      <w:r>
        <w:rPr>
          <w:rFonts w:ascii="Times New Roman" w:hAnsi="Times New Roman"/>
          <w:sz w:val="20"/>
        </w:rPr>
        <w:t xml:space="preserve">, </w:t>
      </w:r>
      <w:r>
        <w:rPr>
          <w:rFonts w:ascii="Times New Roman" w:hAnsi="Times New Roman"/>
          <w:sz w:val="20"/>
          <w:u w:val="single"/>
        </w:rPr>
        <w:t>Section 7.5</w:t>
      </w:r>
      <w:r>
        <w:rPr>
          <w:rFonts w:ascii="Times New Roman" w:hAnsi="Times New Roman"/>
          <w:sz w:val="20"/>
        </w:rPr>
        <w:t xml:space="preserve">,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Article XII</w:t>
      </w:r>
      <w:r>
        <w:rPr>
          <w:rFonts w:ascii="Times New Roman" w:hAnsi="Times New Roman"/>
          <w:sz w:val="20"/>
        </w:rPr>
        <w:t xml:space="preserve"> and the Confidentiality Agreement, each of which shall survive the termination of this Agreement and shall be enforceable by the Parties notwithstanding any such termination), and (b) there shall be no liability on the part of any of the Parties arising in connection with this Agreement, except (i) with respect to breaches of any of the surviving provisions identified in this </w:t>
      </w:r>
      <w:r>
        <w:rPr>
          <w:rFonts w:ascii="Times New Roman" w:hAnsi="Times New Roman"/>
          <w:sz w:val="20"/>
          <w:u w:val="single"/>
        </w:rPr>
        <w:t>Section 9.2</w:t>
      </w:r>
      <w:r>
        <w:rPr>
          <w:rFonts w:ascii="Times New Roman" w:hAnsi="Times New Roman"/>
          <w:sz w:val="20"/>
        </w:rPr>
        <w:t xml:space="preserve">, and (ii) for breaches of the covenants or agreements contained in this Agreement prior to the time of such termination (including, the failure of a party to consummate the transactions contemplated by this Agreement as and when required by </w:t>
      </w:r>
      <w:r>
        <w:rPr>
          <w:rFonts w:ascii="Times New Roman" w:hAnsi="Times New Roman"/>
          <w:sz w:val="20"/>
          <w:u w:val="single"/>
        </w:rPr>
        <w:t>Section 3.1</w:t>
      </w:r>
      <w:r>
        <w:rPr>
          <w:rFonts w:ascii="Times New Roman" w:hAnsi="Times New Roman"/>
          <w:sz w:val="20"/>
        </w:rPr>
        <w:t xml:space="preserve">). Nothing in this </w:t>
      </w:r>
      <w:r>
        <w:rPr>
          <w:rFonts w:ascii="Times New Roman" w:hAnsi="Times New Roman"/>
          <w:sz w:val="20"/>
          <w:u w:val="single"/>
        </w:rPr>
        <w:t>Article IX</w:t>
      </w:r>
      <w:r>
        <w:rPr>
          <w:rFonts w:ascii="Times New Roman" w:hAnsi="Times New Roman"/>
          <w:sz w:val="20"/>
        </w:rPr>
        <w:t xml:space="preserve"> shall be deemed to alter the provisions of </w:t>
      </w:r>
      <w:r>
        <w:rPr>
          <w:rFonts w:ascii="Times New Roman" w:hAnsi="Times New Roman"/>
          <w:sz w:val="20"/>
          <w:u w:val="single"/>
        </w:rPr>
        <w:t>Section 12.13</w:t>
      </w:r>
      <w:r>
        <w:rPr>
          <w:rFonts w:ascii="Times New Roman" w:hAnsi="Times New Roman"/>
          <w:sz w:val="20"/>
        </w:rPr>
        <w:t xml:space="preserve"> or otherwise impair the right of any Party to compel specific performance by another Party of its obligations under this Agreement in accordance with </w:t>
      </w:r>
      <w:r>
        <w:rPr>
          <w:rFonts w:ascii="Times New Roman" w:hAnsi="Times New Roman"/>
          <w:sz w:val="20"/>
          <w:u w:val="single"/>
        </w:rPr>
        <w:t>Section 12.13(a)</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9.3 </w:t>
      </w:r>
      <w:r>
        <w:rPr>
          <w:rFonts w:ascii="Times New Roman" w:hAnsi="Times New Roman"/>
          <w:b/>
          <w:sz w:val="20"/>
          <w:u w:val="single"/>
        </w:rPr>
        <w:t>Expense Reimbursement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(i) Buyer terminates this Agreement pursuant to </w:t>
      </w:r>
      <w:r>
        <w:rPr>
          <w:rFonts w:ascii="Times New Roman" w:hAnsi="Times New Roman"/>
          <w:sz w:val="20"/>
          <w:u w:val="single"/>
        </w:rPr>
        <w:t>Section 9.1</w:t>
      </w:r>
      <w:r>
        <w:rPr>
          <w:rFonts w:ascii="Times New Roman" w:hAnsi="Times New Roman"/>
          <w:sz w:val="20"/>
        </w:rPr>
        <w:t xml:space="preserve"> as a result of a material breach by the Companies or the Sellers of their obligations hereunder, and such breach has been agreed by the Parties or finally determined by a court of competent jurisdiction, or (ii) the Seller Representative terminates this Agreement for any reason other than (A) a material breach by Buyer of its obligations hereunder, (B) mutual written consent pursuant to </w:t>
      </w:r>
      <w:r>
        <w:rPr>
          <w:rFonts w:ascii="Times New Roman" w:hAnsi="Times New Roman"/>
          <w:sz w:val="20"/>
          <w:u w:val="single"/>
        </w:rPr>
        <w:t>Section 9.1(a)</w:t>
      </w:r>
      <w:r>
        <w:rPr>
          <w:rFonts w:ascii="Times New Roman" w:hAnsi="Times New Roman"/>
          <w:sz w:val="20"/>
        </w:rPr>
        <w:t xml:space="preserve">, (C) failure to satisfy the conditions set forth in </w:t>
      </w:r>
      <w:r>
        <w:rPr>
          <w:rFonts w:ascii="Times New Roman" w:hAnsi="Times New Roman"/>
          <w:sz w:val="20"/>
          <w:u w:val="single"/>
        </w:rPr>
        <w:t>Sections 8.1(c)</w:t>
      </w:r>
      <w:r>
        <w:rPr>
          <w:rFonts w:ascii="Times New Roman" w:hAnsi="Times New Roman"/>
          <w:sz w:val="20"/>
        </w:rPr>
        <w:t xml:space="preserve"> or </w:t>
      </w:r>
      <w:r>
        <w:rPr>
          <w:rFonts w:ascii="Times New Roman" w:hAnsi="Times New Roman"/>
          <w:sz w:val="20"/>
          <w:u w:val="single"/>
        </w:rPr>
        <w:t>8.2(c)</w:t>
      </w:r>
      <w:r>
        <w:rPr>
          <w:rFonts w:ascii="Times New Roman" w:hAnsi="Times New Roman"/>
          <w:sz w:val="20"/>
        </w:rPr>
        <w:t>, or (D) any other failure by Buyer or Parent to satisfy any condition to Closing that is primarily within the control of, or required to be performed or procured by, Buyer or Parent, and, in either case, within twelve (12) months following such termination, the Companies or any Seller enters into an Alternate Transaction (as defined below), then the Sellers (other than the Trustee Seller) shall reimburse Buyer for its reasonable and documented third party fees, costs and expenses incurred prior to the termination of this Agreement in connection with the transactions contemplated hereby, including fees and expenses of outside legal counsel, financial advisors, investment bankers, accountants and auditors, consultants and other third-party diligence providers (such reimbursement not to exceed £1,500,000 in the aggregate), payable by wire transfer of immediately available funds within ten (10) Business Days following the consummation of such Alternate Transaction. “</w:t>
      </w:r>
      <w:r>
        <w:rPr>
          <w:rFonts w:ascii="Times New Roman" w:hAnsi="Times New Roman"/>
          <w:b/>
          <w:i/>
          <w:sz w:val="20"/>
        </w:rPr>
        <w:t>Alternate Transaction</w:t>
      </w:r>
      <w:r>
        <w:rPr>
          <w:rFonts w:ascii="Times New Roman" w:hAnsi="Times New Roman"/>
          <w:sz w:val="20"/>
        </w:rPr>
        <w:t xml:space="preserve">” means any transaction or series of related transactions (other than the transactions contemplated by this Agreement) involving (1) the sale, transfer, or other disposition, directly or indirectly, of all or a material portion of the shares or assets of the Companies, or (2) any merger, consolidation, business combination, or similar transaction involving the Companies, in each case, with a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anything to the contrary contained in this Agreement, Buyer shall not be entitled to any reimbursement pursuant to </w:t>
      </w:r>
      <w:r>
        <w:rPr>
          <w:rFonts w:ascii="Times New Roman" w:hAnsi="Times New Roman"/>
          <w:sz w:val="20"/>
          <w:u w:val="single"/>
        </w:rPr>
        <w:t>Section 9.3(a)</w:t>
      </w:r>
      <w:r>
        <w:rPr>
          <w:rFonts w:ascii="Times New Roman" w:hAnsi="Times New Roman"/>
          <w:sz w:val="20"/>
        </w:rPr>
        <w:t xml:space="preserve"> if (i) this Agreement is terminated by the mutual written consent of Buyer and the Seller Representative pursuant to </w:t>
      </w:r>
      <w:r>
        <w:rPr>
          <w:rFonts w:ascii="Times New Roman" w:hAnsi="Times New Roman"/>
          <w:sz w:val="20"/>
          <w:u w:val="single"/>
        </w:rPr>
        <w:t>Section 9.1(a)</w:t>
      </w:r>
      <w:r>
        <w:rPr>
          <w:rFonts w:ascii="Times New Roman" w:hAnsi="Times New Roman"/>
          <w:sz w:val="20"/>
        </w:rPr>
        <w:t xml:space="preserve">, (ii) Buyer has materially breached any of its obligations under this Agreement, or (iii) the Seller Representative’s termination of this Agreement arises as a consequence of, or is attributable to, any material breach, default or failure by Buyer or Parent to perform or comply with any of their respective obligations, covenants or agreements under this Agreement or to satisfy any condition to Closing required to be satisfied by or on behalf of Buyer or Parent.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SURVIVAL; REMEDIES </w:t>
      </w:r>
    </w:p>
    <w:p>
      <w:pPr>
        <w:pStyle w:val="TextBody"/>
        <w:bidi w:val="0"/>
        <w:spacing w:before="240" w:after="0"/>
        <w:jc w:val="left"/>
        <w:rPr>
          <w:rFonts w:ascii="Times New Roman" w:hAnsi="Times New Roman"/>
          <w:sz w:val="20"/>
        </w:rPr>
      </w:pPr>
      <w:r>
        <w:rPr>
          <w:rFonts w:ascii="Times New Roman" w:hAnsi="Times New Roman"/>
          <w:b/>
          <w:sz w:val="20"/>
        </w:rPr>
        <w:t>10.1</w:t>
      </w:r>
      <w:r>
        <w:rPr>
          <w:rFonts w:ascii="Times New Roman" w:hAnsi="Times New Roman"/>
          <w:sz w:val="20"/>
        </w:rPr>
        <w:t xml:space="preserve"> </w:t>
      </w:r>
      <w:r>
        <w:rPr>
          <w:rFonts w:ascii="Times New Roman" w:hAnsi="Times New Roman"/>
          <w:b/>
          <w:sz w:val="20"/>
          <w:u w:val="single"/>
        </w:rPr>
        <w:t>Survival</w:t>
      </w:r>
      <w:r>
        <w:rPr>
          <w:rFonts w:ascii="Times New Roman" w:hAnsi="Times New Roman"/>
          <w:sz w:val="20"/>
        </w:rPr>
        <w:t xml:space="preserve">. The warranties of the Parties contained in this Agreement shall terminate as of the Closing; provided, that (a) the Fundamental Warranties shall survive the Closing indefinitely; (b) the Tax Warranties and any indemnity obligations in respect of Tax (including in this </w:t>
      </w:r>
      <w:r>
        <w:rPr>
          <w:rFonts w:ascii="Times New Roman" w:hAnsi="Times New Roman"/>
          <w:sz w:val="20"/>
          <w:u w:val="single"/>
        </w:rPr>
        <w:t>Article X</w:t>
      </w:r>
      <w:r>
        <w:rPr>
          <w:rFonts w:ascii="Times New Roman" w:hAnsi="Times New Roman"/>
          <w:sz w:val="20"/>
        </w:rPr>
        <w:t xml:space="preserve">), other than the indemnity set forth in </w:t>
      </w:r>
      <w:r>
        <w:rPr>
          <w:rFonts w:ascii="Times New Roman" w:hAnsi="Times New Roman"/>
          <w:sz w:val="20"/>
          <w:u w:val="single"/>
        </w:rPr>
        <w:t>Section 10.2(a)(ii) to the extent in respect of a Romanian Tax Liability</w:t>
      </w:r>
      <w:r>
        <w:rPr>
          <w:rFonts w:ascii="Times New Roman" w:hAnsi="Times New Roman"/>
          <w:sz w:val="20"/>
        </w:rPr>
        <w:t xml:space="preserve">, shall survive the Closing for a period of five years from the Closing; (c) the indemnity set forth in </w:t>
      </w:r>
      <w:r>
        <w:rPr>
          <w:rFonts w:ascii="Times New Roman" w:hAnsi="Times New Roman"/>
          <w:sz w:val="20"/>
          <w:u w:val="single"/>
        </w:rPr>
        <w:t>Section 10.2(a)(ii)</w:t>
      </w:r>
      <w:r>
        <w:rPr>
          <w:rFonts w:ascii="Times New Roman" w:hAnsi="Times New Roman"/>
          <w:sz w:val="20"/>
        </w:rPr>
        <w:t>, to the extent in respect of the Romanian Tax Liability, shall survive until the later of (A) 5 (five) years following the Closing Date and (B) the date on which both the opposition proceedings referred to therein have been finally resolved and the dissolution, liquidation and strike-off of Saltire Romania have been completed; (d) covenants and agreements of a Party that are required to be performed by such Party at or prior to the Closing shall survive the Closing for a period of 90 days; (e) the covenants and agreements of a Party that are required to be performed by such Party after the Closing shall survive the Closing until 90 days after the expiration of the applicable statute of limitations, unless otherwise expressly provided for by their terms; (f) Leakage Claims shall survive for a period of twelve (12) months following the Closing; and (g) any claim with respect to fraud will survive indefinitely (in each case, the “</w:t>
      </w:r>
      <w:r>
        <w:rPr>
          <w:rFonts w:ascii="Times New Roman" w:hAnsi="Times New Roman"/>
          <w:b/>
          <w:i/>
          <w:sz w:val="20"/>
        </w:rPr>
        <w:t>Survival Period</w:t>
      </w:r>
      <w:r>
        <w:rPr>
          <w:rFonts w:ascii="Times New Roman" w:hAnsi="Times New Roman"/>
          <w:sz w:val="20"/>
        </w:rPr>
        <w:t xml:space="preserve">”); provided, that nothing herein shall limit, restrict or otherwise act as a waiver of Buyer’s rights to receive payment, to make a claim or to otherwise seek coverage under the W&amp;I Policy. Notwithstanding anything to the contrary in this </w:t>
      </w:r>
      <w:r>
        <w:rPr>
          <w:rFonts w:ascii="Times New Roman" w:hAnsi="Times New Roman"/>
          <w:sz w:val="20"/>
          <w:u w:val="single"/>
        </w:rPr>
        <w:t>Section 10.1</w:t>
      </w:r>
      <w:r>
        <w:rPr>
          <w:rFonts w:ascii="Times New Roman" w:hAnsi="Times New Roman"/>
          <w:sz w:val="20"/>
        </w:rPr>
        <w:t xml:space="preserve">, the indemnification obligations pursuant to this </w:t>
      </w:r>
      <w:r>
        <w:rPr>
          <w:rFonts w:ascii="Times New Roman" w:hAnsi="Times New Roman"/>
          <w:sz w:val="20"/>
          <w:u w:val="single"/>
        </w:rPr>
        <w:t>Article X</w:t>
      </w:r>
      <w:r>
        <w:rPr>
          <w:rFonts w:ascii="Times New Roman" w:hAnsi="Times New Roman"/>
          <w:sz w:val="20"/>
        </w:rPr>
        <w:t xml:space="preserve"> shall not terminate with respect to any indemnification claim, prior to the expiration of the applicable Survival Period until such claim is resolved. </w:t>
      </w:r>
    </w:p>
    <w:p>
      <w:pPr>
        <w:pStyle w:val="TextBody"/>
        <w:bidi w:val="0"/>
        <w:spacing w:before="240" w:after="0"/>
        <w:jc w:val="left"/>
        <w:rPr>
          <w:rFonts w:ascii="Times New Roman" w:hAnsi="Times New Roman"/>
          <w:sz w:val="20"/>
        </w:rPr>
      </w:pPr>
      <w:r>
        <w:rPr>
          <w:rFonts w:ascii="Times New Roman" w:hAnsi="Times New Roman"/>
          <w:b/>
          <w:sz w:val="20"/>
        </w:rPr>
        <w:t>10.2</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limitations and other terms set forth in this </w:t>
      </w:r>
      <w:r>
        <w:rPr>
          <w:rFonts w:ascii="Times New Roman" w:hAnsi="Times New Roman"/>
          <w:sz w:val="20"/>
          <w:u w:val="single"/>
        </w:rPr>
        <w:t>Article X</w:t>
      </w:r>
      <w:r>
        <w:rPr>
          <w:rFonts w:ascii="Times New Roman" w:hAnsi="Times New Roman"/>
          <w:sz w:val="20"/>
        </w:rPr>
        <w:t>, the Sellers (other than the Trustee Seller) shall indemnify, defend and hold harmless Buyer, Parent and their respective Affiliates (including, from and after the Closing Date, the Companies) and each of their respective officers, directors, agents, representatives, employees, successors and assigns (other than Sellers or their Affiliates) (hereinafter referred to individually as a “</w:t>
      </w:r>
      <w:r>
        <w:rPr>
          <w:rFonts w:ascii="Times New Roman" w:hAnsi="Times New Roman"/>
          <w:b/>
          <w:i/>
          <w:sz w:val="20"/>
        </w:rPr>
        <w:t>Buyer Indemnified Party</w:t>
      </w:r>
      <w:r>
        <w:rPr>
          <w:rFonts w:ascii="Times New Roman" w:hAnsi="Times New Roman"/>
          <w:sz w:val="20"/>
        </w:rPr>
        <w:t>” and collectively as “</w:t>
      </w:r>
      <w:r>
        <w:rPr>
          <w:rFonts w:ascii="Times New Roman" w:hAnsi="Times New Roman"/>
          <w:b/>
          <w:i/>
          <w:sz w:val="20"/>
        </w:rPr>
        <w:t>Buyer Indemnified Parties</w:t>
      </w:r>
      <w:r>
        <w:rPr>
          <w:rFonts w:ascii="Times New Roman" w:hAnsi="Times New Roman"/>
          <w:sz w:val="20"/>
        </w:rPr>
        <w:t xml:space="preserve">”) from and against any and all Losses arising out of, caused by or resulting from: </w:t>
      </w:r>
    </w:p>
    <w:p>
      <w:pPr>
        <w:pStyle w:val="TextBody"/>
        <w:bidi w:val="0"/>
        <w:spacing w:before="240" w:after="0"/>
        <w:jc w:val="left"/>
        <w:rPr>
          <w:rFonts w:ascii="Times New Roman" w:hAnsi="Times New Roman"/>
          <w:sz w:val="20"/>
        </w:rPr>
      </w:pPr>
      <w:r>
        <w:rPr>
          <w:rFonts w:ascii="Times New Roman" w:hAnsi="Times New Roman"/>
          <w:sz w:val="20"/>
        </w:rPr>
        <w:t xml:space="preserve">(i) any Pre-Closing Tax Liabilities which have not been paid prior to Closing to the extent that such Pre-Closing Tax Liabilities have not been provided (not including any provision for deferred tax) for in the Locked Box Accounts and / or the EV to Equity Bridge;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Specific Tax Liabilities to the extent not taken into account in the Locked Box Accounts or the EV to Equity Bridge. </w:t>
      </w:r>
    </w:p>
    <w:p>
      <w:pPr>
        <w:pStyle w:val="TextBody"/>
        <w:bidi w:val="0"/>
        <w:spacing w:before="240" w:after="0"/>
        <w:jc w:val="left"/>
        <w:rPr>
          <w:rFonts w:ascii="Times New Roman" w:hAnsi="Times New Roman"/>
          <w:sz w:val="20"/>
        </w:rPr>
      </w:pPr>
      <w:r>
        <w:rPr>
          <w:rFonts w:ascii="Times New Roman" w:hAnsi="Times New Roman"/>
          <w:sz w:val="20"/>
        </w:rPr>
        <w:t xml:space="preserve">(b) Without prejudice to Buyer’s rights pursuant to </w:t>
      </w:r>
      <w:r>
        <w:rPr>
          <w:rFonts w:ascii="Times New Roman" w:hAnsi="Times New Roman"/>
          <w:sz w:val="20"/>
          <w:u w:val="single"/>
        </w:rPr>
        <w:t>Section 8.2</w:t>
      </w:r>
      <w:r>
        <w:rPr>
          <w:rFonts w:ascii="Times New Roman" w:hAnsi="Times New Roman"/>
          <w:sz w:val="20"/>
        </w:rPr>
        <w:t xml:space="preserve">, neither the Buyer nor any Buyer Indemnified Party shall make any claim under this </w:t>
      </w:r>
      <w:r>
        <w:rPr>
          <w:rFonts w:ascii="Times New Roman" w:hAnsi="Times New Roman"/>
          <w:sz w:val="20"/>
          <w:u w:val="single"/>
        </w:rPr>
        <w:t>Article X</w:t>
      </w:r>
      <w:r>
        <w:rPr>
          <w:rFonts w:ascii="Times New Roman" w:hAnsi="Times New Roman"/>
          <w:sz w:val="20"/>
        </w:rPr>
        <w:t xml:space="preserve"> (other than a claim in respect of Pre-Closing Tax Liabilities or </w:t>
      </w:r>
      <w:r>
        <w:rPr>
          <w:rFonts w:ascii="Times New Roman" w:hAnsi="Times New Roman"/>
          <w:sz w:val="20"/>
          <w:u w:val="single"/>
        </w:rPr>
        <w:t>Section 10.2(a)(ii))</w:t>
      </w:r>
      <w:r>
        <w:rPr>
          <w:rFonts w:ascii="Times New Roman" w:hAnsi="Times New Roman"/>
          <w:sz w:val="20"/>
        </w:rPr>
        <w:t xml:space="preserve"> in respect of any matter that is Disclosed. Except as set out in </w:t>
      </w:r>
      <w:r>
        <w:rPr>
          <w:rFonts w:ascii="Times New Roman" w:hAnsi="Times New Roman"/>
          <w:sz w:val="20"/>
          <w:u w:val="single"/>
        </w:rPr>
        <w:t>Section 8.2(b)</w:t>
      </w:r>
      <w:r>
        <w:rPr>
          <w:rFonts w:ascii="Times New Roman" w:hAnsi="Times New Roman"/>
          <w:sz w:val="20"/>
        </w:rPr>
        <w:t xml:space="preserve">, any matter that is Disclosed shall not constitute a breach of any Commercial Warranty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Neither the Buyer nor any Buyer Indemnified Party shall make any claim under this </w:t>
      </w:r>
      <w:r>
        <w:rPr>
          <w:rFonts w:ascii="Times New Roman" w:hAnsi="Times New Roman"/>
          <w:sz w:val="20"/>
          <w:u w:val="single"/>
        </w:rPr>
        <w:t>Article X</w:t>
      </w:r>
      <w:r>
        <w:rPr>
          <w:rFonts w:ascii="Times New Roman" w:hAnsi="Times New Roman"/>
          <w:sz w:val="20"/>
        </w:rPr>
        <w:t xml:space="preserve"> in respect of any matter to the extent that such matter is (i) reflected or taken into account in the Locked Box Accounts, or (ii) taken into account in the calculation of the Adjusted Closing Date Cash Consideration, including (x) any Known Leakage Amount deducted pursuant to </w:t>
      </w:r>
      <w:r>
        <w:rPr>
          <w:rFonts w:ascii="Times New Roman" w:hAnsi="Times New Roman"/>
          <w:sz w:val="20"/>
          <w:u w:val="single"/>
        </w:rPr>
        <w:t>Section 2.1(c)(ii)</w:t>
      </w:r>
      <w:r>
        <w:rPr>
          <w:rFonts w:ascii="Times New Roman" w:hAnsi="Times New Roman"/>
          <w:sz w:val="20"/>
        </w:rPr>
        <w:t xml:space="preserve">, and (y) any other adjustments set forth in </w:t>
      </w:r>
      <w:r>
        <w:rPr>
          <w:rFonts w:ascii="Times New Roman" w:hAnsi="Times New Roman"/>
          <w:sz w:val="20"/>
          <w:u w:val="single"/>
        </w:rPr>
        <w:t>Section 2.1(c)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Agreement, in no event shall any Buyer Indemnified Party be entitled to recover, whether by way of indemnification, damages, adjustment to the Closing Date Consideration or otherwise, more than once in respect of the same Loss, liability, cost, expense or other amount. Without limiting the generality of the foregoing, to the extent that any matter has been reflected, provided for, reserved against or otherwise taken into account in the Locked Box Accounts and / or the EV to Equity Bridge, no Buyer Indemnified Party shall be entitled to make any claim or recover any amount under this Agreement (including under this </w:t>
      </w:r>
      <w:r>
        <w:rPr>
          <w:rFonts w:ascii="Times New Roman" w:hAnsi="Times New Roman"/>
          <w:sz w:val="20"/>
          <w:u w:val="single"/>
        </w:rPr>
        <w:t>Article X</w:t>
      </w:r>
      <w:r>
        <w:rPr>
          <w:rFonts w:ascii="Times New Roman" w:hAnsi="Times New Roman"/>
          <w:sz w:val="20"/>
        </w:rPr>
        <w:t xml:space="preserve"> or for breach of any warranty) in respect of such matter to the extent of the amount so reflected, provided for, reserved against or taken into account. </w:t>
      </w:r>
    </w:p>
    <w:p>
      <w:pPr>
        <w:pStyle w:val="TextBody"/>
        <w:bidi w:val="0"/>
        <w:spacing w:before="240" w:after="0"/>
        <w:jc w:val="left"/>
        <w:rPr>
          <w:rFonts w:ascii="Times New Roman" w:hAnsi="Times New Roman"/>
          <w:sz w:val="20"/>
        </w:rPr>
      </w:pPr>
      <w:r>
        <w:rPr>
          <w:rFonts w:ascii="Times New Roman" w:hAnsi="Times New Roman"/>
          <w:b/>
          <w:sz w:val="20"/>
        </w:rPr>
        <w:t>10.3</w:t>
      </w:r>
      <w:r>
        <w:rPr>
          <w:rFonts w:ascii="Times New Roman" w:hAnsi="Times New Roman"/>
          <w:sz w:val="20"/>
        </w:rPr>
        <w:t xml:space="preserve"> </w:t>
      </w:r>
      <w:r>
        <w:rPr>
          <w:rFonts w:ascii="Times New Roman" w:hAnsi="Times New Roman"/>
          <w:b/>
          <w:sz w:val="20"/>
          <w:u w:val="single"/>
        </w:rPr>
        <w:t>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Person who or which is entitled to seek indemnification under </w:t>
      </w:r>
      <w:r>
        <w:rPr>
          <w:rFonts w:ascii="Times New Roman" w:hAnsi="Times New Roman"/>
          <w:sz w:val="20"/>
          <w:u w:val="single"/>
        </w:rPr>
        <w:t>Section 10.2</w:t>
      </w:r>
      <w:r>
        <w:rPr>
          <w:rFonts w:ascii="Times New Roman" w:hAnsi="Times New Roman"/>
          <w:sz w:val="20"/>
        </w:rPr>
        <w:t xml:space="preserve"> (an “</w:t>
      </w:r>
      <w:r>
        <w:rPr>
          <w:rFonts w:ascii="Times New Roman" w:hAnsi="Times New Roman"/>
          <w:b/>
          <w:i/>
          <w:sz w:val="20"/>
        </w:rPr>
        <w:t>Indemnified Party</w:t>
      </w:r>
      <w:r>
        <w:rPr>
          <w:rFonts w:ascii="Times New Roman" w:hAnsi="Times New Roman"/>
          <w:sz w:val="20"/>
        </w:rPr>
        <w:t>”), other than a Tax Claim, receives notice of the assertion or commencement of any claim from a third-party (a “</w:t>
      </w:r>
      <w:r>
        <w:rPr>
          <w:rFonts w:ascii="Times New Roman" w:hAnsi="Times New Roman"/>
          <w:b/>
          <w:i/>
          <w:sz w:val="20"/>
        </w:rPr>
        <w:t>Third-Party Claim</w:t>
      </w:r>
      <w:r>
        <w:rPr>
          <w:rFonts w:ascii="Times New Roman" w:hAnsi="Times New Roman"/>
          <w:sz w:val="20"/>
        </w:rPr>
        <w:t>”) against such Indemnified Party with respect to which the Person against whom or which such indemnification is being sought (an “</w:t>
      </w:r>
      <w:r>
        <w:rPr>
          <w:rFonts w:ascii="Times New Roman" w:hAnsi="Times New Roman"/>
          <w:b/>
          <w:i/>
          <w:sz w:val="20"/>
        </w:rPr>
        <w:t>Indemnifying Party</w:t>
      </w:r>
      <w:r>
        <w:rPr>
          <w:rFonts w:ascii="Times New Roman" w:hAnsi="Times New Roman"/>
          <w:sz w:val="20"/>
        </w:rPr>
        <w:t xml:space="preserve">”) is obligated to provide indemnification under this Agreement, the Indemnified Party will give such Indemnifying Party reasonably prompt written notice thereof, but in any event not later than 30 days after receipt of such written notice of such Third-Party Claim. Such notice by the Indemnified Party will describe the Third-Party Claim in reasonable detail, will include copies of all available written evidence thereof and will indicate the estimated amount, if reasonably estimable, of the Losses that have been or may be sustained by the Indemnified Party. The Indemnified Party will have the right to control the defence of any Third-Party Claim, and the Indemnifying Party will reasonably cooperate with the Indemnified Party in connection therewith. If the Indemnified Party does not assume the defence of a Third-Party Claim within thirty (30) days of receipt of notice of such Third-Party Claim, the Indemnifying Party will have the right to conduct the defence of such Third-Party Claim at the Indemnifying Party’s cost and expense. The Party conducting the defence of a Third-Party Claim shall (i) keep the other Party reasonably informed of the status of any Third-Party Claim, (ii) promptly provide the other Party with copies of all material notices, pleadings and other documents relating to any Third-Party Claim, (iii) consult with the other Party in good faith regarding the defence and resolution of any Third-Party Claim, and (iv) consider in good faith any recommendations made by the other Party with respect to any Third-Party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Indemnified Party will not settle, compromise or consent to the entry of any judgment with respect to any Third-Party Claim without the prior written consent of the Indemnifying Party (such consent not to be unreasonably withheld, conditioned or delayed) if such settlement, compromise or judgment (i) would result in injunctive or other non-monetary relief binding upon the Indemnifying Party, (ii) would not include an unconditional release of the Indemnifying Party from all liability with respect to such Third-Party Claim, or (iii) would result in any monetary liability of the Indemnifying Party that is not fully covered by the W&amp;I Policy. Notwithstanding the foregoing, if a firm offer is made to settle a Third-Party Claim and the Indemnified Party provides written notice to the Indemnifying Party that it desires to accept such settlement offer, and the Indemnifying Party fails to consent to such settlement within fifteen (15) days after receipt of such notice, then the Indemnified Party shall be permitted to settle such Third-Party Claim on the terms of such offer and the Indemnified Party’s liability with respect to such Third-Party Claim shall not exceed the amount of such settlement offer, plus reasonable legal fees and expenses incurred prior to the date such notice was received. Each Party will provide the other Party with reasonable access during normal business hours to books, records and employees as reasonably necessary in connection with the defence of any Third-Party Claim. </w:t>
      </w:r>
    </w:p>
    <w:p>
      <w:pPr>
        <w:pStyle w:val="TextBody"/>
        <w:bidi w:val="0"/>
        <w:spacing w:before="240" w:after="0"/>
        <w:jc w:val="left"/>
        <w:rPr>
          <w:rFonts w:ascii="Times New Roman" w:hAnsi="Times New Roman"/>
          <w:sz w:val="20"/>
        </w:rPr>
      </w:pPr>
      <w:r>
        <w:rPr>
          <w:rFonts w:ascii="Times New Roman" w:hAnsi="Times New Roman"/>
          <w:sz w:val="20"/>
        </w:rPr>
        <w:t>(c) Any claim by an Indemnified Party on account of Losses which does not result from a Third-Party Claim (a “</w:t>
      </w:r>
      <w:r>
        <w:rPr>
          <w:rFonts w:ascii="Times New Roman" w:hAnsi="Times New Roman"/>
          <w:b/>
          <w:i/>
          <w:sz w:val="20"/>
        </w:rPr>
        <w:t>Direct Claim</w:t>
      </w:r>
      <w:r>
        <w:rPr>
          <w:rFonts w:ascii="Times New Roman" w:hAnsi="Times New Roman"/>
          <w:sz w:val="20"/>
        </w:rPr>
        <w:t xml:space="preserve">”), other than a Tax Claim, may be asserted by giving the Indemnifying Party reasonably prompt written notice thereof. Such notice by the Indemnified Party will describe the Direct Claim in reasonable detail, will include copies of all available written evidence thereof and will indicate the estimated amount, if reasonably practicable, of Losses that has been or may be sustained by the Indemnified Party. The Indemnifying Party will have a period of thirty (30) days within which to respond in writing to such Direct Claim. The Indemnified Party will provide the Indemnifying Party with reasonable access during normal business hours to books, records and employees of the Indemnified Party necessary or desirable in connection with the Indemnifying Party’s evaluation of and response to a Direct Claim which is the subject of a claim for indemnification by an Indemnified Party hereunder. If the Indemnifying Party does not so respond within such thirty (30) day period, the Indemnifying Party will be deemed to have rejected such claim, in which event the Indemnified Party will be free to pursue such remedies as may be available to the Indemnified Party on the terms and subject to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 failure to give timely notice or to include any specified information in any notice as provided in </w:t>
      </w:r>
      <w:r>
        <w:rPr>
          <w:rFonts w:ascii="Times New Roman" w:hAnsi="Times New Roman"/>
          <w:sz w:val="20"/>
          <w:u w:val="single"/>
        </w:rPr>
        <w:t>Section 12.5</w:t>
      </w:r>
      <w:r>
        <w:rPr>
          <w:rFonts w:ascii="Times New Roman" w:hAnsi="Times New Roman"/>
          <w:sz w:val="20"/>
        </w:rPr>
        <w:t xml:space="preserve"> will not affect the rights or obligations of any party hereunder, except and only to the extent that, as a result of such failure, any party which was entitled to receive such notice was deprived of its right to defend against the claim in question or its right to recover any payment under its applicable insurance coverage or was otherwise prejudiced as a result of such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10.4</w:t>
      </w:r>
      <w:r>
        <w:rPr>
          <w:rFonts w:ascii="Times New Roman" w:hAnsi="Times New Roman"/>
          <w:sz w:val="20"/>
        </w:rPr>
        <w:t xml:space="preserve"> </w:t>
      </w:r>
      <w:r>
        <w:rPr>
          <w:rFonts w:ascii="Times New Roman" w:hAnsi="Times New Roman"/>
          <w:b/>
          <w:sz w:val="20"/>
          <w:u w:val="single"/>
        </w:rPr>
        <w:t>Seller Release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Sellers hereby unconditionally and irrevocably acquit, remise, discharge and forever release, effective as of the Closing, Buyer, the Companies and their respective Affiliates, equityholders, partners, managers, trustees, employees, officers, directors and agents (each, a “</w:t>
      </w:r>
      <w:r>
        <w:rPr>
          <w:rFonts w:ascii="Times New Roman" w:hAnsi="Times New Roman"/>
          <w:b/>
          <w:i/>
          <w:sz w:val="20"/>
        </w:rPr>
        <w:t>Releasee</w:t>
      </w:r>
      <w:r>
        <w:rPr>
          <w:rFonts w:ascii="Times New Roman" w:hAnsi="Times New Roman"/>
          <w:sz w:val="20"/>
        </w:rPr>
        <w:t xml:space="preserve">”) from any and all liabilities and Losses of every kind whatsoever, whether accrued or fixed, absolute or contingent, matured or unmatured or determined or determinable, including those arising under any Law, contract, agreement, arrangement, commitment or undertaking, whether written or oral, to the extent arising on or prior to the Closing; provided that liabilities acquitted, remised, discharged and released pursuant to this </w:t>
      </w:r>
      <w:r>
        <w:rPr>
          <w:rFonts w:ascii="Times New Roman" w:hAnsi="Times New Roman"/>
          <w:sz w:val="20"/>
          <w:u w:val="single"/>
        </w:rPr>
        <w:t>Section 10.4(a)</w:t>
      </w:r>
      <w:r>
        <w:rPr>
          <w:rFonts w:ascii="Times New Roman" w:hAnsi="Times New Roman"/>
          <w:sz w:val="20"/>
        </w:rPr>
        <w:t xml:space="preserve"> shall not include (i) any rights of the Sellers under this Agreement and the other documents and agreements executed in consummation of the transactions contemplated by this Agreement, (ii) any accrued but unpaid salary, bonus or pension entitlements owing to any Seller (or any Affiliate of a Seller) as at the Closing, or (iii) any amounts outstanding in respect of any director’s loan accounts owing to any Seller (or any Affiliate of a Seller) to the extent not otherwise reflected or taken into account in the determination of the Closing Date Consideration. </w:t>
      </w:r>
    </w:p>
    <w:p>
      <w:pPr>
        <w:pStyle w:val="TextBody"/>
        <w:bidi w:val="0"/>
        <w:spacing w:before="240" w:after="0"/>
        <w:jc w:val="left"/>
        <w:rPr>
          <w:rFonts w:ascii="Times New Roman" w:hAnsi="Times New Roman"/>
          <w:sz w:val="20"/>
        </w:rPr>
      </w:pPr>
      <w:r>
        <w:rPr>
          <w:rFonts w:ascii="Times New Roman" w:hAnsi="Times New Roman"/>
          <w:sz w:val="20"/>
        </w:rPr>
        <w:t xml:space="preserve">(b) The Sellers hereby agree that they shall not (and shall cause its Affiliates not to) make any claim for indemnification against Buyer, the Companies or any of their respective Affiliates by reason of the fact that the Sellers or any Affiliate of the Seller is or was a shareholder, member, director, manager, officer, employee or agent of the Companies or any of its Affiliates or is or was serving at the request of the Companies or any of its Affiliates as a partner, manager, trustee, director, officer, employee or agent of another entity (whether such claim is for judgments, damages, penalties, fines, costs, amounts paid in settlement, losses, expenses or otherwise and whether such claim is pursuant to any statute, charter document, bylaw, agreement or otherwise) with respect to any action, suit, proceeding, complaint, claim or demand brought by Buyer against any Seller pursuant to this Agreement or applicable Law or otherwise, and each Seller (on its own behalf and on behalf of its Affiliates) hereby acknowledges and agrees that it shall not have any claim or right to contribution or indemnity from the Companies or any of its Affiliates with respect to any amounts paid by it pursuant to this Agreement or otherwise. In no event shall the Companies or any of its Affiliates have any liability whatsoever to any Seller (or any Affiliate of the Seller) for breaches of the warranties, agreements or covenants of the Seller or the Companies hereunder, and each Seller shall not (and shall cause its Affiliates not to) in any event seek contribution from the Companies or any of its Affiliates in respect of any payments required to be made by the Seller pursuant to this Agreement. </w:t>
      </w:r>
    </w:p>
    <w:p>
      <w:pPr>
        <w:pStyle w:val="TextBody"/>
        <w:bidi w:val="0"/>
        <w:spacing w:before="240" w:after="0"/>
        <w:jc w:val="left"/>
        <w:rPr>
          <w:rFonts w:ascii="Times New Roman" w:hAnsi="Times New Roman"/>
          <w:sz w:val="20"/>
        </w:rPr>
      </w:pPr>
      <w:r>
        <w:rPr>
          <w:rFonts w:ascii="Times New Roman" w:hAnsi="Times New Roman"/>
          <w:b/>
          <w:sz w:val="20"/>
        </w:rPr>
        <w:t>10.5</w:t>
      </w:r>
      <w:r>
        <w:rPr>
          <w:rFonts w:ascii="Times New Roman" w:hAnsi="Times New Roman"/>
          <w:sz w:val="20"/>
        </w:rPr>
        <w:t xml:space="preserve"> </w:t>
      </w:r>
      <w:r>
        <w:rPr>
          <w:rFonts w:ascii="Times New Roman" w:hAnsi="Times New Roman"/>
          <w:b/>
          <w:sz w:val="20"/>
          <w:u w:val="single"/>
        </w:rPr>
        <w:t>Certain Limitations; Exclusive Remedy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sole and exclusive recourse for any claims for breaches of warranties made by the Sellers and the Companies in this Agreement or any other Seller Documents or any claims for Losses pursuant to </w:t>
      </w:r>
      <w:r>
        <w:rPr>
          <w:rFonts w:ascii="Times New Roman" w:hAnsi="Times New Roman"/>
          <w:sz w:val="20"/>
          <w:u w:val="single"/>
        </w:rPr>
        <w:t>Section 10.2(a)</w:t>
      </w:r>
      <w:r>
        <w:rPr>
          <w:rFonts w:ascii="Times New Roman" w:hAnsi="Times New Roman"/>
          <w:sz w:val="20"/>
        </w:rPr>
        <w:t xml:space="preserve"> shall be recovery under the W&amp;I Policy; provided, however, that this limitation shall not apply to Losses related to any such claims with respect to any Leakage Claims, fraud or willful misconduct or Excluded Tax Claims.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the aggregate liability of the Sellers in respect of all claims for breach of the Fundamental Warranties or the Commercial Warranties and any Tax Indemnity Claims (other than Excluded Tax Claims) shall not exceed the sum of £1, provided always that the provisions of this </w:t>
      </w:r>
      <w:r>
        <w:rPr>
          <w:rFonts w:ascii="Times New Roman" w:hAnsi="Times New Roman"/>
          <w:sz w:val="20"/>
          <w:u w:val="single"/>
        </w:rPr>
        <w:t>Section 10.5(b)</w:t>
      </w:r>
      <w:r>
        <w:rPr>
          <w:rFonts w:ascii="Times New Roman" w:hAnsi="Times New Roman"/>
          <w:sz w:val="20"/>
        </w:rPr>
        <w:t xml:space="preserve"> shall not apply to the extent that the claim is the consequence of any fraud or fraudulent misrepresentation on the part of the Seller. Without prejudice to the foregoing, the aggregate liability of the Sellers in respect of all claims under this Agreement (other than Leakage Claims, Excluded Tax Claims and claims arising from fraud or fraudulent misrepresentation) shall not exceed the aggregate amount of the Adjusted Closing Date Cash Consideration actually received by the Sellers.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in this Agreement, the aggregate liability of the Sellers in respect of all Excluded Tax Claims shall not exceed an amount equal to £2,500,000.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the Closing, the W&amp;I Policy and the indemnification obligations of any indemnifying Person under this </w:t>
      </w:r>
      <w:r>
        <w:rPr>
          <w:rFonts w:ascii="Times New Roman" w:hAnsi="Times New Roman"/>
          <w:sz w:val="20"/>
          <w:u w:val="single"/>
        </w:rPr>
        <w:t>Article X</w:t>
      </w:r>
      <w:r>
        <w:rPr>
          <w:rFonts w:ascii="Times New Roman" w:hAnsi="Times New Roman"/>
          <w:sz w:val="20"/>
        </w:rPr>
        <w:t xml:space="preserve"> (other than with respect to claims for fraud, fraudulent misrepresentation or Leakage Claims or any Excluded Tax Claims) shall constitute the sole and exclusive rights, claims and remedies of all indemnified Persons with respect to the transactions contemplated by this Agreement against any such indemnifying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this </w:t>
      </w:r>
      <w:r>
        <w:rPr>
          <w:rFonts w:ascii="Times New Roman" w:hAnsi="Times New Roman"/>
          <w:sz w:val="20"/>
          <w:u w:val="single"/>
        </w:rPr>
        <w:t>Article X</w:t>
      </w:r>
      <w:r>
        <w:rPr>
          <w:rFonts w:ascii="Times New Roman" w:hAnsi="Times New Roman"/>
          <w:sz w:val="20"/>
        </w:rPr>
        <w:t xml:space="preserve"> shall not limit or restrict any party’s (i) rights to specific performance, injunctive relief and other equitable remedies for any breach or threatened breach of this Agreement or any Seller Documents or (ii) rights or remedies with respect to any Seller Documents. </w:t>
      </w:r>
    </w:p>
    <w:p>
      <w:pPr>
        <w:pStyle w:val="TextBody"/>
        <w:bidi w:val="0"/>
        <w:spacing w:before="240" w:after="0"/>
        <w:jc w:val="left"/>
        <w:rPr>
          <w:rFonts w:ascii="Times New Roman" w:hAnsi="Times New Roman"/>
          <w:sz w:val="20"/>
        </w:rPr>
      </w:pPr>
      <w:r>
        <w:rPr>
          <w:rFonts w:ascii="Times New Roman" w:hAnsi="Times New Roman"/>
          <w:sz w:val="20"/>
        </w:rPr>
        <w:t xml:space="preserve">(e) Buyer shall be solely responsible for any retention amount payable in respect of the W&amp;I Policy.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TAX MATTERS </w:t>
      </w:r>
    </w:p>
    <w:p>
      <w:pPr>
        <w:pStyle w:val="TextBody"/>
        <w:bidi w:val="0"/>
        <w:spacing w:before="240" w:after="0"/>
        <w:jc w:val="left"/>
        <w:rPr>
          <w:rFonts w:ascii="Times New Roman" w:hAnsi="Times New Roman"/>
          <w:sz w:val="20"/>
        </w:rPr>
      </w:pPr>
      <w:r>
        <w:rPr>
          <w:rFonts w:ascii="Times New Roman" w:hAnsi="Times New Roman"/>
          <w:b/>
          <w:sz w:val="20"/>
        </w:rPr>
        <w:t>11.1</w:t>
      </w:r>
      <w:r>
        <w:rPr>
          <w:rFonts w:ascii="Times New Roman" w:hAnsi="Times New Roman"/>
          <w:sz w:val="20"/>
        </w:rPr>
        <w:t xml:space="preserve"> </w:t>
      </w:r>
      <w:r>
        <w:rPr>
          <w:rFonts w:ascii="Times New Roman" w:hAnsi="Times New Roman"/>
          <w:b/>
          <w:sz w:val="20"/>
          <w:u w:val="single"/>
        </w:rPr>
        <w:t>Tax Returns</w:t>
      </w:r>
      <w:r>
        <w:rPr>
          <w:rFonts w:ascii="Times New Roman" w:hAnsi="Times New Roman"/>
          <w:sz w:val="20"/>
        </w:rPr>
        <w:t xml:space="preserve">. The Buyer shall prepare and timely file, or shall cause to be prepared and timely filed, all Tax Returns in respect of the Companies and its Subsidiaries for any Pre-Closing Tax Period, and / or the portion of any Straddle Period ending on the Closing Date, that are required to be filed by the Companies or their Subsidiaries after the Closing Date. To the extent such Tax Returns relate to a Pre-Closing Tax Period, such Tax Returns shall be prepared by treating items on such Tax Returns in a manner consistent with the past practices of the applicable Company or Subsidiary, except as required by applicable Law. At least thirty (30) days prior to the filing of any such Tax Return for income Taxes (and within a reasonable period prior to the filing of any such Tax Return for material non-income Taxes), the Buyer shall submit a copy of such Tax Return to the Seller Representative for the Seller Representative’s review and comment, and shall take into account any reasonable comments of the Seller Representative to such Tax Return to the extent related to a Pre-Closing Tax Period and / or the portion of any Straddle Period ending on the Closing Date. To the extent there is a Tax Contest, the provisions of </w:t>
      </w:r>
      <w:r>
        <w:rPr>
          <w:rFonts w:ascii="Times New Roman" w:hAnsi="Times New Roman"/>
          <w:sz w:val="20"/>
          <w:u w:val="single"/>
        </w:rPr>
        <w:t>Section 11.3</w:t>
      </w:r>
      <w:r>
        <w:rPr>
          <w:rFonts w:ascii="Times New Roman" w:hAnsi="Times New Roman"/>
          <w:sz w:val="20"/>
        </w:rPr>
        <w:t xml:space="preserve"> shall take priority over the provisions of this </w:t>
      </w:r>
      <w:r>
        <w:rPr>
          <w:rFonts w:ascii="Times New Roman" w:hAnsi="Times New Roman"/>
          <w:sz w:val="20"/>
          <w:u w:val="single"/>
        </w:rPr>
        <w:t>Section 11.1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w:t>
      </w:r>
      <w:r>
        <w:rPr>
          <w:rFonts w:ascii="Times New Roman" w:hAnsi="Times New Roman"/>
          <w:b/>
          <w:sz w:val="20"/>
          <w:u w:val="single"/>
        </w:rPr>
        <w:t>Cooperation; Tax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connection with the preparation of Tax Returns and any Actions relating to the Tax liabilities imposed on the Sellers (or any of them), Companies or the Subsidiaries (or, in each case, any successor thereof), Buyer, on the one hand, and the Seller Representative, on the other hand, shall use commercially reasonable efforts to cooperate fully with each other, as and to the extent reasonably requested by the other Party, (and at the requesting party’s expense), including the furnishing or making available during normal business hours of records, personnel (as reasonably required), books of account, powers of attorney or other materials necessary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helpful for the preparation of such Tax Returns or the conduct of, pursuit or defence of any Actions by Taxing Authorities as to the imposition of Taxes. Buyer shall and shall cause the Companies and the Subsidiaries to retain all material books and records with respect to Tax matters pertinent to the Companies and the Subsidiaries relating to any taxable period beginning before the Closing Date until the expiration of the applicable statute of limitations (including any extension thereof) for the respective taxable periods, and to abide by all record retention agreements entered into with any Taxing Authority. </w:t>
      </w:r>
    </w:p>
    <w:p>
      <w:pPr>
        <w:pStyle w:val="TextBody"/>
        <w:bidi w:val="0"/>
        <w:spacing w:before="240" w:after="0"/>
        <w:jc w:val="left"/>
        <w:rPr>
          <w:rFonts w:ascii="Times New Roman" w:hAnsi="Times New Roman"/>
          <w:sz w:val="20"/>
        </w:rPr>
      </w:pPr>
      <w:r>
        <w:rPr>
          <w:rFonts w:ascii="Times New Roman" w:hAnsi="Times New Roman"/>
          <w:b/>
          <w:sz w:val="20"/>
        </w:rPr>
        <w:t>11.3</w:t>
      </w:r>
      <w:r>
        <w:rPr>
          <w:rFonts w:ascii="Times New Roman" w:hAnsi="Times New Roman"/>
          <w:sz w:val="20"/>
        </w:rPr>
        <w:t xml:space="preserve"> </w:t>
      </w:r>
      <w:r>
        <w:rPr>
          <w:rFonts w:ascii="Times New Roman" w:hAnsi="Times New Roman"/>
          <w:b/>
          <w:sz w:val="20"/>
          <w:u w:val="single"/>
        </w:rPr>
        <w:t>Tax Contests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after the Closing, any Taxing Authority issues to the Companies or any of their Subsidiaries (a) a notice of its intent to audit or conduct another Action with respect to the Tax Returns for any Pre-Closing Tax Period and / or the portion of any Straddle Period ending on the Closing Date, (b) a notice of deficiency of Taxes for any Pre-Closing Tax Period and / or the portion of any Straddle Period ending on the Closing Date, or the Buyer becomes aware of any circumstances indicating that either of the Companies or their Subsidiaries may be issued with an item referred to under (a) or (b) or may otherwise be required to self-assess for any Tax for any Pre-Closing Tax Period, or the portion of any Straddle Period ending on the Closing Date, in each case, that would reasonably be expected to give rise to a Tax liability for which the Sellers may be liable under the terms of this Agreement, the Buyer shall promptly notify the Seller Representative (and such matter shall be referred to as a “</w:t>
      </w:r>
      <w:r>
        <w:rPr>
          <w:rFonts w:ascii="Times New Roman" w:hAnsi="Times New Roman"/>
          <w:b/>
          <w:i/>
          <w:sz w:val="20"/>
        </w:rPr>
        <w:t>Tax Contest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Buyer’s failure to so notify the Seller Representative shall not relieve the Sellers of their liabilities under this Agreement, including </w:t>
      </w:r>
      <w:r>
        <w:rPr>
          <w:rFonts w:ascii="Times New Roman" w:hAnsi="Times New Roman"/>
          <w:sz w:val="20"/>
          <w:u w:val="single"/>
        </w:rPr>
        <w:t>Article X</w:t>
      </w:r>
      <w:r>
        <w:rPr>
          <w:rFonts w:ascii="Times New Roman" w:hAnsi="Times New Roman"/>
          <w:sz w:val="20"/>
        </w:rPr>
        <w:t xml:space="preserve"> except and only to the extent the Sellers are materially prejudiced thereby in relation to an Excluded Tax Claim. The Buyer shall control any audit or other Action in respect of any Taxes or Tax Returns of the Companies and / or the Subsidiaries for which Sellers would reasonably be expected to incur a liability under this Agreement in relation to an Excluded Tax Claim; provided, however, that (subject to </w:t>
      </w:r>
      <w:r>
        <w:rPr>
          <w:rFonts w:ascii="Times New Roman" w:hAnsi="Times New Roman"/>
          <w:sz w:val="20"/>
          <w:u w:val="single"/>
        </w:rPr>
        <w:t>Section 11.3(b)</w:t>
      </w:r>
      <w:r>
        <w:rPr>
          <w:rFonts w:ascii="Times New Roman" w:hAnsi="Times New Roman"/>
          <w:sz w:val="20"/>
        </w:rPr>
        <w:t xml:space="preserve"> and to the Sellers indemnifying the Buyer, the Companies and the Subsidiaries to the Buyer’s reasonable satisfaction against all Losses and corresponding Tax Liabilities arising therefrom) (i) the Buyer shall take any action that the Seller Representative may reasonably request by notice in writing given to the Buyer to dispute, defend, resist, or appeal any Tax Contest to the extent it relates to Tax Returns or any Tax liabilities in respect of which the Sellers may be liable to make a payment under this Agreement; (ii) the Seller Representative, at the Sellers’ cost and expense, shall have the right to participate in any Tax Contest to the extent it relates to any Tax Returns of the Companies or Subsidiaries in respect of which the Sellers may be liable to make a payment under this Agreement in relation to an Excluded Tax Claim; and (iii) the Buyer shall not, and shall not allow the Companies or any of their Subsidiaries to, settle, resolve, or abandon a Tax Contest (whether or not the Seller Representative elects to participate in such Tax Contest) to the extent it relates to any Tax Returns or any Tax in respect of which the Sellers may be liable to make a payment under this Agreement in relation to an Excluded Tax Claim without the prior written consent of the Seller Representative, such consent not to be unreasonably withheld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Buyer shall not be obliged to take, or procure the taking of, any action in respect of any Tax Contest requested by the Sellers: </w:t>
      </w:r>
    </w:p>
    <w:p>
      <w:pPr>
        <w:pStyle w:val="TextBody"/>
        <w:bidi w:val="0"/>
        <w:spacing w:before="240" w:after="0"/>
        <w:jc w:val="left"/>
        <w:rPr>
          <w:rFonts w:ascii="Times New Roman" w:hAnsi="Times New Roman"/>
          <w:sz w:val="20"/>
        </w:rPr>
      </w:pPr>
      <w:r>
        <w:rPr>
          <w:rFonts w:ascii="Times New Roman" w:hAnsi="Times New Roman"/>
          <w:sz w:val="20"/>
        </w:rPr>
        <w:t xml:space="preserve">(i) if the Sellers do not request the Buyer to take any action within a reasonable period of time (starting with the date of the notice being given to the Sellers) considering the nature of the Tax Contest and the existence of any time limit for avoiding, disputing, defending, resisting, appealing, seeking a review or compromising that Tax Contest, and that period will not, in any event, exceed fourteen Business Days or be less than seven Business Days; </w:t>
      </w:r>
    </w:p>
    <w:p>
      <w:pPr>
        <w:pStyle w:val="TextBody"/>
        <w:bidi w:val="0"/>
        <w:spacing w:before="240" w:after="0"/>
        <w:jc w:val="left"/>
        <w:rPr>
          <w:rFonts w:ascii="Times New Roman" w:hAnsi="Times New Roman"/>
          <w:sz w:val="20"/>
        </w:rPr>
      </w:pPr>
      <w:r>
        <w:rPr>
          <w:rFonts w:ascii="Times New Roman" w:hAnsi="Times New Roman"/>
          <w:sz w:val="20"/>
        </w:rPr>
        <w:t xml:space="preserve">(ii) if, it reasonably appears to the Buyer that the action requested by the Sellers could materially increase the Tax liability of the Buyer or any of its Affiliates (whenever arising), and the Sellers are not liable for such increase in relation to an Excluded Tax Claim; </w:t>
      </w:r>
    </w:p>
    <w:p>
      <w:pPr>
        <w:pStyle w:val="TextBody"/>
        <w:bidi w:val="0"/>
        <w:spacing w:before="240" w:after="0"/>
        <w:jc w:val="left"/>
        <w:rPr>
          <w:rFonts w:ascii="Times New Roman" w:hAnsi="Times New Roman"/>
          <w:sz w:val="20"/>
        </w:rPr>
      </w:pPr>
      <w:r>
        <w:rPr>
          <w:rFonts w:ascii="Times New Roman" w:hAnsi="Times New Roman"/>
          <w:sz w:val="20"/>
        </w:rPr>
        <w:t xml:space="preserve">(iii) if the Sellers (or the Companies or any Subsidiary before Closing) have been engaged in fraudulent conduct relating to the liability which is the subject matter of the Excluded Tax Claim; </w:t>
      </w:r>
    </w:p>
    <w:p>
      <w:pPr>
        <w:pStyle w:val="TextBody"/>
        <w:bidi w:val="0"/>
        <w:spacing w:before="240" w:after="0"/>
        <w:jc w:val="left"/>
        <w:rPr>
          <w:rFonts w:ascii="Times New Roman" w:hAnsi="Times New Roman"/>
          <w:sz w:val="20"/>
        </w:rPr>
      </w:pPr>
      <w:r>
        <w:rPr>
          <w:rFonts w:ascii="Times New Roman" w:hAnsi="Times New Roman"/>
          <w:sz w:val="20"/>
        </w:rPr>
        <w:t>(iv) if prior to, or as a condition of, taking any action requested by the Sellers, the Companies or any Subsidiary is obliged to pay to, or lodge with, any Taxing Authority any Tax or other amount (“</w:t>
      </w:r>
      <w:r>
        <w:rPr>
          <w:rFonts w:ascii="Times New Roman" w:hAnsi="Times New Roman"/>
          <w:b/>
          <w:i/>
          <w:sz w:val="20"/>
        </w:rPr>
        <w:t>Payment</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unless and until the Sellers pay to the Buyer an amount equal to the Payment and, where such payment is made, the Buyer shall duly account for such amount to the Taxing Authority and, to the extent any such payment is refunded by the Taxing Authority, the Buyer shall as soon as reasonably practicable account to the Sellers for such refunded amount (together with any repayment interest thereon); or </w:t>
      </w:r>
    </w:p>
    <w:p>
      <w:pPr>
        <w:pStyle w:val="TextBody"/>
        <w:bidi w:val="0"/>
        <w:spacing w:before="240" w:after="0"/>
        <w:jc w:val="left"/>
        <w:rPr>
          <w:rFonts w:ascii="Times New Roman" w:hAnsi="Times New Roman"/>
          <w:sz w:val="20"/>
        </w:rPr>
      </w:pPr>
      <w:r>
        <w:rPr>
          <w:rFonts w:ascii="Times New Roman" w:hAnsi="Times New Roman"/>
          <w:sz w:val="20"/>
        </w:rPr>
        <w:t xml:space="preserve">(v) if the action requested by the Sellers involves an appeal against a decision of the First-tier Tribunal or higher tribunal or court, unless the Sellers have obtained (at the Sellers’ expense) the opinion of tax counsel of at least five years’ standing who is acceptable to the Buyer (acting reasonably) that the appeal has a reasonable prospect of success.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the opposition proceedings initiated by the Romanian tax authority in connection with the voluntary dissolution of Saltire Romania and any relevant Excluded Tax Claim shall constitute a Tax Contest for the purposes of this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11.4</w:t>
      </w:r>
      <w:r>
        <w:rPr>
          <w:rFonts w:ascii="Times New Roman" w:hAnsi="Times New Roman"/>
          <w:sz w:val="20"/>
        </w:rPr>
        <w:t xml:space="preserve"> </w:t>
      </w:r>
      <w:r>
        <w:rPr>
          <w:rFonts w:ascii="Times New Roman" w:hAnsi="Times New Roman"/>
          <w:b/>
          <w:sz w:val="20"/>
          <w:u w:val="single"/>
        </w:rPr>
        <w:t>Seller Tax Matters</w:t>
      </w:r>
      <w:r>
        <w:rPr>
          <w:rFonts w:ascii="Times New Roman" w:hAnsi="Times New Roman"/>
          <w:sz w:val="20"/>
        </w:rPr>
        <w:t xml:space="preserve">. Neither Buyer nor the Companies nor any of their respective Subsidiaries or other Affiliates shall, without the Seller Representative’s consent (such consent not to be unreasonably withheld, conditioned or delayed), except as otherwise required by applicable Law, under the terms of the W&amp;I Policy, or to the extent it does not relate to any Tax in respect of which the Sellers may be liable to make a payment under this Agreement in relation to an Excluded Tax Claim, (a) amend, refile, revoke or otherwise modify any income or other material Tax Return or election with respect to income or other material Taxes for any Pre-Closing Tax Period; (b) file any Tax Return for any Pre-Closing Tax Period in a jurisdiction where the Companies or their Subsidiaries have not historically filed Tax Returns or paid Taxes or in which the Companies or their Subsidiaries have not recently commenced operations; (c) extend or waive the applicable statute of limitations with respect to an income or other material Tax for a Pre-Closing Tax Period; (d) file any ruling request with any Governmental Authority that relates to Taxes or Tax Returns for a Pre-Closing Tax Period; or (e) enter (or pursue) any voluntary disclosure agreements with any Governmental Authority that relate to Taxes or Tax Returns for a Pre-Closing Tax Period; provided, that the foregoing shall not restrict any action reasonably necessary to progress or complete the voluntary dissolution, liquidation or strike-off of Saltire Romania.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11.5</w:t>
      </w:r>
      <w:r>
        <w:rPr>
          <w:rFonts w:ascii="Times New Roman" w:hAnsi="Times New Roman"/>
          <w:sz w:val="20"/>
        </w:rPr>
        <w:t xml:space="preserve"> </w:t>
      </w:r>
      <w:r>
        <w:rPr>
          <w:rFonts w:ascii="Times New Roman" w:hAnsi="Times New Roman"/>
          <w:b/>
          <w:sz w:val="20"/>
          <w:u w:val="single"/>
        </w:rPr>
        <w:t>Transfer &amp; Stamp Taxes</w:t>
      </w:r>
      <w:r>
        <w:rPr>
          <w:rFonts w:ascii="Times New Roman" w:hAnsi="Times New Roman"/>
          <w:sz w:val="20"/>
        </w:rPr>
        <w:t xml:space="preserve">. All transfer, documentary, sales, use, stamp, registration and other similar Taxes and fees (including any penalties and interest, but excluding any Taxes based on or measured by gross or net income, however denominated) incurred in connection with the sale of the Company Capital Stock to Buyer under this Agreement, shall be borne 100% by Buyer. </w:t>
      </w:r>
    </w:p>
    <w:p>
      <w:pPr>
        <w:pStyle w:val="TextBody"/>
        <w:bidi w:val="0"/>
        <w:spacing w:before="240" w:after="0"/>
        <w:jc w:val="left"/>
        <w:rPr>
          <w:rFonts w:ascii="Times New Roman" w:hAnsi="Times New Roman"/>
          <w:sz w:val="20"/>
        </w:rPr>
      </w:pPr>
      <w:r>
        <w:rPr>
          <w:rFonts w:ascii="Times New Roman" w:hAnsi="Times New Roman"/>
          <w:b/>
          <w:sz w:val="20"/>
        </w:rPr>
        <w:t>11.6</w:t>
      </w:r>
      <w:r>
        <w:rPr>
          <w:rFonts w:ascii="Times New Roman" w:hAnsi="Times New Roman"/>
          <w:sz w:val="20"/>
        </w:rPr>
        <w:t xml:space="preserve"> </w:t>
      </w:r>
      <w:r>
        <w:rPr>
          <w:rFonts w:ascii="Times New Roman" w:hAnsi="Times New Roman"/>
          <w:b/>
          <w:sz w:val="20"/>
          <w:u w:val="single"/>
        </w:rPr>
        <w:t>Tax Treatment; Allocation of Closing Date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Sellers and Buyer agree for all relevant Tax purposes to treat all indemnification payments to Buyer pursuant to this Agreement as adjustments to the Closing Date Consideration except to the extent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If any payment treated as an adjustment to the Closing Date Consideration pursuant to Section 11.6(a) is or becomes subject to any withholding or deduction on account of Tax, or is otherwise subject to Tax in the hands of the Buyer, in each case other than in respect of a payment of interest, the Sellers shall pay to the Buyer such additional amount as is necessary to ensure that the net amount received and retained by the Buyer (after taking into account such withholding, deduction or Tax, and any Tax payable on the additional amount itself) equals the amount the Buyer would have received and retained had the payment not been subject to such withholding, deduction or Tax, provided that in the event that the Buyer has (i) assigned the benefit of this Agreement to any other person or (ii) become resident in any jurisdiction other than the United Kingdom for Tax purposes, the Sellers shall not be required to make any payment under this Section to the extent that it would not have been payable had such assignment or change in residence not occurred. </w:t>
      </w:r>
    </w:p>
    <w:p>
      <w:pPr>
        <w:pStyle w:val="TextBody"/>
        <w:bidi w:val="0"/>
        <w:spacing w:before="240" w:after="0"/>
        <w:jc w:val="left"/>
        <w:rPr>
          <w:rFonts w:ascii="Times New Roman" w:hAnsi="Times New Roman"/>
          <w:sz w:val="20"/>
        </w:rPr>
      </w:pPr>
      <w:r>
        <w:rPr>
          <w:rFonts w:ascii="Times New Roman" w:hAnsi="Times New Roman"/>
          <w:sz w:val="20"/>
        </w:rPr>
        <w:t xml:space="preserve">(c) Buyer and Sellers hereby acknowledge and agree that the Closing Date Consideration shall be allocated to the Sellers in accordance with </w:t>
      </w:r>
      <w:r>
        <w:rPr>
          <w:rFonts w:ascii="Times New Roman" w:hAnsi="Times New Roman"/>
          <w:b/>
          <w:i/>
          <w:sz w:val="20"/>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11.7</w:t>
      </w:r>
      <w:r>
        <w:rPr>
          <w:rFonts w:ascii="Times New Roman" w:hAnsi="Times New Roman"/>
          <w:sz w:val="20"/>
        </w:rPr>
        <w:t xml:space="preserve"> </w:t>
      </w:r>
      <w:r>
        <w:rPr>
          <w:rFonts w:ascii="Times New Roman" w:hAnsi="Times New Roman"/>
          <w:b/>
          <w:sz w:val="20"/>
          <w:u w:val="single"/>
        </w:rPr>
        <w:t>Tax Exclusions</w:t>
      </w:r>
      <w:r>
        <w:rPr>
          <w:rFonts w:ascii="Times New Roman" w:hAnsi="Times New Roman"/>
          <w:sz w:val="20"/>
        </w:rPr>
        <w:t xml:space="preserve">. The Sellers shall not be liable for any claim under this Agreement in respect of Tax, including under </w:t>
      </w:r>
      <w:r>
        <w:rPr>
          <w:rFonts w:ascii="Times New Roman" w:hAnsi="Times New Roman"/>
          <w:sz w:val="20"/>
          <w:u w:val="single"/>
        </w:rPr>
        <w:t>Article X</w:t>
      </w:r>
      <w:r>
        <w:rPr>
          <w:rFonts w:ascii="Times New Roman" w:hAnsi="Times New Roman"/>
          <w:sz w:val="20"/>
        </w:rPr>
        <w:t xml:space="preserve"> or for breach of any warranty, to the extent that: </w:t>
      </w:r>
    </w:p>
    <w:p>
      <w:pPr>
        <w:pStyle w:val="TextBody"/>
        <w:bidi w:val="0"/>
        <w:spacing w:before="240" w:after="0"/>
        <w:jc w:val="left"/>
        <w:rPr>
          <w:rFonts w:ascii="Times New Roman" w:hAnsi="Times New Roman"/>
          <w:sz w:val="20"/>
        </w:rPr>
      </w:pPr>
      <w:r>
        <w:rPr>
          <w:rFonts w:ascii="Times New Roman" w:hAnsi="Times New Roman"/>
          <w:sz w:val="20"/>
        </w:rPr>
        <w:t xml:space="preserve">(a) specific provision, allowance or reserve for the liability in question or the discharge or payment thereof is made or reflected as Company Debt or otherwise in the Locked Box Accounts and / or the EV to Equity Bridge; </w:t>
      </w:r>
    </w:p>
    <w:p>
      <w:pPr>
        <w:pStyle w:val="TextBody"/>
        <w:bidi w:val="0"/>
        <w:spacing w:before="240" w:after="0"/>
        <w:jc w:val="left"/>
        <w:rPr>
          <w:rFonts w:ascii="Times New Roman" w:hAnsi="Times New Roman"/>
          <w:sz w:val="20"/>
        </w:rPr>
      </w:pPr>
      <w:r>
        <w:rPr>
          <w:rFonts w:ascii="Times New Roman" w:hAnsi="Times New Roman"/>
          <w:sz w:val="20"/>
        </w:rPr>
        <w:t xml:space="preserve">(b) the liability in question is included as an Agreed Historic Lease Tax Amount or an Agreed EBT Tax Liability Adjustment Amount; </w:t>
      </w:r>
    </w:p>
    <w:p>
      <w:pPr>
        <w:pStyle w:val="TextBody"/>
        <w:bidi w:val="0"/>
        <w:spacing w:before="240" w:after="0"/>
        <w:jc w:val="left"/>
        <w:rPr>
          <w:rFonts w:ascii="Times New Roman" w:hAnsi="Times New Roman"/>
          <w:sz w:val="20"/>
        </w:rPr>
      </w:pPr>
      <w:r>
        <w:rPr>
          <w:rFonts w:ascii="Times New Roman" w:hAnsi="Times New Roman"/>
          <w:sz w:val="20"/>
        </w:rPr>
        <w:t xml:space="preserve">(c) the liability in question arises in respect of, by reference to or in consequence of any income, profits or gains earned, accrued or received or any event which occurred after the Locked Box Date and on or before Closing in the ordinary course of business of the Companies or any of the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the liability in question arises or is increased as a result of or is attributable to the passing or coming into force of, or any change in, any law, rule, regulation, directive or interpretation of the law or the withdrawal or amendment of any published practice of any Governmental Authority, in each case, occurring after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liability in question arises or is increased as a result of or otherwise attributable to, any changes made after the Closing in the accounting policies or practices or any Tax reporting practice or the length of any accounting period for Tax purposes of the Companies or any of their Subsidiaries (save to the extent (i) required in order to comply with applicable Law, including any accounting principles, applicable to the Companies or their Subsidiaries immediately prior to the Closing, or (ii) such change is made, and is required by applicable Law, to correct any error, inaccuracy or omission in any Tax Return for a Pre-Closing Tax Period); </w:t>
      </w:r>
    </w:p>
    <w:p>
      <w:pPr>
        <w:pStyle w:val="TextBody"/>
        <w:bidi w:val="0"/>
        <w:spacing w:before="240" w:after="0"/>
        <w:jc w:val="left"/>
        <w:rPr>
          <w:rFonts w:ascii="Times New Roman" w:hAnsi="Times New Roman"/>
          <w:sz w:val="20"/>
        </w:rPr>
      </w:pPr>
      <w:r>
        <w:rPr>
          <w:rFonts w:ascii="Times New Roman" w:hAnsi="Times New Roman"/>
          <w:sz w:val="20"/>
        </w:rPr>
        <w:t xml:space="preserve">(f) any Relief (other than a Buyer’s Relief) is available to reduce or eliminate the liability in question; </w:t>
      </w:r>
    </w:p>
    <w:p>
      <w:pPr>
        <w:pStyle w:val="TextBody"/>
        <w:bidi w:val="0"/>
        <w:spacing w:before="240" w:after="0"/>
        <w:jc w:val="left"/>
        <w:rPr>
          <w:rFonts w:ascii="Times New Roman" w:hAnsi="Times New Roman"/>
          <w:sz w:val="20"/>
        </w:rPr>
      </w:pPr>
      <w:r>
        <w:rPr>
          <w:rFonts w:ascii="Times New Roman" w:hAnsi="Times New Roman"/>
          <w:sz w:val="20"/>
        </w:rPr>
        <w:t xml:space="preserve">(g) the Buyer has recovered an amount from the Sellers, Companies or Subsidiaries under the Agreement (including by way of set-off or deduction) in respect of the same liability at no cost to the Buyer or its Affiliated Group (and where there is such a cost, the application of this </w:t>
      </w:r>
      <w:r>
        <w:rPr>
          <w:rFonts w:ascii="Times New Roman" w:hAnsi="Times New Roman"/>
          <w:sz w:val="20"/>
          <w:u w:val="single"/>
        </w:rPr>
        <w:t>Section 11.7(g)</w:t>
      </w:r>
      <w:r>
        <w:rPr>
          <w:rFonts w:ascii="Times New Roman" w:hAnsi="Times New Roman"/>
          <w:sz w:val="20"/>
        </w:rPr>
        <w:t xml:space="preserve"> shall be reduced only to the extent of that cost); </w:t>
      </w:r>
    </w:p>
    <w:p>
      <w:pPr>
        <w:pStyle w:val="TextBody"/>
        <w:bidi w:val="0"/>
        <w:spacing w:before="240" w:after="0"/>
        <w:jc w:val="left"/>
        <w:rPr>
          <w:rFonts w:ascii="Times New Roman" w:hAnsi="Times New Roman"/>
          <w:sz w:val="20"/>
        </w:rPr>
      </w:pPr>
      <w:r>
        <w:rPr>
          <w:rFonts w:ascii="Times New Roman" w:hAnsi="Times New Roman"/>
          <w:sz w:val="20"/>
        </w:rPr>
        <w:t xml:space="preserve">(h) the liability in question is Permitted Leakage; </w:t>
      </w:r>
    </w:p>
    <w:p>
      <w:pPr>
        <w:pStyle w:val="TextBody"/>
        <w:bidi w:val="0"/>
        <w:spacing w:before="240" w:after="0"/>
        <w:jc w:val="left"/>
        <w:rPr>
          <w:rFonts w:ascii="Times New Roman" w:hAnsi="Times New Roman"/>
          <w:sz w:val="20"/>
        </w:rPr>
      </w:pPr>
      <w:r>
        <w:rPr>
          <w:rFonts w:ascii="Times New Roman" w:hAnsi="Times New Roman"/>
          <w:sz w:val="20"/>
        </w:rPr>
        <w:t xml:space="preserve">(i) the liability in question arises or is increased by reason of or in consequence of: </w:t>
      </w:r>
    </w:p>
    <w:p>
      <w:pPr>
        <w:pStyle w:val="TextBody"/>
        <w:bidi w:val="0"/>
        <w:spacing w:before="240" w:after="0"/>
        <w:jc w:val="left"/>
        <w:rPr>
          <w:rFonts w:ascii="Times New Roman" w:hAnsi="Times New Roman"/>
          <w:sz w:val="20"/>
        </w:rPr>
      </w:pPr>
      <w:r>
        <w:rPr>
          <w:rFonts w:ascii="Times New Roman" w:hAnsi="Times New Roman"/>
          <w:sz w:val="20"/>
        </w:rPr>
        <w:t xml:space="preserve">(i) any claim, disclaimer, election or surrender made or notice or consent given or any other thing done by the Buyer, the Companies or the Subsidiaries after Closing, including (without prejudice to the generality of the foregoing) any disclaimer of capital allowances, in circumstances where such claim, disclaimer, election, notice or consent was not taken into account in the preparation of the Locked Box Accounts; </w:t>
      </w:r>
    </w:p>
    <w:p>
      <w:pPr>
        <w:pStyle w:val="TextBody"/>
        <w:bidi w:val="0"/>
        <w:spacing w:before="240" w:after="0"/>
        <w:jc w:val="left"/>
        <w:rPr>
          <w:rFonts w:ascii="Times New Roman" w:hAnsi="Times New Roman"/>
          <w:sz w:val="20"/>
        </w:rPr>
      </w:pPr>
      <w:r>
        <w:rPr>
          <w:rFonts w:ascii="Times New Roman" w:hAnsi="Times New Roman"/>
          <w:sz w:val="20"/>
        </w:rPr>
        <w:t xml:space="preserve">(ii) any failure by the Buyer, the Companies or the Subsidiaries after the date of Closing to make any claim, disclaimer, election or surrender or give any notice or consent or do any other thing after Closing, the making, giving or doing of which was taken into account in the Locked Box Accounts provided that the Sellers notify the Buyer in reasonable detail and in a reasonable time in advance of the due date to allow the Buyer, the Companies or the Subsidiaries to make, give or do it; or </w:t>
      </w:r>
    </w:p>
    <w:p>
      <w:pPr>
        <w:pStyle w:val="TextBody"/>
        <w:bidi w:val="0"/>
        <w:spacing w:before="240" w:after="0"/>
        <w:jc w:val="left"/>
        <w:rPr>
          <w:rFonts w:ascii="Times New Roman" w:hAnsi="Times New Roman"/>
          <w:sz w:val="20"/>
        </w:rPr>
      </w:pPr>
      <w:r>
        <w:rPr>
          <w:rFonts w:ascii="Times New Roman" w:hAnsi="Times New Roman"/>
          <w:sz w:val="20"/>
        </w:rPr>
        <w:t xml:space="preserve">(iii) the amendment or withdrawal after Closing of any claim, disclaimer, election, surrender, notice or consent made or given on or before Closing; </w:t>
      </w:r>
    </w:p>
    <w:p>
      <w:pPr>
        <w:pStyle w:val="TextBody"/>
        <w:bidi w:val="0"/>
        <w:spacing w:before="240" w:after="0"/>
        <w:jc w:val="left"/>
        <w:rPr>
          <w:rFonts w:ascii="Times New Roman" w:hAnsi="Times New Roman"/>
          <w:sz w:val="20"/>
        </w:rPr>
      </w:pPr>
      <w:r>
        <w:rPr>
          <w:rFonts w:ascii="Times New Roman" w:hAnsi="Times New Roman"/>
          <w:sz w:val="20"/>
        </w:rPr>
        <w:t xml:space="preserve">(j) the liability in question has been made good by insurers or otherwise compensated for without cost to the Buyer, its Affiliated Group, the Companies or the Subsidiaries (and where there is such a cost, the application of this </w:t>
      </w:r>
      <w:r>
        <w:rPr>
          <w:rFonts w:ascii="Times New Roman" w:hAnsi="Times New Roman"/>
          <w:sz w:val="20"/>
          <w:u w:val="single"/>
        </w:rPr>
        <w:t>Section 11.7(j)</w:t>
      </w:r>
      <w:r>
        <w:rPr>
          <w:rFonts w:ascii="Times New Roman" w:hAnsi="Times New Roman"/>
          <w:sz w:val="20"/>
        </w:rPr>
        <w:t xml:space="preserve"> shall be reduced only to the extent of that cost); </w:t>
      </w:r>
    </w:p>
    <w:p>
      <w:pPr>
        <w:pStyle w:val="TextBody"/>
        <w:bidi w:val="0"/>
        <w:spacing w:before="240" w:after="0"/>
        <w:jc w:val="left"/>
        <w:rPr>
          <w:rFonts w:ascii="Times New Roman" w:hAnsi="Times New Roman"/>
          <w:sz w:val="20"/>
        </w:rPr>
      </w:pPr>
      <w:r>
        <w:rPr>
          <w:rFonts w:ascii="Times New Roman" w:hAnsi="Times New Roman"/>
          <w:sz w:val="20"/>
        </w:rPr>
        <w:t xml:space="preserve">(k) the liability in question arises as a result of the filing of an election under Code Section 338(g);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liability in question arises as a result of a voluntary act of the Buyer or by the Companies or any Subsidiary after the Closing outside the ordinary course of business which the Buyer knew, or ought reasonably to have known, would give rise to the liability in question other than any of the following (i) an act carried out pursuant to a legally binding obligation entered into by the Companies or any Subsidiary on or before the Closing, (ii) an act which the Companies or Subsidiary was required to do by any applicable Law or other legislation in force at the Closing (whether relating to Tax or otherwise), or (iii) a voluntary disclosure to a Governmental Authority to correct any error, inaccuracy or omission in any Tax Return for a Pre-Closing Tax Period and with the written consent of the Seller Representative (not to be unreasonably conditioned, withheld or delayed). </w:t>
      </w:r>
    </w:p>
    <w:p>
      <w:pPr>
        <w:pStyle w:val="TextBody"/>
        <w:bidi w:val="0"/>
        <w:spacing w:before="240" w:after="0"/>
        <w:jc w:val="left"/>
        <w:rPr>
          <w:rFonts w:ascii="Times New Roman" w:hAnsi="Times New Roman"/>
          <w:sz w:val="20"/>
        </w:rPr>
      </w:pPr>
      <w:r>
        <w:rPr>
          <w:rFonts w:ascii="Times New Roman" w:hAnsi="Times New Roman"/>
          <w:b/>
          <w:sz w:val="20"/>
        </w:rPr>
        <w:t>11.8</w:t>
      </w:r>
      <w:r>
        <w:rPr>
          <w:rFonts w:ascii="Times New Roman" w:hAnsi="Times New Roman"/>
          <w:sz w:val="20"/>
        </w:rPr>
        <w:t xml:space="preserve"> </w:t>
      </w:r>
      <w:r>
        <w:rPr>
          <w:rFonts w:ascii="Times New Roman" w:hAnsi="Times New Roman"/>
          <w:b/>
          <w:sz w:val="20"/>
          <w:u w:val="single"/>
        </w:rPr>
        <w:t>Section 338(g) Election</w:t>
      </w:r>
      <w:r>
        <w:rPr>
          <w:rFonts w:ascii="Times New Roman" w:hAnsi="Times New Roman"/>
          <w:sz w:val="20"/>
        </w:rPr>
        <w:t xml:space="preserve">. Each Party hereto acknowledges and agrees that Buyer, in its sole and absolute discretion, may (but is not obligated to) make or cause to be made an election under Code Section 338(g) (and any comparable provision of applicable U.S. state or local Tax Law) with respect to the purchase of the equity interests of the Companies and their Subsidiaries. If Buyer so makes, or causes to be made, an election under section 338(g) with respect to the acquisition of the Companies or their Subsidiaries, (i) Buyer shall be solely responsible for the preparation and filing of all forms and documents required in connection with such election and for all expenses related thereto, and (ii) the Sellers shall cooperate with requests from Buyer to take all actions reasonably necessary and appropriate to effect such election (subject to Buyer’s reimbursement for any out-of-pocket expenses incurred in connection therewith). </w:t>
      </w:r>
    </w:p>
    <w:p>
      <w:pPr>
        <w:pStyle w:val="TextBody"/>
        <w:bidi w:val="0"/>
        <w:spacing w:before="240" w:after="0"/>
        <w:jc w:val="left"/>
        <w:rPr>
          <w:rFonts w:ascii="Times New Roman" w:hAnsi="Times New Roman"/>
          <w:sz w:val="20"/>
        </w:rPr>
      </w:pPr>
      <w:r>
        <w:rPr>
          <w:rFonts w:ascii="Times New Roman" w:hAnsi="Times New Roman"/>
          <w:b/>
          <w:sz w:val="20"/>
        </w:rPr>
        <w:t>11.9</w:t>
      </w:r>
      <w:r>
        <w:rPr>
          <w:rFonts w:ascii="Times New Roman" w:hAnsi="Times New Roman"/>
          <w:sz w:val="20"/>
        </w:rPr>
        <w:t xml:space="preserve"> </w:t>
      </w:r>
      <w:r>
        <w:rPr>
          <w:rFonts w:ascii="Times New Roman" w:hAnsi="Times New Roman"/>
          <w:b/>
          <w:sz w:val="20"/>
          <w:u w:val="single"/>
        </w:rPr>
        <w:t>Third Party Claims (Tax)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Where the Sellers have made or are liable to make a payment under this Agreement in respect of an Excluded Tax Claim and the Buyer, any of the Companies or any of the Subsidiaries is or may become entitled to recover from any other person (including for the avoidance of doubt a Taxing Authority) any sum in respect of the matter to which the payment made by the Sellers relates, the Buyer shall notify the Sellers of the entitlement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11.9(c)</w:t>
      </w:r>
      <w:r>
        <w:rPr>
          <w:rFonts w:ascii="Times New Roman" w:hAnsi="Times New Roman"/>
          <w:sz w:val="20"/>
        </w:rPr>
        <w:t xml:space="preserve">, the Buyer shall or shall procure that the Companies and / or the Subsidiaries shall consider in good faith such action as the Seller Representative shall reasonably request to enforce such recovery as is mentioned above against the third party in question and shall: </w:t>
      </w:r>
    </w:p>
    <w:p>
      <w:pPr>
        <w:pStyle w:val="TextBody"/>
        <w:bidi w:val="0"/>
        <w:spacing w:before="240" w:after="0"/>
        <w:jc w:val="left"/>
        <w:rPr>
          <w:rFonts w:ascii="Times New Roman" w:hAnsi="Times New Roman"/>
          <w:sz w:val="20"/>
        </w:rPr>
      </w:pPr>
      <w:r>
        <w:rPr>
          <w:rFonts w:ascii="Times New Roman" w:hAnsi="Times New Roman"/>
          <w:sz w:val="20"/>
        </w:rPr>
        <w:t xml:space="preserve">(i) where the Sellers are liable to make a payment to the Buyer in respect of an Excluded Tax Claim, set off the sums so recovered (including any interest or repayment supplement paid by the third party) against the payment due from the Sellers to the Buyer; or </w:t>
      </w:r>
    </w:p>
    <w:p>
      <w:pPr>
        <w:pStyle w:val="TextBody"/>
        <w:bidi w:val="0"/>
        <w:spacing w:before="240" w:after="0"/>
        <w:jc w:val="left"/>
        <w:rPr>
          <w:rFonts w:ascii="Times New Roman" w:hAnsi="Times New Roman"/>
          <w:sz w:val="20"/>
        </w:rPr>
      </w:pPr>
      <w:r>
        <w:rPr>
          <w:rFonts w:ascii="Times New Roman" w:hAnsi="Times New Roman"/>
          <w:sz w:val="20"/>
        </w:rPr>
        <w:t xml:space="preserve">(ii) where the Sellers have made a payment to the Buyer in respect of an Excluded Tax Claim, account to the Sellers for any sums so recovered (including any interest or repayment supplement paid by the third party). </w:t>
      </w:r>
    </w:p>
    <w:p>
      <w:pPr>
        <w:pStyle w:val="TextBody"/>
        <w:bidi w:val="0"/>
        <w:spacing w:before="240" w:after="0"/>
        <w:jc w:val="left"/>
        <w:rPr>
          <w:rFonts w:ascii="Times New Roman" w:hAnsi="Times New Roman"/>
          <w:sz w:val="20"/>
        </w:rPr>
      </w:pPr>
      <w:r>
        <w:rPr>
          <w:rFonts w:ascii="Times New Roman" w:hAnsi="Times New Roman"/>
          <w:sz w:val="20"/>
        </w:rPr>
        <w:t xml:space="preserve">(c) The Buyer shall not be required to take any action under this </w:t>
      </w:r>
      <w:r>
        <w:rPr>
          <w:rFonts w:ascii="Times New Roman" w:hAnsi="Times New Roman"/>
          <w:sz w:val="20"/>
          <w:u w:val="single"/>
        </w:rPr>
        <w:t>Section 11.9</w:t>
      </w:r>
      <w:r>
        <w:rPr>
          <w:rFonts w:ascii="Times New Roman" w:hAnsi="Times New Roman"/>
          <w:sz w:val="20"/>
        </w:rPr>
        <w:t xml:space="preserve"> other than an action against a Taxing Authority or a person who gave Tax advice to the Companies or their Subsidiaries on or before Closing, that, in the Buyer’s reasonable opinion, is likely to materially harm the Companies’ or their Subsidiaries’ commercial or employment relationship (potential or actual) with that 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11.10</w:t>
      </w:r>
      <w:r>
        <w:rPr>
          <w:rFonts w:ascii="Times New Roman" w:hAnsi="Times New Roman"/>
          <w:sz w:val="20"/>
        </w:rPr>
        <w:t xml:space="preserve"> </w:t>
      </w:r>
      <w:r>
        <w:rPr>
          <w:rFonts w:ascii="Times New Roman" w:hAnsi="Times New Roman"/>
          <w:b/>
          <w:sz w:val="20"/>
          <w:u w:val="single"/>
        </w:rPr>
        <w:t>Savings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any liability for Tax which has resulted in a payment having been made by the Sellers under this Agreement in respect of an Excluded Tax Claim has given rise to a Tax Relief (other than a Buyer’s Relief) for any of the Companies, Subsidiaries or the Buyer which would not otherwise have arisen (a “</w:t>
      </w:r>
      <w:r>
        <w:rPr>
          <w:rFonts w:ascii="Times New Roman" w:hAnsi="Times New Roman"/>
          <w:b/>
          <w:sz w:val="20"/>
        </w:rPr>
        <w:t>Windfall Relief</w:t>
      </w:r>
      <w:r>
        <w:rPr>
          <w:rFonts w:ascii="Times New Roman" w:hAnsi="Times New Roman"/>
          <w:sz w:val="20"/>
        </w:rPr>
        <w:t>”), then the Buyer shall notify the Seller Representative as soon as reasonably practicable and, as and when the liability of any of the Companies, Subsidiaries or the Buyer to make an actual payment of or in respect of Tax is reduced by reason of that Windfall Relief, the amount by which that liability is so reduced (a “</w:t>
      </w:r>
      <w:r>
        <w:rPr>
          <w:rFonts w:ascii="Times New Roman" w:hAnsi="Times New Roman"/>
          <w:b/>
          <w:sz w:val="20"/>
        </w:rPr>
        <w:t>Saving</w:t>
      </w:r>
      <w:r>
        <w:rPr>
          <w:rFonts w:ascii="Times New Roman" w:hAnsi="Times New Roman"/>
          <w:sz w:val="20"/>
        </w:rPr>
        <w:t xml:space="preserve">”) shall be dealt with in accordance with </w:t>
      </w:r>
      <w:r>
        <w:rPr>
          <w:rFonts w:ascii="Times New Roman" w:hAnsi="Times New Roman"/>
          <w:sz w:val="20"/>
          <w:u w:val="single"/>
        </w:rPr>
        <w:t>Section 11.10(b)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Where it is provided under </w:t>
      </w:r>
      <w:r>
        <w:rPr>
          <w:rFonts w:ascii="Times New Roman" w:hAnsi="Times New Roman"/>
          <w:sz w:val="20"/>
          <w:u w:val="single"/>
        </w:rPr>
        <w:t>Section 11.10(a)</w:t>
      </w:r>
      <w:r>
        <w:rPr>
          <w:rFonts w:ascii="Times New Roman" w:hAnsi="Times New Roman"/>
          <w:sz w:val="20"/>
        </w:rPr>
        <w:t xml:space="preserve"> that a Saving is to be dealt with in accordance with this </w:t>
      </w:r>
      <w:r>
        <w:rPr>
          <w:rFonts w:ascii="Times New Roman" w:hAnsi="Times New Roman"/>
          <w:sz w:val="20"/>
          <w:u w:val="single"/>
        </w:rPr>
        <w:t>Section 11.10(b)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Saving shall first be set off against any payment then due from the Sellers under this Agreement in respect of any Excluded Tax Claim (other than where the Saving has already been taken into account when assessing the quantum of damages in relation to the breach of a Tax Warranty if applicable); </w:t>
      </w:r>
    </w:p>
    <w:p>
      <w:pPr>
        <w:pStyle w:val="TextBody"/>
        <w:bidi w:val="0"/>
        <w:spacing w:before="240" w:after="0"/>
        <w:jc w:val="left"/>
        <w:rPr>
          <w:rFonts w:ascii="Times New Roman" w:hAnsi="Times New Roman"/>
          <w:sz w:val="20"/>
        </w:rPr>
      </w:pPr>
      <w:r>
        <w:rPr>
          <w:rFonts w:ascii="Times New Roman" w:hAnsi="Times New Roman"/>
          <w:sz w:val="20"/>
        </w:rPr>
        <w:t xml:space="preserve">(ii) to the extent there is an excess, a refund shall be made to the Sellers of any previous payment or payments made by the Sellers in respect of an Excluded Tax Claim (other than where the Saving has already been taken into account when assessing the quantum of damages in relation to the breach of a Tax Warranty if applicable) and not previously refunded under this </w:t>
      </w:r>
      <w:r>
        <w:rPr>
          <w:rFonts w:ascii="Times New Roman" w:hAnsi="Times New Roman"/>
          <w:sz w:val="20"/>
          <w:u w:val="single"/>
        </w:rPr>
        <w:t>Section 11.10(b)</w:t>
      </w:r>
      <w:r>
        <w:rPr>
          <w:rFonts w:ascii="Times New Roman" w:hAnsi="Times New Roman"/>
          <w:sz w:val="20"/>
        </w:rPr>
        <w:t xml:space="preserve"> up to the amount of such excess; and </w:t>
      </w:r>
    </w:p>
    <w:p>
      <w:pPr>
        <w:pStyle w:val="TextBody"/>
        <w:bidi w:val="0"/>
        <w:spacing w:before="240" w:after="0"/>
        <w:jc w:val="left"/>
        <w:rPr>
          <w:rFonts w:ascii="Times New Roman" w:hAnsi="Times New Roman"/>
          <w:sz w:val="20"/>
        </w:rPr>
      </w:pPr>
      <w:r>
        <w:rPr>
          <w:rFonts w:ascii="Times New Roman" w:hAnsi="Times New Roman"/>
          <w:sz w:val="20"/>
        </w:rPr>
        <w:t xml:space="preserve">(iii) to the extent that the excess referred to in </w:t>
      </w:r>
      <w:r>
        <w:rPr>
          <w:rFonts w:ascii="Times New Roman" w:hAnsi="Times New Roman"/>
          <w:sz w:val="20"/>
          <w:u w:val="single"/>
        </w:rPr>
        <w:t>Section 11.10(b)</w:t>
      </w:r>
      <w:r>
        <w:rPr>
          <w:rFonts w:ascii="Times New Roman" w:hAnsi="Times New Roman"/>
          <w:sz w:val="20"/>
        </w:rPr>
        <w:t xml:space="preserve"> (ii) above is not exhausted under that clause, the remainder of that excess shall be carried forward and set off against any future payment or payments which become due from the Sellers in respect of any Tax liabilities (other than where the Saving is taken into account when assessing the quantum of damages in relation to the breach of a Tax Warranty). </w:t>
      </w:r>
    </w:p>
    <w:p>
      <w:pPr>
        <w:pStyle w:val="TextBody"/>
        <w:bidi w:val="0"/>
        <w:spacing w:before="240" w:after="0"/>
        <w:jc w:val="left"/>
        <w:rPr>
          <w:rFonts w:ascii="Times New Roman" w:hAnsi="Times New Roman"/>
          <w:sz w:val="20"/>
        </w:rPr>
      </w:pPr>
      <w:r>
        <w:rPr>
          <w:rFonts w:ascii="Times New Roman" w:hAnsi="Times New Roman"/>
          <w:sz w:val="20"/>
        </w:rPr>
        <w:t xml:space="preserve">(c) No amount shall be taken into account in calculating any Saving to the extent such amount would not have arisen but for the use of a Buyer’s Relief or as a result of any change in law or accounting treatment following Closing. </w:t>
      </w:r>
    </w:p>
    <w:p>
      <w:pPr>
        <w:pStyle w:val="TextBody"/>
        <w:bidi w:val="0"/>
        <w:spacing w:before="240" w:after="0"/>
        <w:jc w:val="left"/>
        <w:rPr>
          <w:rFonts w:ascii="Times New Roman" w:hAnsi="Times New Roman"/>
          <w:sz w:val="20"/>
        </w:rPr>
      </w:pPr>
      <w:r>
        <w:rPr>
          <w:rFonts w:ascii="Times New Roman" w:hAnsi="Times New Roman"/>
          <w:b/>
          <w:sz w:val="20"/>
        </w:rPr>
        <w:t>11.11</w:t>
      </w:r>
      <w:r>
        <w:rPr>
          <w:rFonts w:ascii="Times New Roman" w:hAnsi="Times New Roman"/>
          <w:sz w:val="20"/>
        </w:rPr>
        <w:t xml:space="preserve"> </w:t>
      </w:r>
      <w:r>
        <w:rPr>
          <w:rFonts w:ascii="Times New Roman" w:hAnsi="Times New Roman"/>
          <w:b/>
          <w:sz w:val="20"/>
          <w:u w:val="single"/>
        </w:rPr>
        <w:t>Tax Miscellaneous – costs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in this Agreement requiring any Party to reimburse or indemnify another Party for any cost or expense, shall require the paying Party to indemnify or reimburse the other Party for the full amount of such cost or expense, including such part thereof as represents VAT, save to the extent that the recipient Party (or a member of a VAT group of which it forms part) is entitled to credit or repayment in respect of such VAT from the relevant Taxing Authority. </w:t>
      </w:r>
    </w:p>
    <w:p>
      <w:pPr>
        <w:pStyle w:val="TextBody"/>
        <w:bidi w:val="0"/>
        <w:spacing w:before="240" w:after="0"/>
        <w:jc w:val="left"/>
        <w:rPr>
          <w:rFonts w:ascii="Times New Roman" w:hAnsi="Times New Roman"/>
          <w:sz w:val="20"/>
        </w:rPr>
      </w:pPr>
      <w:r>
        <w:rPr>
          <w:rFonts w:ascii="Times New Roman" w:hAnsi="Times New Roman"/>
          <w:sz w:val="20"/>
        </w:rPr>
        <w:t xml:space="preserve">(b) The Sellers shall not be liable in respect of any Excluded Tax Claim for any attorneys’ and accountants’ fees and any other out-of-pocket expenses incurred in connection with any Tax or liability in respect of Tax unless and to the extent that the Sellers are liable to make a payment to the Buyer in respect of such underlying liability for Tax or liability in respect of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AND GENERAL </w:t>
      </w:r>
    </w:p>
    <w:p>
      <w:pPr>
        <w:pStyle w:val="TextBody"/>
        <w:bidi w:val="0"/>
        <w:spacing w:before="240" w:after="0"/>
        <w:jc w:val="left"/>
        <w:rPr>
          <w:rFonts w:ascii="Times New Roman" w:hAnsi="Times New Roman"/>
          <w:sz w:val="20"/>
        </w:rPr>
      </w:pPr>
      <w:r>
        <w:rPr>
          <w:rFonts w:ascii="Times New Roman" w:hAnsi="Times New Roman"/>
          <w:b/>
          <w:sz w:val="20"/>
        </w:rPr>
        <w:t>12.1</w:t>
      </w:r>
      <w:r>
        <w:rPr>
          <w:rFonts w:ascii="Times New Roman" w:hAnsi="Times New Roman"/>
          <w:sz w:val="20"/>
        </w:rPr>
        <w:t xml:space="preserve"> </w:t>
      </w:r>
      <w:r>
        <w:rPr>
          <w:rFonts w:ascii="Times New Roman" w:hAnsi="Times New Roman"/>
          <w:b/>
          <w:sz w:val="20"/>
          <w:u w:val="single"/>
        </w:rPr>
        <w:t>Expenses</w:t>
      </w:r>
      <w:r>
        <w:rPr>
          <w:rFonts w:ascii="Times New Roman" w:hAnsi="Times New Roman"/>
          <w:sz w:val="20"/>
        </w:rPr>
        <w:t xml:space="preserve">. Whether or not the transactions contemplated by this Agreement are consummated, all costs and expenses (including all legal, accounting, broker, finder or investment banker fees) incurred in connection with this Agreement and the transactions contemplated hereby (whether consummated or not) are to be paid by the Party incurring such expenses, except as otherwise expressly provided herein. </w:t>
      </w:r>
    </w:p>
    <w:p>
      <w:pPr>
        <w:pStyle w:val="TextBody"/>
        <w:bidi w:val="0"/>
        <w:spacing w:before="240" w:after="0"/>
        <w:jc w:val="left"/>
        <w:rPr>
          <w:rFonts w:ascii="Times New Roman" w:hAnsi="Times New Roman"/>
          <w:sz w:val="20"/>
        </w:rPr>
      </w:pPr>
      <w:r>
        <w:rPr>
          <w:rFonts w:ascii="Times New Roman" w:hAnsi="Times New Roman"/>
          <w:b/>
          <w:sz w:val="20"/>
        </w:rPr>
        <w:t>12.2</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sz w:val="20"/>
        </w:rPr>
        <w:t xml:space="preserve">. This Agreement is binding upon and inures to the benefit of the Parties and their respective successors and permitted assigns, but is not assignable by any Party without the prior written consent of the other Parties except that Buyer will have the right to assign or otherwise transfer this Agreement or any right hereunder or delegate any obligation hereunder to: (a) a Person that does all of the following: (1) acquires or otherwise succeeds to all or substantially all of (x) Buyer’s business and assets or (y) after the Closing, the Companies’ business and assets; (2) assumes all of Buyer’s obligations hereunder or Buyer’s obligations hereunder that arise after such assignment, delegation or transfer; and (3) agrees to perform or cause performance of all such assumed obligations when due; (b) any of its Affiliates, subject to the prior written consent of the Seller Representative (such consent not to be unreasonably withheld, conditioned or delayed), provided that any such Affiliate assignee shall have sufficient financial standing and resources to meet Buyer’s obligations under this Agreement; or (c) any provider of the Financing or any other lender of Buyer or any of its Affiliates; provided that (i) no such assignment, delegation or transfer under clause (a), (b) or (c) above will relieve Buyer of any obligation hereunder and (ii) Buyer shall provide written notice to the Seller Representative of any assignment, delegation or transfer made pursuant to clause (a), (b) or (c) above promptly following the effectiveness thereof (and in any event within five (5) Business Days thereof). Buyer shall be entitled to grant any encumbrance, or otherwise pledge, all or part of its rights under this Agreement, to any provider of the Financing or any other lender of Buyer or any of its Affiliates, to the extent that such encumbrance or pledge does not diminish the rights or increase the obligations of the Companies or the Sellers 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12.3 </w:t>
      </w:r>
      <w:r>
        <w:rPr>
          <w:rFonts w:ascii="Times New Roman" w:hAnsi="Times New Roman"/>
          <w:b/>
          <w:sz w:val="20"/>
          <w:u w:val="single"/>
        </w:rPr>
        <w:t>[Reserved]</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12.4</w:t>
      </w:r>
      <w:r>
        <w:rPr>
          <w:rFonts w:ascii="Times New Roman" w:hAnsi="Times New Roman"/>
          <w:sz w:val="20"/>
        </w:rPr>
        <w:t xml:space="preserve"> </w:t>
      </w:r>
      <w:r>
        <w:rPr>
          <w:rFonts w:ascii="Times New Roman" w:hAnsi="Times New Roman"/>
          <w:b/>
          <w:sz w:val="20"/>
          <w:u w:val="single"/>
        </w:rPr>
        <w:t>Further Assurances</w:t>
      </w:r>
      <w:r>
        <w:rPr>
          <w:rFonts w:ascii="Times New Roman" w:hAnsi="Times New Roman"/>
          <w:sz w:val="20"/>
        </w:rPr>
        <w:t xml:space="preserve">. The Parties shall execute such further instruments and take such further actions as may reasonably be necessary to carry out the intent of this Agreement. Each Party shall cooperate affirmatively with the other Parties, to the extent reasonably requested by such other Parties, to enforce rights and obligations herein provided. </w:t>
      </w:r>
    </w:p>
    <w:p>
      <w:pPr>
        <w:pStyle w:val="TextBody"/>
        <w:bidi w:val="0"/>
        <w:spacing w:before="240" w:after="0"/>
        <w:jc w:val="left"/>
        <w:rPr>
          <w:rFonts w:ascii="Times New Roman" w:hAnsi="Times New Roman"/>
          <w:sz w:val="20"/>
        </w:rPr>
      </w:pPr>
      <w:r>
        <w:rPr>
          <w:rFonts w:ascii="Times New Roman" w:hAnsi="Times New Roman"/>
          <w:b/>
          <w:sz w:val="20"/>
        </w:rPr>
        <w:t>12.5</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notice or other communication provided for herein or given hereunder to a Party must be in writing, and will be deemed given (a) on the date sent by email (unless the sender receives an automated message indicating that delivery was unsuccessful), (b) on the date delivered when delivered in person, (c) four (4) Business Days following mailing if mailed by first class registered or certified mail, postage prepaid, or (d) on the date following sending if sent by Federal Express or other overnight courier of national reputation, addressed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If to Parent, Buyer or the Companies after the Closing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10370 Richmond Ave. </w:t>
      </w:r>
    </w:p>
    <w:p>
      <w:pPr>
        <w:pStyle w:val="TextBody"/>
        <w:bidi w:val="0"/>
        <w:spacing w:before="0" w:after="0"/>
        <w:jc w:val="left"/>
        <w:rPr>
          <w:rFonts w:ascii="Times New Roman" w:hAnsi="Times New Roman"/>
          <w:sz w:val="20"/>
        </w:rPr>
      </w:pPr>
      <w:r>
        <w:rPr>
          <w:rFonts w:ascii="Times New Roman" w:hAnsi="Times New Roman"/>
          <w:sz w:val="20"/>
        </w:rPr>
        <w:t xml:space="preserve">#1000 </w:t>
      </w:r>
    </w:p>
    <w:p>
      <w:pPr>
        <w:pStyle w:val="TextBody"/>
        <w:bidi w:val="0"/>
        <w:spacing w:before="0" w:after="0"/>
        <w:jc w:val="left"/>
        <w:rPr>
          <w:rFonts w:ascii="Times New Roman" w:hAnsi="Times New Roman"/>
          <w:sz w:val="20"/>
        </w:rPr>
      </w:pPr>
      <w:r>
        <w:rPr>
          <w:rFonts w:ascii="Times New Roman" w:hAnsi="Times New Roman"/>
          <w:sz w:val="20"/>
        </w:rPr>
        <w:t xml:space="preserve">Houston, TX 77042 </w:t>
      </w:r>
    </w:p>
    <w:p>
      <w:pPr>
        <w:pStyle w:val="TextBody"/>
        <w:bidi w:val="0"/>
        <w:spacing w:before="0" w:after="0"/>
        <w:jc w:val="left"/>
        <w:rPr>
          <w:rFonts w:ascii="Times New Roman" w:hAnsi="Times New Roman"/>
          <w:sz w:val="20"/>
        </w:rPr>
      </w:pPr>
      <w:r>
        <w:rPr>
          <w:rFonts w:ascii="Times New Roman" w:hAnsi="Times New Roman"/>
          <w:sz w:val="20"/>
        </w:rPr>
        <w:t xml:space="preserve">Attention: David R. Johnson,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David.Johnson@drillingtools.com </w:t>
      </w:r>
    </w:p>
    <w:p>
      <w:pPr>
        <w:pStyle w:val="TextBody"/>
        <w:bidi w:val="0"/>
        <w:spacing w:before="240" w:after="0"/>
        <w:jc w:val="left"/>
        <w:rPr>
          <w:rFonts w:ascii="Times New Roman" w:hAnsi="Times New Roman"/>
          <w:sz w:val="20"/>
        </w:rPr>
      </w:pPr>
      <w:r>
        <w:rPr>
          <w:rFonts w:ascii="Times New Roman" w:hAnsi="Times New Roman"/>
          <w:i/>
          <w:sz w:val="20"/>
        </w:rPr>
        <w:t>with a copy to (which will not constitute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Winston Taylor LLP </w:t>
      </w:r>
    </w:p>
    <w:p>
      <w:pPr>
        <w:pStyle w:val="TextBody"/>
        <w:bidi w:val="0"/>
        <w:spacing w:before="0" w:after="0"/>
        <w:jc w:val="left"/>
        <w:rPr>
          <w:rFonts w:ascii="Times New Roman" w:hAnsi="Times New Roman"/>
          <w:sz w:val="20"/>
        </w:rPr>
      </w:pPr>
      <w:r>
        <w:rPr>
          <w:rFonts w:ascii="Times New Roman" w:hAnsi="Times New Roman"/>
          <w:sz w:val="20"/>
        </w:rPr>
        <w:t xml:space="preserve">800 Capitol Street, Suite 2400 </w:t>
      </w:r>
    </w:p>
    <w:p>
      <w:pPr>
        <w:pStyle w:val="TextBody"/>
        <w:bidi w:val="0"/>
        <w:spacing w:before="0" w:after="0"/>
        <w:jc w:val="left"/>
        <w:rPr>
          <w:rFonts w:ascii="Times New Roman" w:hAnsi="Times New Roman"/>
          <w:sz w:val="20"/>
        </w:rPr>
      </w:pPr>
      <w:r>
        <w:rPr>
          <w:rFonts w:ascii="Times New Roman" w:hAnsi="Times New Roman"/>
          <w:sz w:val="20"/>
        </w:rPr>
        <w:t xml:space="preserve">Houston, TX 77002 </w:t>
      </w:r>
    </w:p>
    <w:p>
      <w:pPr>
        <w:pStyle w:val="TextBody"/>
        <w:bidi w:val="0"/>
        <w:spacing w:before="0" w:after="0"/>
        <w:jc w:val="left"/>
        <w:rPr>
          <w:rFonts w:ascii="Times New Roman" w:hAnsi="Times New Roman"/>
          <w:sz w:val="20"/>
        </w:rPr>
      </w:pPr>
      <w:r>
        <w:rPr>
          <w:rFonts w:ascii="Times New Roman" w:hAnsi="Times New Roman"/>
          <w:sz w:val="20"/>
        </w:rPr>
        <w:t xml:space="preserve">Attn: Michael J. Blankenship </w:t>
      </w:r>
    </w:p>
    <w:p>
      <w:pPr>
        <w:pStyle w:val="TextBody"/>
        <w:bidi w:val="0"/>
        <w:spacing w:before="0" w:after="0"/>
        <w:jc w:val="left"/>
        <w:rPr>
          <w:rFonts w:ascii="Times New Roman" w:hAnsi="Times New Roman"/>
          <w:sz w:val="20"/>
        </w:rPr>
      </w:pPr>
      <w:r>
        <w:rPr>
          <w:rFonts w:ascii="Times New Roman" w:hAnsi="Times New Roman"/>
          <w:sz w:val="20"/>
        </w:rPr>
        <w:t xml:space="preserve">Email: mike.blankenship@winstontaylor.com </w:t>
      </w:r>
    </w:p>
    <w:p>
      <w:pPr>
        <w:pStyle w:val="TextBody"/>
        <w:bidi w:val="0"/>
        <w:spacing w:before="240" w:after="0"/>
        <w:jc w:val="left"/>
        <w:rPr>
          <w:rFonts w:ascii="Times New Roman" w:hAnsi="Times New Roman"/>
          <w:sz w:val="20"/>
        </w:rPr>
      </w:pPr>
      <w:r>
        <w:rPr>
          <w:rFonts w:ascii="Times New Roman" w:hAnsi="Times New Roman"/>
          <w:i/>
          <w:sz w:val="20"/>
        </w:rPr>
        <w:t>If to the Sellers or, prior to the Closing, to the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Saltire Energy Limited </w:t>
      </w:r>
    </w:p>
    <w:p>
      <w:pPr>
        <w:pStyle w:val="TextBody"/>
        <w:bidi w:val="0"/>
        <w:spacing w:before="0" w:after="0"/>
        <w:jc w:val="left"/>
        <w:rPr>
          <w:rFonts w:ascii="Times New Roman" w:hAnsi="Times New Roman"/>
          <w:sz w:val="20"/>
        </w:rPr>
      </w:pPr>
      <w:r>
        <w:rPr>
          <w:rFonts w:ascii="Times New Roman" w:hAnsi="Times New Roman"/>
          <w:sz w:val="20"/>
        </w:rPr>
        <w:t xml:space="preserve">100 Union Street </w:t>
      </w:r>
    </w:p>
    <w:p>
      <w:pPr>
        <w:pStyle w:val="TextBody"/>
        <w:bidi w:val="0"/>
        <w:spacing w:before="0" w:after="0"/>
        <w:jc w:val="left"/>
        <w:rPr>
          <w:rFonts w:ascii="Times New Roman" w:hAnsi="Times New Roman"/>
          <w:sz w:val="20"/>
        </w:rPr>
      </w:pPr>
      <w:r>
        <w:rPr>
          <w:rFonts w:ascii="Times New Roman" w:hAnsi="Times New Roman"/>
          <w:sz w:val="20"/>
        </w:rPr>
        <w:t xml:space="preserve">Aberdeen, Aberdeenshire </w:t>
      </w:r>
    </w:p>
    <w:p>
      <w:pPr>
        <w:pStyle w:val="TextBody"/>
        <w:bidi w:val="0"/>
        <w:spacing w:before="0" w:after="0"/>
        <w:jc w:val="left"/>
        <w:rPr>
          <w:rFonts w:ascii="Times New Roman" w:hAnsi="Times New Roman"/>
          <w:sz w:val="20"/>
        </w:rPr>
      </w:pPr>
      <w:r>
        <w:rPr>
          <w:rFonts w:ascii="Times New Roman" w:hAnsi="Times New Roman"/>
          <w:sz w:val="20"/>
        </w:rPr>
        <w:t xml:space="preserve">AB10 1QR </w:t>
      </w:r>
    </w:p>
    <w:p>
      <w:pPr>
        <w:pStyle w:val="TextBody"/>
        <w:bidi w:val="0"/>
        <w:spacing w:before="0" w:after="0"/>
        <w:jc w:val="left"/>
        <w:rPr>
          <w:rFonts w:ascii="Times New Roman" w:hAnsi="Times New Roman"/>
          <w:sz w:val="20"/>
        </w:rPr>
      </w:pPr>
      <w:r>
        <w:rPr>
          <w:rFonts w:ascii="Times New Roman" w:hAnsi="Times New Roman"/>
          <w:sz w:val="20"/>
        </w:rPr>
        <w:t xml:space="preserve">United Kingdom </w:t>
      </w:r>
    </w:p>
    <w:p>
      <w:pPr>
        <w:pStyle w:val="TextBody"/>
        <w:bidi w:val="0"/>
        <w:spacing w:before="0" w:after="0"/>
        <w:jc w:val="left"/>
        <w:rPr>
          <w:rFonts w:ascii="Times New Roman" w:hAnsi="Times New Roman"/>
          <w:sz w:val="20"/>
        </w:rPr>
      </w:pPr>
      <w:r>
        <w:rPr>
          <w:rFonts w:ascii="Times New Roman" w:hAnsi="Times New Roman"/>
          <w:sz w:val="20"/>
        </w:rPr>
        <w:t xml:space="preserve">Attention: Jack Loggie </w:t>
      </w:r>
    </w:p>
    <w:p>
      <w:pPr>
        <w:pStyle w:val="TextBody"/>
        <w:bidi w:val="0"/>
        <w:spacing w:before="0" w:after="0"/>
        <w:jc w:val="left"/>
        <w:rPr>
          <w:rFonts w:ascii="Times New Roman" w:hAnsi="Times New Roman"/>
          <w:sz w:val="20"/>
        </w:rPr>
      </w:pPr>
      <w:r>
        <w:rPr>
          <w:rFonts w:ascii="Times New Roman" w:hAnsi="Times New Roman"/>
          <w:sz w:val="20"/>
        </w:rPr>
        <w:t xml:space="preserve">Email: Jack.Loggie@saltire-energy.com </w:t>
      </w:r>
    </w:p>
    <w:p>
      <w:pPr>
        <w:pStyle w:val="TextBody"/>
        <w:bidi w:val="0"/>
        <w:spacing w:before="240" w:after="0"/>
        <w:jc w:val="left"/>
        <w:rPr>
          <w:rFonts w:ascii="Times New Roman" w:hAnsi="Times New Roman"/>
          <w:sz w:val="20"/>
        </w:rPr>
      </w:pPr>
      <w:r>
        <w:rPr>
          <w:rFonts w:ascii="Times New Roman" w:hAnsi="Times New Roman"/>
          <w:sz w:val="20"/>
        </w:rPr>
        <w:t xml:space="preserve">Foxley Energy Limited </w:t>
      </w:r>
    </w:p>
    <w:p>
      <w:pPr>
        <w:pStyle w:val="TextBody"/>
        <w:bidi w:val="0"/>
        <w:spacing w:before="0" w:after="0"/>
        <w:jc w:val="left"/>
        <w:rPr>
          <w:rFonts w:ascii="Times New Roman" w:hAnsi="Times New Roman"/>
          <w:sz w:val="20"/>
        </w:rPr>
      </w:pPr>
      <w:r>
        <w:rPr>
          <w:rFonts w:ascii="Times New Roman" w:hAnsi="Times New Roman"/>
          <w:sz w:val="20"/>
        </w:rPr>
        <w:t xml:space="preserve">100 Union Street </w:t>
      </w:r>
    </w:p>
    <w:p>
      <w:pPr>
        <w:pStyle w:val="TextBody"/>
        <w:bidi w:val="0"/>
        <w:spacing w:before="0" w:after="0"/>
        <w:jc w:val="left"/>
        <w:rPr>
          <w:rFonts w:ascii="Times New Roman" w:hAnsi="Times New Roman"/>
          <w:sz w:val="20"/>
        </w:rPr>
      </w:pPr>
      <w:r>
        <w:rPr>
          <w:rFonts w:ascii="Times New Roman" w:hAnsi="Times New Roman"/>
          <w:sz w:val="20"/>
        </w:rPr>
        <w:t xml:space="preserve">Aberdeen, Aberdeenshire </w:t>
      </w:r>
    </w:p>
    <w:p>
      <w:pPr>
        <w:pStyle w:val="TextBody"/>
        <w:bidi w:val="0"/>
        <w:spacing w:before="0" w:after="0"/>
        <w:jc w:val="left"/>
        <w:rPr>
          <w:rFonts w:ascii="Times New Roman" w:hAnsi="Times New Roman"/>
          <w:sz w:val="20"/>
        </w:rPr>
      </w:pPr>
      <w:r>
        <w:rPr>
          <w:rFonts w:ascii="Times New Roman" w:hAnsi="Times New Roman"/>
          <w:sz w:val="20"/>
        </w:rPr>
        <w:t xml:space="preserve">AB10 1QR </w:t>
      </w:r>
    </w:p>
    <w:p>
      <w:pPr>
        <w:pStyle w:val="TextBody"/>
        <w:bidi w:val="0"/>
        <w:spacing w:before="0" w:after="0"/>
        <w:jc w:val="left"/>
        <w:rPr>
          <w:rFonts w:ascii="Times New Roman" w:hAnsi="Times New Roman"/>
          <w:sz w:val="20"/>
        </w:rPr>
      </w:pPr>
      <w:r>
        <w:rPr>
          <w:rFonts w:ascii="Times New Roman" w:hAnsi="Times New Roman"/>
          <w:sz w:val="20"/>
        </w:rPr>
        <w:t xml:space="preserve">United Kingdom </w:t>
      </w:r>
    </w:p>
    <w:p>
      <w:pPr>
        <w:pStyle w:val="TextBody"/>
        <w:bidi w:val="0"/>
        <w:spacing w:before="0" w:after="0"/>
        <w:jc w:val="left"/>
        <w:rPr>
          <w:rFonts w:ascii="Times New Roman" w:hAnsi="Times New Roman"/>
          <w:sz w:val="20"/>
        </w:rPr>
      </w:pPr>
      <w:r>
        <w:rPr>
          <w:rFonts w:ascii="Times New Roman" w:hAnsi="Times New Roman"/>
          <w:sz w:val="20"/>
        </w:rPr>
        <w:t xml:space="preserve">Attention: Jack Loggie </w:t>
      </w:r>
    </w:p>
    <w:p>
      <w:pPr>
        <w:pStyle w:val="TextBody"/>
        <w:bidi w:val="0"/>
        <w:spacing w:before="0" w:after="0"/>
        <w:jc w:val="left"/>
        <w:rPr>
          <w:rFonts w:ascii="Times New Roman" w:hAnsi="Times New Roman"/>
          <w:sz w:val="20"/>
        </w:rPr>
      </w:pPr>
      <w:r>
        <w:rPr>
          <w:rFonts w:ascii="Times New Roman" w:hAnsi="Times New Roman"/>
          <w:sz w:val="20"/>
        </w:rPr>
        <w:t xml:space="preserve">Email: Jack.Loggie@saltire-energy.com </w:t>
      </w:r>
    </w:p>
    <w:p>
      <w:pPr>
        <w:pStyle w:val="TextBody"/>
        <w:bidi w:val="0"/>
        <w:spacing w:before="240" w:after="0"/>
        <w:jc w:val="left"/>
        <w:rPr>
          <w:rFonts w:ascii="Times New Roman" w:hAnsi="Times New Roman"/>
          <w:i/>
          <w:sz w:val="20"/>
        </w:rPr>
      </w:pPr>
      <w:r>
        <w:rPr>
          <w:rFonts w:ascii="Times New Roman" w:hAnsi="Times New Roman"/>
          <w:i/>
          <w:sz w:val="20"/>
        </w:rPr>
        <w:t xml:space="preserve">with a copy to (which will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Pinsent Masons LLP </w:t>
      </w:r>
    </w:p>
    <w:p>
      <w:pPr>
        <w:pStyle w:val="TextBody"/>
        <w:bidi w:val="0"/>
        <w:spacing w:before="0" w:after="0"/>
        <w:jc w:val="left"/>
        <w:rPr>
          <w:rFonts w:ascii="Times New Roman" w:hAnsi="Times New Roman"/>
          <w:sz w:val="20"/>
        </w:rPr>
      </w:pPr>
      <w:r>
        <w:rPr>
          <w:rFonts w:ascii="Times New Roman" w:hAnsi="Times New Roman"/>
          <w:sz w:val="20"/>
        </w:rPr>
        <w:t xml:space="preserve">120 Bothwell Street </w:t>
      </w:r>
    </w:p>
    <w:p>
      <w:pPr>
        <w:pStyle w:val="TextBody"/>
        <w:bidi w:val="0"/>
        <w:spacing w:before="0" w:after="0"/>
        <w:jc w:val="left"/>
        <w:rPr>
          <w:rFonts w:ascii="Times New Roman" w:hAnsi="Times New Roman"/>
          <w:sz w:val="20"/>
        </w:rPr>
      </w:pPr>
      <w:r>
        <w:rPr>
          <w:rFonts w:ascii="Times New Roman" w:hAnsi="Times New Roman"/>
          <w:sz w:val="20"/>
        </w:rPr>
        <w:t xml:space="preserve">Glasgow, G2 7JS </w:t>
      </w:r>
    </w:p>
    <w:p>
      <w:pPr>
        <w:pStyle w:val="TextBody"/>
        <w:bidi w:val="0"/>
        <w:spacing w:before="0" w:after="0"/>
        <w:jc w:val="left"/>
        <w:rPr>
          <w:rFonts w:ascii="Times New Roman" w:hAnsi="Times New Roman"/>
          <w:sz w:val="20"/>
        </w:rPr>
      </w:pPr>
      <w:r>
        <w:rPr>
          <w:rFonts w:ascii="Times New Roman" w:hAnsi="Times New Roman"/>
          <w:sz w:val="20"/>
        </w:rPr>
        <w:t xml:space="preserve">Attn: Brian Thumath </w:t>
      </w:r>
    </w:p>
    <w:p>
      <w:pPr>
        <w:pStyle w:val="TextBody"/>
        <w:bidi w:val="0"/>
        <w:spacing w:before="0" w:after="0"/>
        <w:jc w:val="left"/>
        <w:rPr>
          <w:rFonts w:ascii="Times New Roman" w:hAnsi="Times New Roman"/>
          <w:sz w:val="20"/>
        </w:rPr>
      </w:pPr>
      <w:r>
        <w:rPr>
          <w:rFonts w:ascii="Times New Roman" w:hAnsi="Times New Roman"/>
          <w:sz w:val="20"/>
        </w:rPr>
        <w:t xml:space="preserve">Email: brian.thumath@pinsentmasons.com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with respect to a Party as such Party notifies the other in writing as above provided. </w:t>
      </w:r>
    </w:p>
    <w:p>
      <w:pPr>
        <w:pStyle w:val="TextBody"/>
        <w:bidi w:val="0"/>
        <w:spacing w:before="240" w:after="0"/>
        <w:jc w:val="left"/>
        <w:rPr>
          <w:rFonts w:ascii="Times New Roman" w:hAnsi="Times New Roman"/>
          <w:sz w:val="20"/>
        </w:rPr>
      </w:pPr>
      <w:r>
        <w:rPr>
          <w:rFonts w:ascii="Times New Roman" w:hAnsi="Times New Roman"/>
          <w:b/>
          <w:sz w:val="20"/>
        </w:rPr>
        <w:t>12.6</w:t>
      </w:r>
      <w:r>
        <w:rPr>
          <w:rFonts w:ascii="Times New Roman" w:hAnsi="Times New Roman"/>
          <w:sz w:val="20"/>
        </w:rPr>
        <w:t xml:space="preserve"> </w:t>
      </w:r>
      <w:r>
        <w:rPr>
          <w:rFonts w:ascii="Times New Roman" w:hAnsi="Times New Roman"/>
          <w:b/>
          <w:sz w:val="20"/>
          <w:u w:val="single"/>
        </w:rPr>
        <w:t>Complete Agreement</w:t>
      </w:r>
      <w:r>
        <w:rPr>
          <w:rFonts w:ascii="Times New Roman" w:hAnsi="Times New Roman"/>
          <w:sz w:val="20"/>
        </w:rPr>
        <w:t xml:space="preserve">. This Agreement and the Exhibits hereto, the Disclosure Letter and the other documents delivered by the Parties in connection herewith, together with the Confidentiality Agreement, contain the complete agreement between the Parties with respect to the transactions contemplated hereby and thereby and supersede all prior agreements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understandings between the Parties with respect to the subject matter of this Agreement. The Parties agree that prior drafts of this Agreement and the other documents contemplated by this Agreement will be deemed not to provide any evidence as to the meaning of any provision hereof or thereof or the intent of the Parties with respect hereto or thereto. </w:t>
      </w:r>
    </w:p>
    <w:p>
      <w:pPr>
        <w:pStyle w:val="TextBody"/>
        <w:bidi w:val="0"/>
        <w:spacing w:before="240" w:after="0"/>
        <w:jc w:val="left"/>
        <w:rPr>
          <w:rFonts w:ascii="Times New Roman" w:hAnsi="Times New Roman"/>
          <w:sz w:val="20"/>
        </w:rPr>
      </w:pPr>
      <w:r>
        <w:rPr>
          <w:rFonts w:ascii="Times New Roman" w:hAnsi="Times New Roman"/>
          <w:b/>
          <w:sz w:val="20"/>
        </w:rPr>
        <w:t>12.7</w:t>
      </w:r>
      <w:r>
        <w:rPr>
          <w:rFonts w:ascii="Times New Roman" w:hAnsi="Times New Roman"/>
          <w:sz w:val="20"/>
        </w:rPr>
        <w:t xml:space="preserve"> </w:t>
      </w:r>
      <w:r>
        <w:rPr>
          <w:rFonts w:ascii="Times New Roman" w:hAnsi="Times New Roman"/>
          <w:b/>
          <w:sz w:val="20"/>
          <w:u w:val="single"/>
        </w:rPr>
        <w:t>Captions</w:t>
      </w:r>
      <w:r>
        <w:rPr>
          <w:rFonts w:ascii="Times New Roman" w:hAnsi="Times New Roman"/>
          <w:sz w:val="20"/>
        </w:rPr>
        <w:t xml:space="preserve">. The headings and captions contained in this Agreement are for convenience of reference only and do not form a part of this Agreement. </w:t>
      </w:r>
    </w:p>
    <w:p>
      <w:pPr>
        <w:pStyle w:val="TextBody"/>
        <w:bidi w:val="0"/>
        <w:spacing w:before="240" w:after="0"/>
        <w:jc w:val="left"/>
        <w:rPr>
          <w:rFonts w:ascii="Times New Roman" w:hAnsi="Times New Roman"/>
          <w:sz w:val="20"/>
        </w:rPr>
      </w:pPr>
      <w:r>
        <w:rPr>
          <w:rFonts w:ascii="Times New Roman" w:hAnsi="Times New Roman"/>
          <w:b/>
          <w:sz w:val="20"/>
        </w:rPr>
        <w:t>12.8</w:t>
      </w:r>
      <w:r>
        <w:rPr>
          <w:rFonts w:ascii="Times New Roman" w:hAnsi="Times New Roman"/>
          <w:sz w:val="20"/>
        </w:rPr>
        <w:t xml:space="preserve"> </w:t>
      </w:r>
      <w:r>
        <w:rPr>
          <w:rFonts w:ascii="Times New Roman" w:hAnsi="Times New Roman"/>
          <w:b/>
          <w:sz w:val="20"/>
          <w:u w:val="single"/>
        </w:rPr>
        <w:t>Amendment</w:t>
      </w:r>
      <w:r>
        <w:rPr>
          <w:rFonts w:ascii="Times New Roman" w:hAnsi="Times New Roman"/>
          <w:sz w:val="20"/>
        </w:rPr>
        <w:t xml:space="preserve">. This Agreement may be amended or modified only by an instrument in writing specifically designated as an amendment hereto, duly executed by each of Buyer and the Sellers. </w:t>
      </w:r>
    </w:p>
    <w:p>
      <w:pPr>
        <w:pStyle w:val="TextBody"/>
        <w:bidi w:val="0"/>
        <w:spacing w:before="240" w:after="0"/>
        <w:jc w:val="left"/>
        <w:rPr>
          <w:rFonts w:ascii="Times New Roman" w:hAnsi="Times New Roman"/>
          <w:sz w:val="20"/>
        </w:rPr>
      </w:pPr>
      <w:r>
        <w:rPr>
          <w:rFonts w:ascii="Times New Roman" w:hAnsi="Times New Roman"/>
          <w:b/>
          <w:sz w:val="20"/>
        </w:rPr>
        <w:t>12.9</w:t>
      </w:r>
      <w:r>
        <w:rPr>
          <w:rFonts w:ascii="Times New Roman" w:hAnsi="Times New Roman"/>
          <w:sz w:val="20"/>
        </w:rPr>
        <w:t xml:space="preserve"> </w:t>
      </w:r>
      <w:r>
        <w:rPr>
          <w:rFonts w:ascii="Times New Roman" w:hAnsi="Times New Roman"/>
          <w:b/>
          <w:sz w:val="20"/>
          <w:u w:val="single"/>
        </w:rPr>
        <w:t>Waiver</w:t>
      </w:r>
      <w:r>
        <w:rPr>
          <w:rFonts w:ascii="Times New Roman" w:hAnsi="Times New Roman"/>
          <w:sz w:val="20"/>
        </w:rPr>
        <w:t xml:space="preserve">. At any time prior to the Closing, the Companies and Buyer may (a) extend the time for the performance of any of the obligations or other acts of the Parties, (b) waive any inaccuracies in the warranties contained herein or in any document delivered pursuant hereto, or (c) waive compliance with any of the agreements or conditions contained herein, to the extent permitted by applicable Law. Any agreement to any such extension or waiver will be valid only if set forth in a writing signed by the party against whom such extension or waiver is to be effective. No failure of any Party to exercise any power given it under this Agreement, or to insist upon strict compliance with any provision of this Agreement, and no custom or practice at variance with the terms of this Agreement shall constitute a waiver of any such Party’s right to demand strict compliance with the terms of this Agreement. </w:t>
      </w:r>
    </w:p>
    <w:p>
      <w:pPr>
        <w:pStyle w:val="TextBody"/>
        <w:bidi w:val="0"/>
        <w:spacing w:before="240" w:after="0"/>
        <w:jc w:val="left"/>
        <w:rPr>
          <w:rFonts w:ascii="Times New Roman" w:hAnsi="Times New Roman"/>
          <w:sz w:val="20"/>
        </w:rPr>
      </w:pPr>
      <w:r>
        <w:rPr>
          <w:rFonts w:ascii="Times New Roman" w:hAnsi="Times New Roman"/>
          <w:b/>
          <w:sz w:val="20"/>
        </w:rPr>
        <w:t>12.10</w:t>
      </w:r>
      <w:r>
        <w:rPr>
          <w:rFonts w:ascii="Times New Roman" w:hAnsi="Times New Roman"/>
          <w:sz w:val="20"/>
        </w:rPr>
        <w:t xml:space="preserve"> </w:t>
      </w:r>
      <w:r>
        <w:rPr>
          <w:rFonts w:ascii="Times New Roman" w:hAnsi="Times New Roman"/>
          <w:b/>
          <w:sz w:val="20"/>
          <w:u w:val="single"/>
        </w:rPr>
        <w:t>Governing Law; Jurisdiction</w:t>
      </w:r>
      <w:r>
        <w:rPr>
          <w:rFonts w:ascii="Times New Roman" w:hAnsi="Times New Roman"/>
          <w:sz w:val="20"/>
        </w:rPr>
        <w:t xml:space="preserve">. This Agreement shall be governed by and construed in accordance with the laws of England and Wales. Each of the Parties hereto irrevocably agrees that the courts of England and Wales shall have exclusive jurisdiction to settle any dispute or claim arising out of or in connection with this Agreement or its subject matter or formation (including non-contractual disputes or claims). Each Party irrevocably waives any objection to the venue of any legal process on the basis that the process has been brought in an inconvenient forum. Each of the Parties hereto agrees that all Actions arising out of or relating to this Agreement shall be heard and determined exclusively in the courts of England and Wales. Consistent with the preceding sentence, each of the Parties hereby (a) submits to the exclusive jurisdiction of the courts of England and Wales for the purpose of any Action arising out of or relating to this Agreement brought by any Party, (b) irrevocably waives, and agrees not to assert by way of motion, defence, or otherwise, in any such Action, any claim that it is not subject personally to the jurisdiction of the above-named courts, that the Action is brought in an inconvenient forum, that the venue of the Action is improper or that this Agreement or the transactions contemplated by this Agreement may not be enforced in or by any of the above-named courts, and (c) agrees that service of process may, to the fullest extent permitted by law, be made on such Party in accordance with applicable rules of the courts of England and Wales or by any other method permitted by applicable law. </w:t>
      </w:r>
    </w:p>
    <w:p>
      <w:pPr>
        <w:pStyle w:val="TextBody"/>
        <w:bidi w:val="0"/>
        <w:spacing w:before="240" w:after="0"/>
        <w:jc w:val="left"/>
        <w:rPr>
          <w:rFonts w:ascii="Times New Roman" w:hAnsi="Times New Roman"/>
          <w:sz w:val="20"/>
        </w:rPr>
      </w:pPr>
      <w:r>
        <w:rPr>
          <w:rFonts w:ascii="Times New Roman" w:hAnsi="Times New Roman"/>
          <w:b/>
          <w:sz w:val="20"/>
        </w:rPr>
        <w:t>12.11</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Wherever possible, each term or provision of this Agreement shall be interpreted in such manner as to be effective and valid under applicable Law and any term or provision of this Agreement that is invalid or unenforceable in any jurisdiction will,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If any provision of this Agreement is determined by a court of competent jurisdiction to be unenforceable, Buyer, the Companies and/or the Sellers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p>
    <w:p>
      <w:pPr>
        <w:pStyle w:val="TextBody"/>
        <w:bidi w:val="0"/>
        <w:spacing w:before="240" w:after="0"/>
        <w:jc w:val="left"/>
        <w:rPr>
          <w:rFonts w:ascii="Times New Roman" w:hAnsi="Times New Roman"/>
          <w:sz w:val="20"/>
        </w:rPr>
      </w:pPr>
      <w:r>
        <w:rPr>
          <w:rFonts w:ascii="Times New Roman" w:hAnsi="Times New Roman"/>
          <w:b/>
          <w:sz w:val="20"/>
        </w:rPr>
        <w:t>12.12</w:t>
      </w:r>
      <w:r>
        <w:rPr>
          <w:rFonts w:ascii="Times New Roman" w:hAnsi="Times New Roman"/>
          <w:sz w:val="20"/>
        </w:rPr>
        <w:t xml:space="preserve"> </w:t>
      </w:r>
      <w:r>
        <w:rPr>
          <w:rFonts w:ascii="Times New Roman" w:hAnsi="Times New Roman"/>
          <w:b/>
          <w:sz w:val="20"/>
          <w:u w:val="single"/>
        </w:rPr>
        <w:t>Counterparts</w:t>
      </w:r>
      <w:r>
        <w:rPr>
          <w:rFonts w:ascii="Times New Roman" w:hAnsi="Times New Roman"/>
          <w:sz w:val="20"/>
        </w:rPr>
        <w:t xml:space="preserve">. This Agreement and all other documents related hereto may be executed in several counterparts, each of which shall be deemed an original, but such counterparts shall together constitute but one and the same Agreement. The execution of this Agreement and any agreement or instrument entered into in connection with this Agreement, and any amendment hereto or thereto, by any of the Parties may be evidenced by way of a facsimile, portable document format (.pdf) transmission, or other electronic transmission of such Party’s signature, and such facsimile, portable document format (.pdf), or other electronically transmitted signature shall be deemed to constitute the original signature of such Party. </w:t>
      </w:r>
    </w:p>
    <w:p>
      <w:pPr>
        <w:pStyle w:val="TextBody"/>
        <w:bidi w:val="0"/>
        <w:spacing w:before="240" w:after="0"/>
        <w:jc w:val="left"/>
        <w:rPr>
          <w:rFonts w:ascii="Times New Roman" w:hAnsi="Times New Roman"/>
          <w:sz w:val="20"/>
        </w:rPr>
      </w:pPr>
      <w:r>
        <w:rPr>
          <w:rFonts w:ascii="Times New Roman" w:hAnsi="Times New Roman"/>
          <w:b/>
          <w:sz w:val="20"/>
        </w:rPr>
        <w:t>12.13</w:t>
      </w:r>
      <w:r>
        <w:rPr>
          <w:rFonts w:ascii="Times New Roman" w:hAnsi="Times New Roman"/>
          <w:sz w:val="20"/>
        </w:rPr>
        <w:t xml:space="preserve"> </w:t>
      </w:r>
      <w:r>
        <w:rPr>
          <w:rFonts w:ascii="Times New Roman" w:hAnsi="Times New Roman"/>
          <w:b/>
          <w:sz w:val="20"/>
          <w:u w:val="single"/>
        </w:rPr>
        <w:t>Enforcement of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agree that irreparable damage would occur if any provision of this Agreement was not performed in accordance with its specific terms (including if the parties fail to take such actions as are required to consummate the transactions contemplated hereby) or was otherwise breached. It is accordingly agreed that the Parties will be entitled to an injunction or injunctions to prevent breaches of this Agreement and to enforce specifically the terms and provisions hereof, this being in addition to any other remedy to which they are entitled hereunder, at law or in equity. Accordingly, each of the Parties agrees that it will not oppose the granting of an injunction, specific performance and other equitable relief when expressly available pursuant to the terms of this Agreement on the basis that (i) there is an adequate remedy at Law or (ii) an award of specific performance is not an appropriate remedy for any reason at Law or equity. Any Party seeking an injunction or injunctions to prevent breaches of this Agreement when expressly available pursuant to the terms of this Agreement and to enforce specifically the terms and provisions of this Agreement when expressly available pursuant to the terms of this Agreement shall not be required to provide any bond or other security in connection with any such order or injunction. The right of specific enforcement is an integral part of the transactions contemplated hereby and without that right, neither party would have entered into this Agreement. Each party waives any defences in any action for specific performance, including the defence that money damages would be adequate. </w:t>
      </w:r>
    </w:p>
    <w:p>
      <w:pPr>
        <w:pStyle w:val="TextBody"/>
        <w:bidi w:val="0"/>
        <w:spacing w:before="240" w:after="0"/>
        <w:jc w:val="left"/>
        <w:rPr>
          <w:rFonts w:ascii="Times New Roman" w:hAnsi="Times New Roman"/>
          <w:sz w:val="20"/>
        </w:rPr>
      </w:pPr>
      <w:r>
        <w:rPr>
          <w:rFonts w:ascii="Times New Roman" w:hAnsi="Times New Roman"/>
          <w:sz w:val="20"/>
        </w:rPr>
        <w:t>(b) In the event that any Action is commenced or threatened by any Party (the “</w:t>
      </w:r>
      <w:r>
        <w:rPr>
          <w:rFonts w:ascii="Times New Roman" w:hAnsi="Times New Roman"/>
          <w:b/>
          <w:i/>
          <w:sz w:val="20"/>
        </w:rPr>
        <w:t>Claiming Party</w:t>
      </w:r>
      <w:r>
        <w:rPr>
          <w:rFonts w:ascii="Times New Roman" w:hAnsi="Times New Roman"/>
          <w:sz w:val="20"/>
        </w:rPr>
        <w:t xml:space="preserve">”) pursuant to </w:t>
      </w:r>
      <w:r>
        <w:rPr>
          <w:rFonts w:ascii="Times New Roman" w:hAnsi="Times New Roman"/>
          <w:sz w:val="20"/>
          <w:u w:val="single"/>
        </w:rPr>
        <w:t>Section 12.13(a)</w:t>
      </w:r>
      <w:r>
        <w:rPr>
          <w:rFonts w:ascii="Times New Roman" w:hAnsi="Times New Roman"/>
          <w:sz w:val="20"/>
        </w:rPr>
        <w:t xml:space="preserve"> to specifically enforce the consummation of the Closing against any other Party (the “</w:t>
      </w:r>
      <w:r>
        <w:rPr>
          <w:rFonts w:ascii="Times New Roman" w:hAnsi="Times New Roman"/>
          <w:b/>
          <w:i/>
          <w:sz w:val="20"/>
        </w:rPr>
        <w:t>Defending Party</w:t>
      </w:r>
      <w:r>
        <w:rPr>
          <w:rFonts w:ascii="Times New Roman" w:hAnsi="Times New Roman"/>
          <w:sz w:val="20"/>
        </w:rPr>
        <w:t xml:space="preserve">”), if the Claiming Party is the prevailing party in such Action, all fees, costs and expenses, including reasonable attorneys’ fees and court costs, incurred by the Claiming Party in connection with such Action will be reimbursed by the Defending Party; provided, that if the Claiming Party prevails in part, and loses in part, in such Action, the court, arbitrator or other adjudicator presiding over such Action shall award a reimbursement of the fees, costs and expenses incurred by the Claiming Party on an equitable basis. For purposes hereof, and without limitation, the Claiming Party will be deemed to have prevailed in any Action described in the immediately preceding sentence if the Claiming Party commences or threatens any such Action and such underlying claim(s) are subsequently dropped or voluntarily dismissed upon the Defending Party’s consummation of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12.14</w:t>
      </w:r>
      <w:r>
        <w:rPr>
          <w:rFonts w:ascii="Times New Roman" w:hAnsi="Times New Roman"/>
          <w:sz w:val="20"/>
        </w:rPr>
        <w:t xml:space="preserve"> </w:t>
      </w:r>
      <w:r>
        <w:rPr>
          <w:rFonts w:ascii="Times New Roman" w:hAnsi="Times New Roman"/>
          <w:b/>
          <w:sz w:val="20"/>
          <w:u w:val="single"/>
        </w:rPr>
        <w:t>Other Definitional and Interpretive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expressly provided, for purposes of this Agreement, the following rules of interpretation shall apply: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Calculation of Time Period</w:t>
      </w:r>
      <w:r>
        <w:rPr>
          <w:rFonts w:ascii="Times New Roman" w:hAnsi="Times New Roman"/>
          <w:sz w:val="20"/>
        </w:rPr>
        <w:t xml:space="preserve">.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Pound Sterling</w:t>
      </w:r>
      <w:r>
        <w:rPr>
          <w:rFonts w:ascii="Times New Roman" w:hAnsi="Times New Roman"/>
          <w:sz w:val="20"/>
        </w:rPr>
        <w:t xml:space="preserve">. Any reference in this Agreement to £ shall be construed as a reference to the lawful currency of the United Kingdom. Where conversion between pounds sterling and U.S. dollars is required under this Agreement, such conversion shall be made in accordance with the Exchange Rate.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Exhibits</w:t>
      </w:r>
      <w:r>
        <w:rPr>
          <w:rFonts w:ascii="Times New Roman" w:hAnsi="Times New Roman"/>
          <w:sz w:val="20"/>
        </w:rPr>
        <w:t xml:space="preserve">. The Exhibits to this Agreement and the Disclosure Letter are hereby incorporated and made a part hereof and are an integral part of this Agreement. All Exhibits annexed hereto or referred to herein and the Disclosure Letter are hereby incorporated in and made a part of this Agreement as if set forth in full herein. Any capitalized terms used in any Schedule, Exhibit or the Disclosure Letter but not otherwise defined therein shall be defined as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Gender and Number</w:t>
      </w:r>
      <w:r>
        <w:rPr>
          <w:rFonts w:ascii="Times New Roman" w:hAnsi="Times New Roman"/>
          <w:sz w:val="20"/>
        </w:rPr>
        <w:t xml:space="preserve">. Any reference in this Agreement to gender shall include all genders, and words imparting the singular number only shall include the plural and vice versa.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Headings</w:t>
      </w:r>
      <w:r>
        <w:rPr>
          <w:rFonts w:ascii="Times New Roman" w:hAnsi="Times New Roman"/>
          <w:sz w:val="20"/>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w:t>
      </w:r>
      <w:r>
        <w:rPr>
          <w:rFonts w:ascii="Times New Roman" w:hAnsi="Times New Roman"/>
          <w:b/>
          <w:i/>
          <w:sz w:val="20"/>
        </w:rPr>
        <w:t>Section</w:t>
      </w:r>
      <w:r>
        <w:rPr>
          <w:rFonts w:ascii="Times New Roman" w:hAnsi="Times New Roman"/>
          <w:sz w:val="20"/>
        </w:rPr>
        <w:t xml:space="preserve">” are to the corresponding Section of this Agreement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Herein</w:t>
      </w:r>
      <w:r>
        <w:rPr>
          <w:rFonts w:ascii="Times New Roman" w:hAnsi="Times New Roman"/>
          <w:sz w:val="20"/>
        </w:rPr>
        <w:t xml:space="preserve">. Words such as “herein,” “hereinafter,” “hereof,” and “hereunder” refer to this Agreement as a whole and not merely to a subdivision in which such words appear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Including</w:t>
      </w:r>
      <w:r>
        <w:rPr>
          <w:rFonts w:ascii="Times New Roman" w:hAnsi="Times New Roman"/>
          <w:sz w:val="20"/>
        </w:rPr>
        <w:t xml:space="preserve">. The word “including”, or any variation thereof means “including, without limitation” and shall not be construed to limit any general statement that it follows to the specific or similar items or matters immediately following it. </w:t>
      </w:r>
    </w:p>
    <w:p>
      <w:pPr>
        <w:pStyle w:val="TextBody"/>
        <w:bidi w:val="0"/>
        <w:spacing w:before="24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To the Extent</w:t>
      </w:r>
      <w:r>
        <w:rPr>
          <w:rFonts w:ascii="Times New Roman" w:hAnsi="Times New Roman"/>
          <w:sz w:val="20"/>
        </w:rPr>
        <w:t xml:space="preserve">. The phrase “to the extent” means “the degree by which” and not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w:t>
      </w:r>
      <w:r>
        <w:rPr>
          <w:rFonts w:ascii="Times New Roman" w:hAnsi="Times New Roman"/>
          <w:sz w:val="20"/>
          <w:u w:val="single"/>
        </w:rPr>
        <w:t>Agreed Form</w:t>
      </w:r>
      <w:r>
        <w:rPr>
          <w:rFonts w:ascii="Times New Roman" w:hAnsi="Times New Roman"/>
          <w:sz w:val="20"/>
        </w:rPr>
        <w:t xml:space="preserve">. Any reference to a document being in the “Agreed Form” means a document in the form agreed between the Buyer and the Seller Representative on or before the date of this Agreement (in each case with such amendments as may be agreed in writing between the Buyer and the Seller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(b) References to any U.S. legal term for any action, remedy, legal document, legal status, court, authority, statute or any other legal concept or thing shall, in respect of any jurisdiction other than the U.S., be deemed to include that which most nearly approximates in that jurisdiction to the U.S. legal term.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favouring or disfavouring any Party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b/>
          <w:sz w:val="20"/>
        </w:rPr>
        <w:t>12.15</w:t>
      </w:r>
      <w:r>
        <w:rPr>
          <w:rFonts w:ascii="Times New Roman" w:hAnsi="Times New Roman"/>
          <w:sz w:val="20"/>
        </w:rPr>
        <w:t xml:space="preserve"> </w:t>
      </w:r>
      <w:r>
        <w:rPr>
          <w:rFonts w:ascii="Times New Roman" w:hAnsi="Times New Roman"/>
          <w:b/>
          <w:sz w:val="20"/>
          <w:u w:val="single"/>
        </w:rPr>
        <w:t>Disclosure</w:t>
      </w:r>
      <w:r>
        <w:rPr>
          <w:rFonts w:ascii="Times New Roman" w:hAnsi="Times New Roman"/>
          <w:sz w:val="20"/>
        </w:rPr>
        <w:t xml:space="preserve">. The fact that any item of information is Disclosed in the Disclosure Letter: (a) shall not be construed to mean that such information is required to be disclosed by this Agreement; (b) shall not be construed as or constitute an admission, evidence or agreement that a violation, right of termination, default, non-compliance, liability or other obligation of any kind exists with respect to any item; (c) with respect to the enforceability of Contracts with third parties, the existence or non-existence of third party rights, the absence of breaches or defaults by third parties, or similar matters or statements, is intended only to allocate rights and risks among the Parties and is not intended to be admissions against interests, give rise to any inference or proof of accuracy, be admissible against any Party by any Person who is not a Party, or give rise to any claim or benefit to any entity or person who is not a Party; and (d) does not waive any attorney-client privilege associated with such item or information or any protection afforded by the work-product doctrine with respect to any of the matters disclosed or discussed herein. Unless the context otherwise requires (for example, a disclosure corresponds to a warranty that requires disclosure of information that is “material” or would reasonably be expected to constitute a “Material Adverse Effect”), such information and the dollar thresholds set forth herein shall not be used as a basis for interpreting the terms “material” or “Material Adverse Effect” or other similar terms in this Agreement. Neither the specifications of any dollar amount in any warranty or covenant contained in this Agreement nor the inclusion of any specific item in the Disclosure Letter is intended to imply that such amount, or higher or lower amounts, or the item so included or other items, are or are not material, and no Person shall use the fact of the setting forth of any such amount or the inclusion of any such item in any dispute or controversy between the Parties as to whether any obligation, item or matter not described herein or included in the Disclosure Letter is or is not material for purposes of this Agreement. The inclusion of any information in the Disclosure Letter shall not be deemed to be an admission or acknowledgment by the Companies that in and of itself, such information is material to or outside the Ordinary Course of Business or is required to be disclosed in the Disclosure Letter. No disclosure in the Disclosure Letter shall be deemed to create any rights in any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12.16</w:t>
      </w:r>
      <w:r>
        <w:rPr>
          <w:rFonts w:ascii="Times New Roman" w:hAnsi="Times New Roman"/>
          <w:sz w:val="20"/>
        </w:rPr>
        <w:t xml:space="preserve"> </w:t>
      </w:r>
      <w:r>
        <w:rPr>
          <w:rFonts w:ascii="Times New Roman" w:hAnsi="Times New Roman"/>
          <w:b/>
          <w:sz w:val="20"/>
          <w:u w:val="single"/>
        </w:rPr>
        <w:t>Waiver of Transfer Restriction</w:t>
      </w:r>
      <w:r>
        <w:rPr>
          <w:rFonts w:ascii="Times New Roman" w:hAnsi="Times New Roman"/>
          <w:sz w:val="20"/>
        </w:rPr>
        <w:t xml:space="preserve">. In connection with the transactions contemplated by this Agreement, each Seller hereby irrevocably waives (and shall procure the waiver of) any and all rights of pre-emption, rights of first refusal, rights of first offer or negotiation, tag-along rights, drag-along rights, transfer restrictions or other similar rights or restrictions to which such Seller may be entitled or subject under the Organizational Documents of the Companies or any shareholders’ agreement, investment agreement or other Contract to which such Seller is a party or a beneficiary, in each case to the extent that such rights or restrictions might apply to, impede or interfere with the sale and transfer of any shares of the Company Capital Stock by each Seller pursuant to this Agreement. Furthermore, each Seller hereby votes all such shares of the Company Capital Stock in favour of the transactions contemplated hereby in connection with any Consent to which such vote may be applicable, if any. </w:t>
      </w:r>
    </w:p>
    <w:p>
      <w:pPr>
        <w:pStyle w:val="TextBody"/>
        <w:bidi w:val="0"/>
        <w:spacing w:before="240" w:after="0"/>
        <w:jc w:val="left"/>
        <w:rPr>
          <w:rFonts w:ascii="Times New Roman" w:hAnsi="Times New Roman"/>
          <w:sz w:val="20"/>
        </w:rPr>
      </w:pPr>
      <w:r>
        <w:rPr>
          <w:rFonts w:ascii="Times New Roman" w:hAnsi="Times New Roman"/>
          <w:b/>
          <w:sz w:val="20"/>
        </w:rPr>
        <w:t>12.17</w:t>
      </w:r>
      <w:r>
        <w:rPr>
          <w:rFonts w:ascii="Times New Roman" w:hAnsi="Times New Roman"/>
          <w:sz w:val="20"/>
        </w:rPr>
        <w:t xml:space="preserve"> </w:t>
      </w:r>
      <w:r>
        <w:rPr>
          <w:rFonts w:ascii="Times New Roman" w:hAnsi="Times New Roman"/>
          <w:b/>
          <w:sz w:val="20"/>
          <w:u w:val="single"/>
        </w:rPr>
        <w:t>Non-Recourse and Third Parties</w:t>
      </w:r>
      <w:r>
        <w:rPr>
          <w:rFonts w:ascii="Times New Roman" w:hAnsi="Times New Roman"/>
          <w:sz w:val="20"/>
        </w:rPr>
        <w:t xml:space="preserve">. This Agreement may only be enforced against, and any claim, action, suit, or other legal proceeding based upon, arising out of, or related to this Agreement, or the negotiation, execution or performance of this Agreement, may only be brought against the persons that are expressly named as parties hereto and then only with respect to the specific obligations set forth herein with respect to such party, and a person who is not a party to this Agreement shall not have any rights under the Contracts (Rights of Third Parties) Act 1999 of the United Kingdom to enforce any term of this Agreement, except as follows: </w:t>
      </w:r>
    </w:p>
    <w:p>
      <w:pPr>
        <w:pStyle w:val="TextBody"/>
        <w:bidi w:val="0"/>
        <w:spacing w:before="240" w:after="0"/>
        <w:jc w:val="left"/>
        <w:rPr>
          <w:rFonts w:ascii="Times New Roman" w:hAnsi="Times New Roman"/>
          <w:sz w:val="20"/>
        </w:rPr>
      </w:pPr>
      <w:r>
        <w:rPr>
          <w:rFonts w:ascii="Times New Roman" w:hAnsi="Times New Roman"/>
          <w:sz w:val="20"/>
        </w:rPr>
        <w:t xml:space="preserve">(a) each Company Indemnitee may enforce the terms of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Buyer Indemnified Party may enforce the terms of </w:t>
      </w:r>
      <w:r>
        <w:rPr>
          <w:rFonts w:ascii="Times New Roman" w:hAnsi="Times New Roman"/>
          <w:sz w:val="20"/>
          <w:u w:val="single"/>
        </w:rPr>
        <w:t>Article 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Releasee may enforce the terms of </w:t>
      </w:r>
      <w:r>
        <w:rPr>
          <w:rFonts w:ascii="Times New Roman" w:hAnsi="Times New Roman"/>
          <w:sz w:val="20"/>
          <w:u w:val="single"/>
        </w:rPr>
        <w:t>Section 10.4(a)</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(d) no past, present, or future director, officer, employee, incorporator, manager, member, partner, stockholder, Affiliate, agent, attorney, or other representative of any party hereto or of any Affiliate of any party hereto, or any of their successors or permitted assigns (collectively, the “</w:t>
      </w:r>
      <w:r>
        <w:rPr>
          <w:rFonts w:ascii="Times New Roman" w:hAnsi="Times New Roman"/>
          <w:b/>
          <w:i/>
          <w:sz w:val="20"/>
        </w:rPr>
        <w:t>Non-Party Affiliates</w:t>
      </w:r>
      <w:r>
        <w:rPr>
          <w:rFonts w:ascii="Times New Roman" w:hAnsi="Times New Roman"/>
          <w:sz w:val="20"/>
        </w:rPr>
        <w:t xml:space="preserve">”), shall have any liability for any obligations or liabilities of any party hereto under this Agreement or for any claim, action, suit or legal proceeding based on, in respect of or by reason of the transactions contemplated hereby. This </w:t>
      </w:r>
      <w:r>
        <w:rPr>
          <w:rFonts w:ascii="Times New Roman" w:hAnsi="Times New Roman"/>
          <w:sz w:val="20"/>
          <w:u w:val="single"/>
        </w:rPr>
        <w:t>Section 12.17(d)</w:t>
      </w:r>
      <w:r>
        <w:rPr>
          <w:rFonts w:ascii="Times New Roman" w:hAnsi="Times New Roman"/>
          <w:sz w:val="20"/>
        </w:rPr>
        <w:t xml:space="preserve"> is intended for the benefit of, and shall be enforceable by, each of the Non-Party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rights of the parties hereto to terminate, rescind or agree any variation, waiver or settlement under this Agreement are not subject to the consent of any other person. </w:t>
      </w:r>
    </w:p>
    <w:p>
      <w:pPr>
        <w:pStyle w:val="TextBody"/>
        <w:bidi w:val="0"/>
        <w:spacing w:before="240" w:after="0"/>
        <w:jc w:val="left"/>
        <w:rPr>
          <w:rFonts w:ascii="Times New Roman" w:hAnsi="Times New Roman"/>
          <w:sz w:val="20"/>
        </w:rPr>
      </w:pPr>
      <w:r>
        <w:rPr>
          <w:rFonts w:ascii="Times New Roman" w:hAnsi="Times New Roman"/>
          <w:b/>
          <w:sz w:val="20"/>
        </w:rPr>
        <w:t>12.18</w:t>
      </w:r>
      <w:r>
        <w:rPr>
          <w:rFonts w:ascii="Times New Roman" w:hAnsi="Times New Roman"/>
          <w:sz w:val="20"/>
        </w:rPr>
        <w:t xml:space="preserve"> </w:t>
      </w:r>
      <w:r>
        <w:rPr>
          <w:rFonts w:ascii="Times New Roman" w:hAnsi="Times New Roman"/>
          <w:b/>
          <w:sz w:val="20"/>
          <w:u w:val="single"/>
        </w:rPr>
        <w:t>Privileged Deal Communications</w:t>
      </w:r>
      <w:r>
        <w:rPr>
          <w:rFonts w:ascii="Times New Roman" w:hAnsi="Times New Roman"/>
          <w:sz w:val="20"/>
        </w:rPr>
        <w:t>. Pinsent Masons LLP (“</w:t>
      </w:r>
      <w:r>
        <w:rPr>
          <w:rFonts w:ascii="Times New Roman" w:hAnsi="Times New Roman"/>
          <w:b/>
          <w:i/>
          <w:sz w:val="20"/>
        </w:rPr>
        <w:t>Company Counsel</w:t>
      </w:r>
      <w:r>
        <w:rPr>
          <w:rFonts w:ascii="Times New Roman" w:hAnsi="Times New Roman"/>
          <w:sz w:val="20"/>
        </w:rPr>
        <w:t>”) has acted as counsel for the Companies, Sellers and the Seller Representative in connection with this Agreement and the transactions contemplated hereby (the “</w:t>
      </w:r>
      <w:r>
        <w:rPr>
          <w:rFonts w:ascii="Times New Roman" w:hAnsi="Times New Roman"/>
          <w:b/>
          <w:i/>
          <w:sz w:val="20"/>
        </w:rPr>
        <w:t>Acquisition Engagement</w:t>
      </w:r>
      <w:r>
        <w:rPr>
          <w:rFonts w:ascii="Times New Roman" w:hAnsi="Times New Roman"/>
          <w:sz w:val="20"/>
        </w:rPr>
        <w:t xml:space="preserve">”). Company Counsel may represent the Seller Representative or the Sellers after Closing with respect to other matters that may include pre-Closing or post-Closing matters related to this Agreement and the transactions contemplated hereby. To the extent that communications between the Seller Representative or the Sellers, on the one hand, and Company Counsel, on the other, relate to the Acquisition Engagement, such communications shall be deemed to be attorney-client confidences that belong solely to the Seller Representative and/or the Sellers, as applicable, and not to Buyer, the Companies (following Closing), or their affiliates. Accordingly, Buyer and the Companies shall not have access to any such communication or to the files of Company Counsel, in each case to the extent that they relate to the Acquisition Engagement. Without limiting the foregoing, upon and after the Closing: (i) the Seller Representative and the Sellers, as applicable, shall be the sole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of the attorney-client privilege with respect to the Acquisition Engagement, and neither Buyer nor the Companies shall be a holder thereof or shall assert that such privilege was waived due to the inadvertent transfer of attorney-client privileged material after the Closing (either because they were included in the computer server(s) transferred or otherwise acquired pursuant to the transactions contemplated hereby or were otherwise within the records retained by the Companies after the Closing); (ii) to the extent that files of Company Counsel with respect to the Acquisition Engagement constitute property of the client, only the Seller Representative and the Sellers, as applicable, shall hold such property rights; and (iii) Company Counsel shall have no duty whatsoever to reveal or disclose any such attorney-client communications or files to Buyer or the Companies. </w:t>
      </w:r>
    </w:p>
    <w:p>
      <w:pPr>
        <w:pStyle w:val="TextBody"/>
        <w:bidi w:val="0"/>
        <w:spacing w:before="240" w:after="0"/>
        <w:jc w:val="left"/>
        <w:rPr>
          <w:rFonts w:ascii="Times New Roman" w:hAnsi="Times New Roman"/>
          <w:sz w:val="20"/>
        </w:rPr>
      </w:pPr>
      <w:r>
        <w:rPr>
          <w:rFonts w:ascii="Times New Roman" w:hAnsi="Times New Roman"/>
          <w:b/>
          <w:sz w:val="20"/>
        </w:rPr>
        <w:t>12.19</w:t>
      </w:r>
      <w:r>
        <w:rPr>
          <w:rFonts w:ascii="Times New Roman" w:hAnsi="Times New Roman"/>
          <w:sz w:val="20"/>
        </w:rPr>
        <w:t xml:space="preserve"> </w:t>
      </w:r>
      <w:r>
        <w:rPr>
          <w:rFonts w:ascii="Times New Roman" w:hAnsi="Times New Roman"/>
          <w:b/>
          <w:sz w:val="20"/>
          <w:u w:val="single"/>
        </w:rPr>
        <w:t>Fraud</w:t>
      </w:r>
      <w:r>
        <w:rPr>
          <w:rFonts w:ascii="Times New Roman" w:hAnsi="Times New Roman"/>
          <w:sz w:val="20"/>
        </w:rPr>
        <w:t xml:space="preserve">. Notwithstanding anything in this Agreement to the contrary, nothing herein shall limit the right of any party hereto (or such party’s Affiliates) with respect to claims related to Fraud, it being specifically acknowledged and agreed by each Seller and the Companies that the warranties set forth in this Agreement were a material inducement to Buyer entering into this Agreement and consummating the transactions contemplated hereby and that Buyer has specifically and justifiably relied on such warranties in agreeing to enter into this Agreement and consummate the transactions contemplated hereby. </w:t>
      </w:r>
    </w:p>
    <w:p>
      <w:pPr>
        <w:pStyle w:val="TextBody"/>
        <w:bidi w:val="0"/>
        <w:spacing w:before="240" w:after="0"/>
        <w:jc w:val="left"/>
        <w:rPr>
          <w:rFonts w:ascii="Times New Roman" w:hAnsi="Times New Roman"/>
          <w:sz w:val="20"/>
        </w:rPr>
      </w:pPr>
      <w:r>
        <w:rPr>
          <w:rFonts w:ascii="Times New Roman" w:hAnsi="Times New Roman"/>
          <w:b/>
          <w:sz w:val="20"/>
        </w:rPr>
        <w:t>12.20</w:t>
      </w:r>
      <w:r>
        <w:rPr>
          <w:rFonts w:ascii="Times New Roman" w:hAnsi="Times New Roman"/>
          <w:sz w:val="20"/>
        </w:rPr>
        <w:t xml:space="preserve"> </w:t>
      </w:r>
      <w:r>
        <w:rPr>
          <w:rFonts w:ascii="Times New Roman" w:hAnsi="Times New Roman"/>
          <w:b/>
          <w:sz w:val="20"/>
          <w:u w:val="single"/>
        </w:rPr>
        <w:t>Seller Representative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Appointment</w:t>
      </w:r>
      <w:r>
        <w:rPr>
          <w:rFonts w:ascii="Times New Roman" w:hAnsi="Times New Roman"/>
          <w:sz w:val="20"/>
        </w:rPr>
        <w:t xml:space="preserve">. Each Seller hereby irrevocably constitutes and appoints the Seller Representative, as its agent, proxy, and attorney in fact to act from and after the Closing and to do any and all things and execute and deliver any and all documents (as a deed or otherwise) on behalf of any Seller that may be necessary, convenient or appropriate to facilitate the consummation of the transactions contemplated by this Agreement, including but not limited to: (i) receipt of payments under or pursuant to this Agreement and disbursement thereof to the Sellers, in accordance with this Agreement and subject to the terms hereof; (ii) receipt and forwarding of notices and communications pursuant to this Agreement; (iii) administration of the provisions of this Agreement and the other Seller Documents; (iv) giving or agreeing to, on behalf of any or all the Sellers, any and all consents, waivers, amendments or modifications deemed by the Seller Representative, in its sole and absolute discretion, to be necessary or appropriate under this Agreement and the execution or delivery of any documents that may be necessary or appropriate in connection therewith; (v) amending this Agreement; (vi) taking actions the Seller Representative is expressly authorized to take pursuant to the other provisions of this Agreement; (vii) (A) dispute or refrain from disputing, on behalf of each Seller relative to any amounts to be received by such Seller under this Agreement or any agreements contemplated hereby, any claim made by Buyer under this Agreement or other agreements contemplated hereby, (B) negotiate and compromise, on behalf of each Seller, any dispute that may arise under, and exercise or refrain from exercising any remedies available under, this Agreement or any other agreement contemplated hereby, and (C) execute, on behalf of each Seller, any settlement agreement, deed, release or other document with respect to such dispute or remedy; and (viii) engaging attorneys, accountants, agents or consultants on behalf of the Sellers in connection with this Agreement or any other agreement contemplated hereby and paying any fees related thereto. The “Seller Representative” shall be Jack William Loggie.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Reliance</w:t>
      </w:r>
      <w:r>
        <w:rPr>
          <w:rFonts w:ascii="Times New Roman" w:hAnsi="Times New Roman"/>
          <w:sz w:val="20"/>
        </w:rPr>
        <w:t>. Buyer shall be fully protected in dealing with the Seller Representative under this Agreement or any agreements contemplated hereby, and may rely, without inquiry of any kind, upon the authority of, statements provided by, the actions of, or failure to act of, the Seller Representative on behalf of the Sellers (each, an “</w:t>
      </w:r>
      <w:r>
        <w:rPr>
          <w:rFonts w:ascii="Times New Roman" w:hAnsi="Times New Roman"/>
          <w:b/>
          <w:i/>
          <w:sz w:val="20"/>
        </w:rPr>
        <w:t>Authorized Action</w:t>
      </w:r>
      <w:r>
        <w:rPr>
          <w:rFonts w:ascii="Times New Roman" w:hAnsi="Times New Roman"/>
          <w:sz w:val="20"/>
        </w:rPr>
        <w:t xml:space="preserve">”). Buyer is hereby relieved from any liability to any Person for any of its actions or inactions in reliance upon any act, decision, consent, approval or instruction of the Seller Representative, and each such Authorized Action shall be binding on each Seller as fully as if such Seller had taken such Authorized Action. Neither Buyer, nor (from and after the Closing) the Companies or their Subsidiaries shall be liable to any Seller or any other Persons for actions taken or omitted in accordance with or reliance upon any such Authorized Action. The appointment of the Seller Representative is coupled with an interest and shall be irrevocable by any Seller in any manner or for any reason. This power of attorney shall not be affected by the death, illness, dissolution, disability, incapacity or other inability to act of the principal pursuant to any applicable Law. Each of the Sellers acknowledges and confirms to the Seller Representative that the Seller Representative shall not assume or be deemed to have assumed any obligation of a fiduciary nature towards the Sellers as a result of performing such role.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Acts of the Seller Representative</w:t>
      </w:r>
      <w:r>
        <w:rPr>
          <w:rFonts w:ascii="Times New Roman" w:hAnsi="Times New Roman"/>
          <w:sz w:val="20"/>
        </w:rPr>
        <w:t xml:space="preserve">. The Seller Representative may not resign from its capacity as the Seller Representative at any time without Buyer’s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Expenses and Liabilities</w:t>
      </w:r>
      <w:r>
        <w:rPr>
          <w:rFonts w:ascii="Times New Roman" w:hAnsi="Times New Roman"/>
          <w:sz w:val="20"/>
        </w:rPr>
        <w:t xml:space="preserve">. Any expenses or liabilities incurred by the Seller Representative in connection with the performance of its duties under this Agreement or any other agreement contemplated hereby shall not be the personal obligation of the Seller Representative but shall be payable by the Sellers based on their respective Pro Rata Share. The Seller Representative shall provide the Sellers with an accounting of all expenses paid.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 of the Seller Representative</w:t>
      </w:r>
      <w:r>
        <w:rPr>
          <w:rFonts w:ascii="Times New Roman" w:hAnsi="Times New Roman"/>
          <w:sz w:val="20"/>
        </w:rPr>
        <w:t xml:space="preserve">. The Sellers shall severally, but not jointly, indemnify and hold harmless, in accordance with each Seller’s Pro Rata Share, the Seller Representative from any and all losses, liabilities and expenses (including the reasonable fees and expenses of counsel) arising out of or in connection with the Seller Representative’s performance (solely in its capacity as the Seller Representative and not in its capacity as a Seller) of this Agreement or any other agreement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Payments</w:t>
      </w:r>
      <w:r>
        <w:rPr>
          <w:rFonts w:ascii="Times New Roman" w:hAnsi="Times New Roman"/>
          <w:sz w:val="20"/>
        </w:rPr>
        <w:t xml:space="preserve">. If any amounts are paid to the Seller Representative on behalf of the Sellers under this Agreement or any other agreement contemplated hereby, the Seller Representative agrees to promptly pay such amounts to the Sellers in accordance with their respective Pro Rata Share. </w:t>
      </w:r>
    </w:p>
    <w:p>
      <w:pPr>
        <w:pStyle w:val="TextBody"/>
        <w:bidi w:val="0"/>
        <w:spacing w:before="240" w:after="0"/>
        <w:jc w:val="left"/>
        <w:rPr>
          <w:rFonts w:ascii="Times New Roman" w:hAnsi="Times New Roman"/>
          <w:b/>
          <w:sz w:val="20"/>
        </w:rPr>
      </w:pPr>
      <w:r>
        <w:rPr>
          <w:rFonts w:ascii="Times New Roman" w:hAnsi="Times New Roman"/>
          <w:b/>
          <w:sz w:val="20"/>
        </w:rPr>
        <w:t xml:space="preserve">12.21 </w:t>
      </w:r>
      <w:r>
        <w:rPr>
          <w:rFonts w:ascii="Times New Roman" w:hAnsi="Times New Roman"/>
          <w:b/>
          <w:sz w:val="20"/>
          <w:u w:val="single"/>
        </w:rPr>
        <w:t>Power of Attorney</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so long as any of the Sellers remains the registered holder of any shares of Company Capital Stock after Closing, that Seller shall: </w:t>
      </w:r>
    </w:p>
    <w:p>
      <w:pPr>
        <w:pStyle w:val="TextBody"/>
        <w:bidi w:val="0"/>
        <w:spacing w:before="240" w:after="0"/>
        <w:jc w:val="left"/>
        <w:rPr>
          <w:rFonts w:ascii="Times New Roman" w:hAnsi="Times New Roman"/>
          <w:sz w:val="20"/>
        </w:rPr>
      </w:pPr>
      <w:r>
        <w:rPr>
          <w:rFonts w:ascii="Times New Roman" w:hAnsi="Times New Roman"/>
          <w:sz w:val="20"/>
        </w:rPr>
        <w:t xml:space="preserve">(i) hold the shares of Company Capital Stock, any distribution relating to the shares of Company Capital Stock made after Closing and all rights relating to the shares of Company Capital Stock on trust for Buyer;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deal with and dispose of the shares of Company Capital Stock and all such distributions and rights only as Buyer may direct; </w:t>
      </w:r>
    </w:p>
    <w:p>
      <w:pPr>
        <w:pStyle w:val="TextBody"/>
        <w:bidi w:val="0"/>
        <w:spacing w:before="240" w:after="0"/>
        <w:jc w:val="left"/>
        <w:rPr>
          <w:rFonts w:ascii="Times New Roman" w:hAnsi="Times New Roman"/>
          <w:sz w:val="20"/>
        </w:rPr>
      </w:pPr>
      <w:r>
        <w:rPr>
          <w:rFonts w:ascii="Times New Roman" w:hAnsi="Times New Roman"/>
          <w:sz w:val="20"/>
        </w:rPr>
        <w:t xml:space="preserve">(iii) vote at all meetings which the Seller is entitled to attend as the registered holder of the shares of Company Capital Stock in such manner as Buyer may direct; and </w:t>
      </w:r>
    </w:p>
    <w:p>
      <w:pPr>
        <w:pStyle w:val="TextBody"/>
        <w:bidi w:val="0"/>
        <w:spacing w:before="240" w:after="0"/>
        <w:jc w:val="left"/>
        <w:rPr>
          <w:rFonts w:ascii="Times New Roman" w:hAnsi="Times New Roman"/>
          <w:sz w:val="20"/>
        </w:rPr>
      </w:pPr>
      <w:r>
        <w:rPr>
          <w:rFonts w:ascii="Times New Roman" w:hAnsi="Times New Roman"/>
          <w:sz w:val="20"/>
        </w:rPr>
        <w:t xml:space="preserve">(iv) execute all instruments of proxy or other documents which Buyer may require to enable Buyer (or its nominated representative) to attend and vote at any such meeting. </w:t>
      </w:r>
    </w:p>
    <w:p>
      <w:pPr>
        <w:pStyle w:val="TextBody"/>
        <w:bidi w:val="0"/>
        <w:spacing w:before="240" w:after="0"/>
        <w:jc w:val="left"/>
        <w:rPr>
          <w:rFonts w:ascii="Times New Roman" w:hAnsi="Times New Roman"/>
          <w:sz w:val="20"/>
        </w:rPr>
      </w:pPr>
      <w:r>
        <w:rPr>
          <w:rFonts w:ascii="Times New Roman" w:hAnsi="Times New Roman"/>
          <w:sz w:val="20"/>
        </w:rPr>
        <w:t xml:space="preserve">(b) Each of the Sellers hereby appoints Buyer (acting by any of its officers or directors from time to time) to be such Seller’s attorney, in such Seller’s name and on such Seller’s behalf to do any of the following after Closing in such manner as the attorney thinks fit: </w:t>
      </w:r>
    </w:p>
    <w:p>
      <w:pPr>
        <w:pStyle w:val="TextBody"/>
        <w:bidi w:val="0"/>
        <w:spacing w:before="240" w:after="0"/>
        <w:jc w:val="left"/>
        <w:rPr>
          <w:rFonts w:ascii="Times New Roman" w:hAnsi="Times New Roman"/>
          <w:sz w:val="20"/>
        </w:rPr>
      </w:pPr>
      <w:r>
        <w:rPr>
          <w:rFonts w:ascii="Times New Roman" w:hAnsi="Times New Roman"/>
          <w:sz w:val="20"/>
        </w:rPr>
        <w:t xml:space="preserve">(i) complete and return any meeting requisition, form of proxy, consent to short notice, written resolution or other document to be signed by the registered holder of the shares of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(ii) deal with, and give directions as to, any moneys, securities, benefits, documents, notices or other communications (in any form) relating to the shares of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(iii) execute and deliver all deeds and instruments, and do all acts, as may be executed or done by the registered holder of the relevant shares of Company Capital Stock (including but not limited to any instrument of transfer in relation to the transfer of any of the shares of Company Capital Stock to any person); </w:t>
      </w:r>
    </w:p>
    <w:p>
      <w:pPr>
        <w:pStyle w:val="TextBody"/>
        <w:bidi w:val="0"/>
        <w:spacing w:before="240" w:after="0"/>
        <w:jc w:val="left"/>
        <w:rPr>
          <w:rFonts w:ascii="Times New Roman" w:hAnsi="Times New Roman"/>
          <w:sz w:val="20"/>
        </w:rPr>
      </w:pPr>
      <w:r>
        <w:rPr>
          <w:rFonts w:ascii="Times New Roman" w:hAnsi="Times New Roman"/>
          <w:sz w:val="20"/>
        </w:rPr>
        <w:t xml:space="preserve">(iv) authorise the Companies to send any document, notice or other communication relating to the shares of Company Capital Stock to Buyer; and </w:t>
      </w:r>
    </w:p>
    <w:p>
      <w:pPr>
        <w:pStyle w:val="TextBody"/>
        <w:bidi w:val="0"/>
        <w:spacing w:before="240" w:after="0"/>
        <w:jc w:val="left"/>
        <w:rPr>
          <w:rFonts w:ascii="Times New Roman" w:hAnsi="Times New Roman"/>
          <w:sz w:val="20"/>
        </w:rPr>
      </w:pPr>
      <w:r>
        <w:rPr>
          <w:rFonts w:ascii="Times New Roman" w:hAnsi="Times New Roman"/>
          <w:sz w:val="20"/>
        </w:rPr>
        <w:t xml:space="preserve">(v) exercise all other rights relating to the shares of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(c) The power of attorney in this </w:t>
      </w:r>
      <w:r>
        <w:rPr>
          <w:rFonts w:ascii="Times New Roman" w:hAnsi="Times New Roman"/>
          <w:sz w:val="20"/>
          <w:u w:val="single"/>
        </w:rPr>
        <w:t>Section 12.21</w:t>
      </w:r>
      <w:r>
        <w:rPr>
          <w:rFonts w:ascii="Times New Roman" w:hAnsi="Times New Roman"/>
          <w:sz w:val="20"/>
        </w:rPr>
        <w:t xml:space="preserve"> is granted by each of the Sellers to secure the interest of Buyer in the shares of Company Capital Stock and so is irrevocable and shall expire on the date that Buyer (or its nominee) is entered as the holder of the shares of Company Capital Stock in the register of members of the relevant Company. Notwithstanding the foregoing, the power of attorney in </w:t>
      </w:r>
      <w:r>
        <w:rPr>
          <w:rFonts w:ascii="Times New Roman" w:hAnsi="Times New Roman"/>
          <w:sz w:val="20"/>
          <w:u w:val="single"/>
        </w:rPr>
        <w:t>Section 12.21</w:t>
      </w:r>
      <w:r>
        <w:rPr>
          <w:rFonts w:ascii="Times New Roman" w:hAnsi="Times New Roman"/>
          <w:sz w:val="20"/>
        </w:rPr>
        <w:t xml:space="preserve"> is granted by the Trustee Seller as trustee of the Cansco Limited Employee Trust 2007 in compliance with the Trustee Act 1961 of the Isle of Man and shall take effect from Closing and expire on the earlier of: (i) the date that Buyer is entered as the holder of the relevant shares of Company Capital Stock in the register of members of the relevant Company; and (ii) the date which is twelve (12) months after Closing. The Trustee Seller has given notice of this power of attorney as required pursuant to the Trustee Act 1961 of the Isle of Man.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duly executed and delivered this Agreement as a deed to be effective on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BUYER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Casing Technologies Group Limited</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R. Johnson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David R. Johnson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PARENT: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Drilling Tools International Corporation</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R. Johnson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David R. Johnson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tbl>
      <w:tblPr>
        <w:tblW w:w="2000" w:type="pct"/>
        <w:jc w:val="right"/>
        <w:tblInd w:w="0" w:type="dxa"/>
        <w:tblLayout w:type="fixed"/>
        <w:tblCellMar>
          <w:top w:w="0" w:type="dxa"/>
          <w:left w:w="0" w:type="dxa"/>
          <w:bottom w:w="0" w:type="dxa"/>
          <w:right w:w="0" w:type="dxa"/>
        </w:tblCellMar>
      </w:tblPr>
      <w:tblGrid>
        <w:gridCol w:w="1878"/>
        <w:gridCol w:w="60"/>
        <w:gridCol w:w="2144"/>
      </w:tblGrid>
      <w:tr>
        <w:trPr/>
        <w:tc>
          <w:tcPr>
            <w:tcW w:w="18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signature: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name: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address:</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duly executed and delivered this Agreement as a deed to be effective on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THE COMPANIES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Saltire Energy Limited acting by two directors:</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Jack William Loggie</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Jack William Loggie</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Harper</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Michael Harper</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Finance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Foxley Energy Limited acting by two directors</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Jack William Loggie</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Jack William Loggie</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Director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David John Loggie</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Michael David John Loggie</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878"/>
        <w:gridCol w:w="60"/>
        <w:gridCol w:w="2144"/>
      </w:tblGrid>
      <w:tr>
        <w:trPr/>
        <w:tc>
          <w:tcPr>
            <w:tcW w:w="18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THE SELLERS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Michael David Loggie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David Loggie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signature: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name: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address:</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Michael David John Loggie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David John Loggie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signature: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name: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address:</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Jack William Loggie, in his capacity as Seller and Seller Representative</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Jack William Loggie</w:t>
            </w:r>
          </w:p>
        </w:tc>
      </w:tr>
    </w:tbl>
    <w:tbl>
      <w:tblPr>
        <w:tblW w:w="2000" w:type="pct"/>
        <w:jc w:val="right"/>
        <w:tblInd w:w="0" w:type="dxa"/>
        <w:tblLayout w:type="fixed"/>
        <w:tblCellMar>
          <w:top w:w="0" w:type="dxa"/>
          <w:left w:w="0" w:type="dxa"/>
          <w:bottom w:w="0" w:type="dxa"/>
          <w:right w:w="0" w:type="dxa"/>
        </w:tblCellMar>
      </w:tblPr>
      <w:tblGrid>
        <w:gridCol w:w="1878"/>
        <w:gridCol w:w="60"/>
        <w:gridCol w:w="2144"/>
      </w:tblGrid>
      <w:tr>
        <w:trPr/>
        <w:tc>
          <w:tcPr>
            <w:tcW w:w="18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signature: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name: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address:</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Cansco Limited Employee Trust 2007</w:t>
            </w:r>
          </w:p>
        </w:tc>
      </w:tr>
    </w:tbl>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Optimus Corporate Services Limited, solely in its capacity as trustee of the Cansco Limited Employee Trust 2007, acting by two directors</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Brent Thomas</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Richard Brent Thomas</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Director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Pritesh Ramesh Desai</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Pritesh Ramesh Desai</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6"/>
        <w:gridCol w:w="61"/>
        <w:gridCol w:w="3345"/>
      </w:tblGrid>
      <w:tr>
        <w:trPr/>
        <w:tc>
          <w:tcPr>
            <w:tcW w:w="6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Loggie Family Trust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Michael David Loggie and Jack William Loggie, solely in their capacity as trustees of The Loggie Family Trust</w:t>
            </w:r>
          </w:p>
        </w:tc>
      </w:tr>
      <w:tr>
        <w:trPr>
          <w:trHeight w:val="240" w:hRule="atLeast"/>
        </w:trPr>
        <w:tc>
          <w:tcPr>
            <w:tcW w:w="676" w:type="dxa"/>
            <w:tcBorders/>
            <w:vAlign w:val="center"/>
          </w:tcPr>
          <w:p>
            <w:pPr>
              <w:pStyle w:val="TableContents"/>
              <w:bidi w:val="0"/>
              <w:spacing w:before="0" w:after="283"/>
              <w:jc w:val="left"/>
              <w:rPr>
                <w:sz w:val="4"/>
                <w:szCs w:val="4"/>
              </w:rPr>
            </w:pPr>
            <w:r>
              <w:rPr>
                <w:sz w:val="4"/>
                <w:szCs w:val="4"/>
              </w:rPr>
            </w:r>
          </w:p>
        </w:tc>
        <w:tc>
          <w:tcPr>
            <w:tcW w:w="3406" w:type="dxa"/>
            <w:gridSpan w:val="2"/>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David Loggie</w:t>
            </w:r>
          </w:p>
        </w:tc>
      </w:tr>
      <w:tr>
        <w:trPr/>
        <w:tc>
          <w:tcPr>
            <w:tcW w:w="676"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Michael David Loggie</w:t>
            </w:r>
          </w:p>
        </w:tc>
      </w:tr>
      <w:tr>
        <w:trPr/>
        <w:tc>
          <w:tcPr>
            <w:tcW w:w="676"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5" w:type="dxa"/>
            <w:tcBorders/>
          </w:tcPr>
          <w:p>
            <w:pPr>
              <w:pStyle w:val="TableContents"/>
              <w:bidi w:val="0"/>
              <w:spacing w:before="0" w:after="283"/>
              <w:jc w:val="left"/>
              <w:rPr/>
            </w:pPr>
            <w:r>
              <w:rPr/>
              <w:t>Trustee</w:t>
            </w:r>
          </w:p>
        </w:tc>
      </w:tr>
    </w:tbl>
    <w:tbl>
      <w:tblPr>
        <w:tblW w:w="2000" w:type="pct"/>
        <w:jc w:val="right"/>
        <w:tblInd w:w="0" w:type="dxa"/>
        <w:tblLayout w:type="fixed"/>
        <w:tblCellMar>
          <w:top w:w="0" w:type="dxa"/>
          <w:left w:w="0" w:type="dxa"/>
          <w:bottom w:w="0" w:type="dxa"/>
          <w:right w:w="0" w:type="dxa"/>
        </w:tblCellMar>
      </w:tblPr>
      <w:tblGrid>
        <w:gridCol w:w="1878"/>
        <w:gridCol w:w="60"/>
        <w:gridCol w:w="2144"/>
      </w:tblGrid>
      <w:tr>
        <w:trPr/>
        <w:tc>
          <w:tcPr>
            <w:tcW w:w="18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signature: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name: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address:</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673"/>
        <w:gridCol w:w="60"/>
        <w:gridCol w:w="3349"/>
      </w:tblGrid>
      <w:tr>
        <w:trPr/>
        <w:tc>
          <w:tcPr>
            <w:tcW w:w="6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673" w:type="dxa"/>
            <w:tcBorders/>
            <w:vAlign w:val="center"/>
          </w:tcPr>
          <w:p>
            <w:pPr>
              <w:pStyle w:val="TableContents"/>
              <w:bidi w:val="0"/>
              <w:spacing w:before="0" w:after="283"/>
              <w:jc w:val="left"/>
              <w:rPr>
                <w:sz w:val="4"/>
                <w:szCs w:val="4"/>
              </w:rPr>
            </w:pPr>
            <w:r>
              <w:rPr>
                <w:sz w:val="4"/>
                <w:szCs w:val="4"/>
              </w:rPr>
            </w:r>
          </w:p>
        </w:tc>
        <w:tc>
          <w:tcPr>
            <w:tcW w:w="3409"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Jack William Loggie</w:t>
            </w:r>
          </w:p>
        </w:tc>
      </w:tr>
      <w:tr>
        <w:trPr/>
        <w:tc>
          <w:tcPr>
            <w:tcW w:w="67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Jack William Loggie</w:t>
            </w:r>
          </w:p>
        </w:tc>
      </w:tr>
      <w:tr>
        <w:trPr/>
        <w:tc>
          <w:tcPr>
            <w:tcW w:w="67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Trustee</w:t>
            </w:r>
          </w:p>
        </w:tc>
      </w:tr>
    </w:tbl>
    <w:tbl>
      <w:tblPr>
        <w:tblW w:w="2000" w:type="pct"/>
        <w:jc w:val="right"/>
        <w:tblInd w:w="0" w:type="dxa"/>
        <w:tblLayout w:type="fixed"/>
        <w:tblCellMar>
          <w:top w:w="0" w:type="dxa"/>
          <w:left w:w="0" w:type="dxa"/>
          <w:bottom w:w="0" w:type="dxa"/>
          <w:right w:w="0" w:type="dxa"/>
        </w:tblCellMar>
      </w:tblPr>
      <w:tblGrid>
        <w:gridCol w:w="1878"/>
        <w:gridCol w:w="60"/>
        <w:gridCol w:w="2144"/>
      </w:tblGrid>
      <w:tr>
        <w:trPr/>
        <w:tc>
          <w:tcPr>
            <w:tcW w:w="18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signature: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name:</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1878" w:type="dxa"/>
            <w:tcBorders/>
            <w:vAlign w:val="center"/>
          </w:tcPr>
          <w:p>
            <w:pPr>
              <w:pStyle w:val="TableContents"/>
              <w:bidi w:val="0"/>
              <w:spacing w:before="0" w:after="283"/>
              <w:jc w:val="left"/>
              <w:rPr>
                <w:sz w:val="4"/>
                <w:szCs w:val="4"/>
              </w:rPr>
            </w:pPr>
            <w:r>
              <w:rPr>
                <w:sz w:val="4"/>
                <w:szCs w:val="4"/>
              </w:rPr>
            </w:r>
          </w:p>
        </w:tc>
        <w:tc>
          <w:tcPr>
            <w:tcW w:w="2204" w:type="dxa"/>
            <w:gridSpan w:val="2"/>
            <w:tcBorders/>
            <w:vAlign w:val="center"/>
          </w:tcPr>
          <w:p>
            <w:pPr>
              <w:pStyle w:val="TableContents"/>
              <w:bidi w:val="0"/>
              <w:spacing w:before="0" w:after="283"/>
              <w:jc w:val="left"/>
              <w:rPr>
                <w:sz w:val="4"/>
                <w:szCs w:val="4"/>
              </w:rPr>
            </w:pPr>
            <w:r>
              <w:rPr>
                <w:sz w:val="4"/>
                <w:szCs w:val="4"/>
              </w:rPr>
            </w:r>
          </w:p>
        </w:tc>
      </w:tr>
      <w:tr>
        <w:trPr/>
        <w:tc>
          <w:tcPr>
            <w:tcW w:w="1878" w:type="dxa"/>
            <w:tcBorders/>
          </w:tcPr>
          <w:p>
            <w:pPr>
              <w:pStyle w:val="TableContents"/>
              <w:bidi w:val="0"/>
              <w:spacing w:before="0" w:after="283"/>
              <w:jc w:val="left"/>
              <w:rPr/>
            </w:pPr>
            <w:r>
              <w:rPr/>
              <w:t>Witness address:</w:t>
            </w:r>
          </w:p>
        </w:tc>
        <w:tc>
          <w:tcPr>
            <w:tcW w:w="60" w:type="dxa"/>
            <w:tcBorders/>
            <w:vAlign w:val="bottom"/>
          </w:tcPr>
          <w:p>
            <w:pPr>
              <w:pStyle w:val="TableContents"/>
              <w:bidi w:val="0"/>
              <w:spacing w:before="0" w:after="283"/>
              <w:jc w:val="left"/>
              <w:rPr/>
            </w:pPr>
            <w:r>
              <w:rPr/>
              <w:t> </w:t>
            </w:r>
          </w:p>
        </w:tc>
        <w:tc>
          <w:tcPr>
            <w:tcW w:w="2144"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Exhibit A</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definitions of terms capitalized and used throughout this Agreement are as follows: </w:t>
      </w:r>
    </w:p>
    <w:p>
      <w:pPr>
        <w:pStyle w:val="TextBody"/>
        <w:bidi w:val="0"/>
        <w:spacing w:before="240" w:after="0"/>
        <w:jc w:val="left"/>
        <w:rPr/>
      </w:pPr>
      <w:r>
        <w:rPr/>
        <w:t>“</w:t>
      </w:r>
      <w:r>
        <w:rPr>
          <w:rFonts w:ascii="Times New Roman" w:hAnsi="Times New Roman"/>
          <w:b/>
          <w:i/>
          <w:sz w:val="20"/>
        </w:rPr>
        <w:t>Accounting Standards</w:t>
      </w:r>
      <w:r>
        <w:rPr>
          <w:rFonts w:ascii="Times New Roman" w:hAnsi="Times New Roman"/>
          <w:sz w:val="20"/>
        </w:rPr>
        <w:t xml:space="preserve">” means the Financial Reporting Standard 102: the Financial Reporting Standard applicable in the United Kingdom and the Republic of Ireland issued by The Financial Reporting Council (in each case, as in effect at the time the applicable Company Financial Statements were required to be prepared), any other requirement of a United Kingdom accounting body having mandatory effect including other generally accepted accounting principles and practices in the United Kingdom, the Large and Medium-sized Companies and Groups (Accounts and Reports) Regulations 2008 (where applicable) and the Companies Act. </w:t>
      </w:r>
    </w:p>
    <w:p>
      <w:pPr>
        <w:pStyle w:val="TextBody"/>
        <w:bidi w:val="0"/>
        <w:spacing w:before="240" w:after="0"/>
        <w:jc w:val="left"/>
        <w:rPr/>
      </w:pPr>
      <w:r>
        <w:rPr/>
        <w:t>“</w:t>
      </w:r>
      <w:r>
        <w:rPr>
          <w:rFonts w:ascii="Times New Roman" w:hAnsi="Times New Roman"/>
          <w:b/>
          <w:i/>
          <w:sz w:val="20"/>
        </w:rPr>
        <w:t>Acquisition Proposal</w:t>
      </w:r>
      <w:r>
        <w:rPr>
          <w:rFonts w:ascii="Times New Roman" w:hAnsi="Times New Roman"/>
          <w:sz w:val="20"/>
        </w:rPr>
        <w:t xml:space="preserve">” has the meaning set forth in </w:t>
      </w:r>
      <w:r>
        <w:rPr>
          <w:rFonts w:ascii="Times New Roman" w:hAnsi="Times New Roman"/>
          <w:sz w:val="20"/>
          <w:u w:val="single"/>
        </w:rPr>
        <w:t>Section 7.12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Action</w:t>
      </w:r>
      <w:r>
        <w:rPr>
          <w:rFonts w:ascii="Times New Roman" w:hAnsi="Times New Roman"/>
          <w:sz w:val="20"/>
        </w:rPr>
        <w:t>” or “</w:t>
      </w:r>
      <w:r>
        <w:rPr>
          <w:rFonts w:ascii="Times New Roman" w:hAnsi="Times New Roman"/>
          <w:b/>
          <w:i/>
          <w:sz w:val="20"/>
        </w:rPr>
        <w:t>Actions</w:t>
      </w:r>
      <w:r>
        <w:rPr>
          <w:rFonts w:ascii="Times New Roman" w:hAnsi="Times New Roman"/>
          <w:sz w:val="20"/>
        </w:rPr>
        <w:t xml:space="preserve">” means any lawsuit, action, charge, complaint, inquiry, mediation, audit, examination, investigation, legal proceeding, administrative enforcement proceeding, arbitration proceeding or other similar proceeding or adjudicative matter by or before any Governmental Authority. </w:t>
      </w:r>
    </w:p>
    <w:p>
      <w:pPr>
        <w:pStyle w:val="TextBody"/>
        <w:bidi w:val="0"/>
        <w:spacing w:before="240" w:after="0"/>
        <w:jc w:val="left"/>
        <w:rPr/>
      </w:pPr>
      <w:r>
        <w:rPr/>
        <w:t>“</w:t>
      </w:r>
      <w:r>
        <w:rPr>
          <w:rFonts w:ascii="Times New Roman" w:hAnsi="Times New Roman"/>
          <w:b/>
          <w:i/>
          <w:sz w:val="20"/>
        </w:rPr>
        <w:t>Adjusted Closing Date Cash Consideration</w:t>
      </w:r>
      <w:r>
        <w:rPr>
          <w:rFonts w:ascii="Times New Roman" w:hAnsi="Times New Roman"/>
          <w:sz w:val="20"/>
        </w:rPr>
        <w:t xml:space="preserve">” has the meaning set forth in </w:t>
      </w:r>
      <w:r>
        <w:rPr>
          <w:rFonts w:ascii="Times New Roman" w:hAnsi="Times New Roman"/>
          <w:sz w:val="20"/>
          <w:u w:val="single"/>
        </w:rPr>
        <w:t>Section 2.1(c)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xml:space="preserve">” means with respect to any Person, any Person that directly or indirectly controls, is controlled by or is under common control with such Person. </w:t>
      </w:r>
    </w:p>
    <w:p>
      <w:pPr>
        <w:pStyle w:val="TextBody"/>
        <w:bidi w:val="0"/>
        <w:spacing w:before="240" w:after="0"/>
        <w:jc w:val="left"/>
        <w:rPr/>
      </w:pPr>
      <w:r>
        <w:rPr/>
        <w:t>“</w:t>
      </w:r>
      <w:r>
        <w:rPr>
          <w:rFonts w:ascii="Times New Roman" w:hAnsi="Times New Roman"/>
          <w:b/>
          <w:i/>
          <w:sz w:val="20"/>
        </w:rPr>
        <w:t>Affiliated Group</w:t>
      </w:r>
      <w:r>
        <w:rPr>
          <w:rFonts w:ascii="Times New Roman" w:hAnsi="Times New Roman"/>
          <w:sz w:val="20"/>
        </w:rPr>
        <w:t xml:space="preserve">” means an affiliated group as defined in Code section 1504 (or any analogous combined, consolidated, unitary or similar group defined under state, local or non-U.S. Tax Law). </w:t>
      </w:r>
    </w:p>
    <w:p>
      <w:pPr>
        <w:pStyle w:val="TextBody"/>
        <w:bidi w:val="0"/>
        <w:spacing w:before="240" w:after="0"/>
        <w:jc w:val="left"/>
        <w:rPr/>
      </w:pPr>
      <w:r>
        <w:rPr/>
        <w:t>“</w:t>
      </w:r>
      <w:r>
        <w:rPr>
          <w:rFonts w:ascii="Times New Roman" w:hAnsi="Times New Roman"/>
          <w:b/>
          <w:i/>
          <w:sz w:val="20"/>
        </w:rPr>
        <w:t>Agreed Historic Lease Tax Amount</w:t>
      </w:r>
      <w:r>
        <w:rPr>
          <w:rFonts w:ascii="Times New Roman" w:hAnsi="Times New Roman"/>
          <w:sz w:val="20"/>
        </w:rPr>
        <w:t xml:space="preserve">” has the meaning given in </w:t>
      </w:r>
      <w:r>
        <w:rPr>
          <w:rFonts w:ascii="Times New Roman" w:hAnsi="Times New Roman"/>
          <w:sz w:val="20"/>
          <w:u w:val="single"/>
        </w:rPr>
        <w:t>Section 7.3(d).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Agreed EBT Tax Liability Adjustment Amount</w:t>
      </w:r>
      <w:r>
        <w:rPr>
          <w:rFonts w:ascii="Times New Roman" w:hAnsi="Times New Roman"/>
          <w:sz w:val="20"/>
        </w:rPr>
        <w:t>” means an amount equal to the EBT Tax Liability Estimate less the Agreed EBT Tax Liability Amount</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Agreed EBT Tax Liability Amount</w:t>
      </w:r>
      <w:r>
        <w:rPr>
          <w:rFonts w:ascii="Times New Roman" w:hAnsi="Times New Roman"/>
          <w:sz w:val="20"/>
        </w:rPr>
        <w:t xml:space="preserve">” has the meaning given in </w:t>
      </w:r>
      <w:r>
        <w:rPr>
          <w:rFonts w:ascii="Times New Roman" w:hAnsi="Times New Roman"/>
          <w:sz w:val="20"/>
          <w:u w:val="single"/>
        </w:rPr>
        <w:t>Section 7.16.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Annual Financial Statements</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Anti-Corruption Laws</w:t>
      </w:r>
      <w:r>
        <w:rPr>
          <w:rFonts w:ascii="Times New Roman" w:hAnsi="Times New Roman"/>
          <w:sz w:val="20"/>
        </w:rPr>
        <w:t xml:space="preserve">” means all U.S. and non-U.S. Laws relating to the prevention of corruption and bribery, including the U.S. Foreign Corrupt Practices Act of 1977, and the Bribery Act 2010 of the United Kingdom, each as amended, and to the prevention of money laundering, terrorist financing and tax evasion, including but not limited to the following United Kingdom legislation: (i) the Proceeds of Crime Act 2002; (ii) the Terrorism Act 2000; (iii) the Criminal Finances Act 2017; and (iv) the Sanctions and Anti-Money Laundering Act 2018 and all statutory instruments adopted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Authorized Action</w:t>
      </w:r>
      <w:r>
        <w:rPr>
          <w:rFonts w:ascii="Times New Roman" w:hAnsi="Times New Roman"/>
          <w:sz w:val="20"/>
        </w:rPr>
        <w:t xml:space="preserve">” has the meaning set forth in </w:t>
      </w:r>
      <w:r>
        <w:rPr>
          <w:rFonts w:ascii="Times New Roman" w:hAnsi="Times New Roman"/>
          <w:sz w:val="20"/>
          <w:u w:val="single"/>
        </w:rPr>
        <w:t>Section 12.20(b)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Balance Sheet Date</w:t>
      </w:r>
      <w:r>
        <w:rPr>
          <w:rFonts w:ascii="Times New Roman" w:hAnsi="Times New Roman"/>
          <w:sz w:val="20"/>
        </w:rPr>
        <w:t xml:space="preserve">” means June 30, 2026.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other than a Saturday, Sunday or a day on which the banks located in Houston, Texas and Edinburgh, United Kingdom are closed. </w:t>
      </w:r>
    </w:p>
    <w:p>
      <w:pPr>
        <w:pStyle w:val="TextBody"/>
        <w:bidi w:val="0"/>
        <w:spacing w:before="240" w:after="0"/>
        <w:jc w:val="left"/>
        <w:rPr/>
      </w:pPr>
      <w:r>
        <w:rPr/>
        <w:t>“</w:t>
      </w:r>
      <w:r>
        <w:rPr>
          <w:rFonts w:ascii="Times New Roman" w:hAnsi="Times New Roman"/>
          <w:b/>
          <w:i/>
          <w:sz w:val="20"/>
        </w:rPr>
        <w:t>Buyer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Buyer’s Relief</w:t>
      </w:r>
      <w:r>
        <w:rPr>
          <w:rFonts w:ascii="Times New Roman" w:hAnsi="Times New Roman"/>
          <w:sz w:val="20"/>
        </w:rPr>
        <w:t xml:space="preserve">” means: (a) any Relief which has been taken into account as an asset in the Locked Box Accounts or EV to Equity Bridge or in computing (and so reducing or eliminating) any provision for Tax which appears in the Locked Box Accounts or EV to Equity Bridge; (b) any Relief which arises in respect of any transaction, event, act or omission occurring (or deemed to occur) on or after Closing; or (c) any Relief which arises to the Buyer or any company (other than the Companies and their Subsidiaries) that is from time to time treated as members of the same group as, or otherwise connected or associated in any way with, the Buyer for any Tax purpose. </w:t>
      </w:r>
    </w:p>
    <w:p>
      <w:pPr>
        <w:pStyle w:val="TextBody"/>
        <w:bidi w:val="0"/>
        <w:spacing w:before="240" w:after="0"/>
        <w:jc w:val="left"/>
        <w:rPr/>
      </w:pPr>
      <w:r>
        <w:rPr/>
        <w:t>“</w:t>
      </w:r>
      <w:r>
        <w:rPr>
          <w:rFonts w:ascii="Times New Roman" w:hAnsi="Times New Roman"/>
          <w:b/>
          <w:i/>
          <w:sz w:val="20"/>
        </w:rPr>
        <w:t>Buyer Documents</w:t>
      </w:r>
      <w:r>
        <w:rPr>
          <w:rFonts w:ascii="Times New Roman" w:hAnsi="Times New Roman"/>
          <w:sz w:val="20"/>
        </w:rPr>
        <w:t xml:space="preserve">” has the meaning set forth in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Claiming Party</w:t>
      </w:r>
      <w:r>
        <w:rPr>
          <w:rFonts w:ascii="Times New Roman" w:hAnsi="Times New Roman"/>
          <w:sz w:val="20"/>
        </w:rPr>
        <w:t xml:space="preserve">” has the meaning set forth in </w:t>
      </w:r>
      <w:r>
        <w:rPr>
          <w:rFonts w:ascii="Times New Roman" w:hAnsi="Times New Roman"/>
          <w:sz w:val="20"/>
          <w:u w:val="single"/>
        </w:rPr>
        <w:t>Section 12.13(b)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Date</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Date Cash Consideration</w:t>
      </w:r>
      <w:r>
        <w:rPr>
          <w:rFonts w:ascii="Times New Roman" w:hAnsi="Times New Roman"/>
          <w:sz w:val="20"/>
        </w:rPr>
        <w:t xml:space="preserve">” has the meaning set forth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Date Consideration</w:t>
      </w:r>
      <w:r>
        <w:rPr>
          <w:rFonts w:ascii="Times New Roman" w:hAnsi="Times New Roman"/>
          <w:sz w:val="20"/>
        </w:rPr>
        <w:t xml:space="preserve">” has the meaning set forth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Closing Date Loan Note Consideration</w:t>
      </w:r>
      <w:r>
        <w:rPr>
          <w:rFonts w:ascii="Times New Roman" w:hAnsi="Times New Roman"/>
          <w:sz w:val="20"/>
        </w:rPr>
        <w:t xml:space="preserve">” means issuance of the Consideration Loan Notes to the Sellers (other than the Trustee Seller) at Closing pursuant to the Consideration Loan Note Instrument with an exchange amount equal to the closing market price of the DTI Common Stock on the first Business Day immediately prior to the Closing. </w:t>
      </w:r>
    </w:p>
    <w:p>
      <w:pPr>
        <w:pStyle w:val="TextBody"/>
        <w:bidi w:val="0"/>
        <w:spacing w:before="240" w:after="0"/>
        <w:jc w:val="left"/>
        <w:rPr/>
      </w:pPr>
      <w:r>
        <w:rPr/>
        <w:t>“</w:t>
      </w:r>
      <w:r>
        <w:rPr>
          <w:rFonts w:ascii="Times New Roman" w:hAnsi="Times New Roman"/>
          <w:b/>
          <w:i/>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i/>
          <w:sz w:val="20"/>
        </w:rPr>
        <w:t>Commercial Warranties</w:t>
      </w:r>
      <w:r>
        <w:rPr>
          <w:rFonts w:ascii="Times New Roman" w:hAnsi="Times New Roman"/>
          <w:sz w:val="20"/>
        </w:rPr>
        <w:t xml:space="preserve">” means the warranties contained in Article IV and Article V other than the Fundamental Warranties. </w:t>
      </w:r>
    </w:p>
    <w:p>
      <w:pPr>
        <w:pStyle w:val="TextBody"/>
        <w:bidi w:val="0"/>
        <w:spacing w:before="240" w:after="0"/>
        <w:jc w:val="left"/>
        <w:rPr/>
      </w:pPr>
      <w:r>
        <w:rPr/>
        <w:t>“</w:t>
      </w:r>
      <w:r>
        <w:rPr>
          <w:rFonts w:ascii="Times New Roman" w:hAnsi="Times New Roman"/>
          <w:b/>
          <w:i/>
          <w:sz w:val="20"/>
        </w:rPr>
        <w:t>Commitment</w:t>
      </w:r>
      <w:r>
        <w:rPr>
          <w:rFonts w:ascii="Times New Roman" w:hAnsi="Times New Roman"/>
          <w:sz w:val="20"/>
        </w:rPr>
        <w:t xml:space="preserve">” means (a) options, warrants, convertible securities, exchangeable securities, subscription rights, conversion rights, exchange rights, or other rights that require a Person to issue any of its Equity Interests or to sell any Equity Interests it owns in another Person; or (b) any other securities convertible into, exchangeable or exercisable for, or representing the right to subscribe for any Equity Interest of a Person or owned by a Person. </w:t>
      </w:r>
    </w:p>
    <w:p>
      <w:pPr>
        <w:pStyle w:val="TextBody"/>
        <w:bidi w:val="0"/>
        <w:spacing w:before="240" w:after="0"/>
        <w:jc w:val="left"/>
        <w:rPr/>
      </w:pPr>
      <w:r>
        <w:rPr/>
        <w:t>“</w:t>
      </w:r>
      <w:r>
        <w:rPr>
          <w:rFonts w:ascii="Times New Roman" w:hAnsi="Times New Roman"/>
          <w:b/>
          <w:i/>
          <w:sz w:val="20"/>
        </w:rPr>
        <w:t>Companies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Companies Act</w:t>
      </w:r>
      <w:r>
        <w:rPr>
          <w:rFonts w:ascii="Times New Roman" w:hAnsi="Times New Roman"/>
          <w:sz w:val="20"/>
        </w:rPr>
        <w:t xml:space="preserve">” means the Companies Act 2006 of the United Kingdom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Company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Company Capital Stock</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Company Debt</w:t>
      </w:r>
      <w:r>
        <w:rPr>
          <w:rFonts w:ascii="Times New Roman" w:hAnsi="Times New Roman"/>
          <w:sz w:val="20"/>
        </w:rPr>
        <w:t xml:space="preserve">” means, without duplication, any liability or obligation of the Companies, together with any accrued and unpaid interest thereon and any amounts required to fully satisfy and discharge such liability or obligation, including any such amounts to be paid at the Closing pursuant to the Payoff Letters, (a) for borrowed money or obligations in substitution or exchange thereof (including the current portion thereof and any accrued interest), (b) in respect of bonds, debentures, notes, or other similar instruments or debt securities (c) in respect of letters of credit and bankers’ acceptances or similar credit, performance or surety transactions, but only to the extent drawn, (d) in respect of any obligations to pay the deferred purchase price of, or other costs and expenses related to the acquisition of, assets, businesses, property, goods or services completed prior to Closing (including earn-outs (at the maximum amount payable in respect thereof), seller notes, holdbacks and direct financing leases or other unpaid purchase price obligations or similar obligations), (e) in respect of cash or book overdrafts, (f) arising out of interest rate, currency or other hedging arrangements, (g) in respect of any funds received on a forgivable basis pursuant to any Law intended to address the consequences of COVID-19 that are determined to be not forgivable, (h) in respect of any unpaid bonus, commission, severance or nonqualified deferred compensation obligations, together with the employer portion of any applicable Taxes and NICs due on the foregoing amounts, computed as though all such amounts were payable as of the Closing Date, (i) in respect of any accrued but unpaid Taxes of the Companies and their Subsidiaries with respect to any Pre-Closing Tax Period (which shall not be less than zero for any particular Tax or Tax period, in any jurisdiction or for any legal entity (or, to the extent such Tax is calculated in the aggregate for an Affiliated Group, of such Affiliated Group), (j) owing to any Related Person, (k) secured by a Lien (other than a Permitted Lien), (l) in respect of declared and unpaid dividends or other distributions, (m) in respect of guaranteeing obligations of any other Person of the type described in the foregoing clauses, and (n) in respect of the Agreed EBT Tax Liability Amount; provided, that, notwithstanding any other provision of this Agreement, Company Debt shall not include any of the liabilities or obligations of the Companies under, pursuant to or in connection with any letters of credit, performance bonds, bid bonds or other sureties of any kind to the extent undrawn. </w:t>
      </w:r>
    </w:p>
    <w:p>
      <w:pPr>
        <w:pStyle w:val="TextBody"/>
        <w:bidi w:val="0"/>
        <w:spacing w:before="240" w:after="0"/>
        <w:jc w:val="left"/>
        <w:rPr/>
      </w:pPr>
      <w:r>
        <w:rPr/>
        <w:t>“</w:t>
      </w:r>
      <w:r>
        <w:rPr>
          <w:rFonts w:ascii="Times New Roman" w:hAnsi="Times New Roman"/>
          <w:b/>
          <w:i/>
          <w:sz w:val="20"/>
        </w:rPr>
        <w:t>Company Documents</w:t>
      </w:r>
      <w:r>
        <w:rPr>
          <w:rFonts w:ascii="Times New Roman" w:hAnsi="Times New Roman"/>
          <w:sz w:val="20"/>
        </w:rPr>
        <w:t xml:space="preserve">” has the meaning set forth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Financial Statements</w:t>
      </w:r>
      <w:r>
        <w:rPr>
          <w:rFonts w:ascii="Times New Roman" w:hAnsi="Times New Roman"/>
          <w:sz w:val="20"/>
        </w:rPr>
        <w:t xml:space="preserve">” has the meaning set forth in </w:t>
      </w:r>
      <w:r>
        <w:rPr>
          <w:rFonts w:ascii="Times New Roman" w:hAnsi="Times New Roman"/>
          <w:sz w:val="20"/>
          <w:u w:val="single"/>
        </w:rPr>
        <w:t>Section 4.5(a)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Indemnitee</w:t>
      </w:r>
      <w:r>
        <w:rPr>
          <w:rFonts w:ascii="Times New Roman" w:hAnsi="Times New Roman"/>
          <w:sz w:val="20"/>
        </w:rPr>
        <w:t xml:space="preserve">” has the meaning set forth in </w:t>
      </w:r>
      <w:r>
        <w:rPr>
          <w:rFonts w:ascii="Times New Roman" w:hAnsi="Times New Roman"/>
          <w:sz w:val="20"/>
          <w:u w:val="single"/>
        </w:rPr>
        <w:t>Section 7.8(a)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IP</w:t>
      </w:r>
      <w:r>
        <w:rPr>
          <w:rFonts w:ascii="Times New Roman" w:hAnsi="Times New Roman"/>
          <w:sz w:val="20"/>
        </w:rPr>
        <w:t xml:space="preserve">” means all Intellectual Property used in the conduct of the business of the Companies and their Subsidiaries as currently conducted, including the Company Registered Intellectual Property. </w:t>
      </w:r>
    </w:p>
    <w:p>
      <w:pPr>
        <w:pStyle w:val="TextBody"/>
        <w:bidi w:val="0"/>
        <w:spacing w:before="240" w:after="0"/>
        <w:jc w:val="left"/>
        <w:rPr/>
      </w:pPr>
      <w:r>
        <w:rPr/>
        <w:t>“</w:t>
      </w:r>
      <w:r>
        <w:rPr>
          <w:rFonts w:ascii="Times New Roman" w:hAnsi="Times New Roman"/>
          <w:b/>
          <w:i/>
          <w:sz w:val="20"/>
        </w:rPr>
        <w:t>Company-Owned IP</w:t>
      </w:r>
      <w:r>
        <w:rPr>
          <w:rFonts w:ascii="Times New Roman" w:hAnsi="Times New Roman"/>
          <w:sz w:val="20"/>
        </w:rPr>
        <w:t xml:space="preserve">” has the meaning set forth in </w:t>
      </w:r>
      <w:r>
        <w:rPr>
          <w:rFonts w:ascii="Times New Roman" w:hAnsi="Times New Roman"/>
          <w:sz w:val="20"/>
          <w:u w:val="single"/>
        </w:rPr>
        <w:t>Section 4.14(a)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Company Registered Intellectual Property</w:t>
      </w:r>
      <w:r>
        <w:rPr>
          <w:rFonts w:ascii="Times New Roman" w:hAnsi="Times New Roman"/>
          <w:sz w:val="20"/>
        </w:rPr>
        <w:t xml:space="preserve">” means all United States, United Kingdom, international and foreign (a) patents and patent applications (including provisional applications), (b) registered service marks and trademarks and applications to register service marks and trademarks, (c) registered copyrights and applications for copyright registration, and (d) Internet domain name registrations, in each case, of clause (a) through (d) that is owned or purported to be owned by the Companies or their Subsidiaries and which have not expired.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Company Systems</w:t>
      </w:r>
      <w:r>
        <w:rPr>
          <w:rFonts w:ascii="Times New Roman" w:hAnsi="Times New Roman"/>
          <w:sz w:val="20"/>
        </w:rPr>
        <w:t>” means all of the following used by or for, or otherwise relied on by, the Companies: servers, hardware systems, software, websites, databases, circuits, networks and other computer and telecommunication assets and equipment, and all other information technology equipment and related items of automated, computerized or software systems, together with all information contained therein or transmitted thereby, including any outsourced systems and processes (</w:t>
      </w:r>
      <w:r>
        <w:rPr>
          <w:rFonts w:ascii="Times New Roman" w:hAnsi="Times New Roman"/>
          <w:i/>
          <w:sz w:val="20"/>
        </w:rPr>
        <w:t>e.g.</w:t>
      </w:r>
      <w:r>
        <w:rPr>
          <w:rFonts w:ascii="Times New Roman" w:hAnsi="Times New Roman"/>
          <w:sz w:val="20"/>
        </w:rPr>
        <w:t xml:space="preserve">, hosting locations) and all associated documentation. </w:t>
      </w:r>
    </w:p>
    <w:p>
      <w:pPr>
        <w:pStyle w:val="TextBody"/>
        <w:bidi w:val="0"/>
        <w:spacing w:before="240" w:after="0"/>
        <w:jc w:val="left"/>
        <w:rPr/>
      </w:pPr>
      <w:r>
        <w:rPr/>
        <w:t>“</w:t>
      </w:r>
      <w:r>
        <w:rPr>
          <w:rFonts w:ascii="Times New Roman" w:hAnsi="Times New Roman"/>
          <w:b/>
          <w:i/>
          <w:sz w:val="20"/>
        </w:rPr>
        <w:t>Company’s Knowledge</w:t>
      </w:r>
      <w:r>
        <w:rPr>
          <w:rFonts w:ascii="Times New Roman" w:hAnsi="Times New Roman"/>
          <w:sz w:val="20"/>
        </w:rPr>
        <w:t xml:space="preserve">” means the actual knowledge, after reasonable inquiry, of each of Michael David Loggie and Jack William Loggie. </w:t>
      </w:r>
    </w:p>
    <w:p>
      <w:pPr>
        <w:pStyle w:val="TextBody"/>
        <w:bidi w:val="0"/>
        <w:spacing w:before="240" w:after="0"/>
        <w:jc w:val="left"/>
        <w:rPr/>
      </w:pPr>
      <w:r>
        <w:rPr/>
        <w:t>“</w:t>
      </w:r>
      <w:r>
        <w:rPr>
          <w:rFonts w:ascii="Times New Roman" w:hAnsi="Times New Roman"/>
          <w:b/>
          <w:i/>
          <w:sz w:val="20"/>
        </w:rPr>
        <w:t>Confidentiality Agreement</w:t>
      </w:r>
      <w:r>
        <w:rPr>
          <w:rFonts w:ascii="Times New Roman" w:hAnsi="Times New Roman"/>
          <w:sz w:val="20"/>
        </w:rPr>
        <w:t xml:space="preserve">” has the meaning set forth in </w:t>
      </w:r>
      <w:r>
        <w:rPr>
          <w:rFonts w:ascii="Times New Roman" w:hAnsi="Times New Roman"/>
          <w:sz w:val="20"/>
          <w:u w:val="single"/>
        </w:rPr>
        <w:t>Section 7.4(b)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Consent</w:t>
      </w:r>
      <w:r>
        <w:rPr>
          <w:rFonts w:ascii="Times New Roman" w:hAnsi="Times New Roman"/>
          <w:sz w:val="20"/>
        </w:rPr>
        <w:t xml:space="preserve">” means any consent, approval, authorization, qualification, waiver, registration or notification required to be obtained from, filed with or delivered to a third party (including a Governmental Authority) in connection with the consummation of the transactions provided for in this Agreement. </w:t>
      </w:r>
    </w:p>
    <w:p>
      <w:pPr>
        <w:pStyle w:val="TextBody"/>
        <w:bidi w:val="0"/>
        <w:spacing w:before="240" w:after="0"/>
        <w:jc w:val="left"/>
        <w:rPr/>
      </w:pPr>
      <w:r>
        <w:rPr/>
        <w:t>“</w:t>
      </w:r>
      <w:r>
        <w:rPr>
          <w:rFonts w:ascii="Times New Roman" w:hAnsi="Times New Roman"/>
          <w:b/>
          <w:i/>
          <w:sz w:val="20"/>
        </w:rPr>
        <w:t>Consideration Loan Note Instrument</w:t>
      </w:r>
      <w:r>
        <w:rPr>
          <w:rFonts w:ascii="Times New Roman" w:hAnsi="Times New Roman"/>
          <w:sz w:val="20"/>
        </w:rPr>
        <w:t xml:space="preserve">” means the loan note instrument to be executed by Buyer to implement the issuance of the Consideration Loan Notes. </w:t>
      </w:r>
    </w:p>
    <w:p>
      <w:pPr>
        <w:pStyle w:val="TextBody"/>
        <w:bidi w:val="0"/>
        <w:spacing w:before="240" w:after="0"/>
        <w:jc w:val="left"/>
        <w:rPr/>
      </w:pPr>
      <w:r>
        <w:rPr/>
        <w:t>“</w:t>
      </w:r>
      <w:r>
        <w:rPr>
          <w:rFonts w:ascii="Times New Roman" w:hAnsi="Times New Roman"/>
          <w:b/>
          <w:i/>
          <w:sz w:val="20"/>
        </w:rPr>
        <w:t>Consideration Loan Notes</w:t>
      </w:r>
      <w:r>
        <w:rPr>
          <w:rFonts w:ascii="Times New Roman" w:hAnsi="Times New Roman"/>
          <w:sz w:val="20"/>
        </w:rPr>
        <w:t xml:space="preserve">” means the unsecured loan notes constituted under each Consideration Loan Note Instrument, in the form set out in the corresponding Consideration Loan Note Instrument. </w:t>
      </w:r>
    </w:p>
    <w:p>
      <w:pPr>
        <w:pStyle w:val="TextBody"/>
        <w:bidi w:val="0"/>
        <w:spacing w:before="240" w:after="0"/>
        <w:jc w:val="left"/>
        <w:rPr/>
      </w:pPr>
      <w:r>
        <w:rPr/>
        <w:t>“</w:t>
      </w:r>
      <w:r>
        <w:rPr>
          <w:rFonts w:ascii="Times New Roman" w:hAnsi="Times New Roman"/>
          <w:b/>
          <w:i/>
          <w:sz w:val="20"/>
        </w:rPr>
        <w:t>Contracts</w:t>
      </w:r>
      <w:r>
        <w:rPr>
          <w:rFonts w:ascii="Times New Roman" w:hAnsi="Times New Roman"/>
          <w:sz w:val="20"/>
        </w:rPr>
        <w:t xml:space="preserve">” means all agreements, contracts, arrangements, understandings, commitments, undertakings, instruments, obligations, plans, leases, licenses, indentures, notes, bonds, mortgages and other agreements (other than purchase orders and sale orders) that are legally binding. </w:t>
      </w:r>
    </w:p>
    <w:p>
      <w:pPr>
        <w:pStyle w:val="TextBody"/>
        <w:bidi w:val="0"/>
        <w:spacing w:before="240" w:after="0"/>
        <w:jc w:val="left"/>
        <w:rPr/>
      </w:pPr>
      <w:r>
        <w:rPr/>
        <w:t>“</w:t>
      </w:r>
      <w:r>
        <w:rPr>
          <w:rFonts w:ascii="Times New Roman" w:hAnsi="Times New Roman"/>
          <w:b/>
          <w:i/>
          <w:sz w:val="20"/>
        </w:rPr>
        <w:t>Data Room</w:t>
      </w:r>
      <w:r>
        <w:rPr>
          <w:rFonts w:ascii="Times New Roman" w:hAnsi="Times New Roman"/>
          <w:sz w:val="20"/>
        </w:rPr>
        <w:t xml:space="preserve">” means the “Shield” online data room facility provided via Datasite as at 5.00 pm (Edinburgh time) on the date two (2) Business Days prior to the date of this Agreement, an index of which is set out in the schedule to the Disclosure Letter. </w:t>
      </w:r>
    </w:p>
    <w:p>
      <w:pPr>
        <w:pStyle w:val="TextBody"/>
        <w:bidi w:val="0"/>
        <w:spacing w:before="240" w:after="0"/>
        <w:jc w:val="left"/>
        <w:rPr/>
      </w:pPr>
      <w:r>
        <w:rPr/>
        <w:t>“</w:t>
      </w:r>
      <w:r>
        <w:rPr>
          <w:rFonts w:ascii="Times New Roman" w:hAnsi="Times New Roman"/>
          <w:b/>
          <w:i/>
          <w:sz w:val="20"/>
        </w:rPr>
        <w:t>Data Security Requirements</w:t>
      </w:r>
      <w:r>
        <w:rPr>
          <w:rFonts w:ascii="Times New Roman" w:hAnsi="Times New Roman"/>
          <w:sz w:val="20"/>
        </w:rPr>
        <w:t>” means, collectively, all of the following to the extent relating to Personal Data, payment card data, or other protected information relating to individuals or otherwise relating to privacy, security, security breach notification requirements or outbound marketing and applicable to the business of the Companies and their respective Subsidiaries: (a) the Companies’ own rules, policies, and procedures (whether physical or technical in nature, or otherwise), (b) all applicable Laws and all industry standards applicable to the industry of the business (including the General Data Protection Regulation (EU) 2016/679 (“</w:t>
      </w:r>
      <w:r>
        <w:rPr>
          <w:rFonts w:ascii="Times New Roman" w:hAnsi="Times New Roman"/>
          <w:b/>
          <w:i/>
          <w:sz w:val="20"/>
        </w:rPr>
        <w:t>GDPR</w:t>
      </w:r>
      <w:r>
        <w:rPr>
          <w:rFonts w:ascii="Times New Roman" w:hAnsi="Times New Roman"/>
          <w:sz w:val="20"/>
        </w:rPr>
        <w:t xml:space="preserve">”), GDPR as it forms part of the Law of England and Wales, Scotland and Northern Ireland by virtue of section 3 of the European Union (Withdrawal) Act 2018, the Data Protection Act 2018 of the United Kingdom, any Laws implementing or made pursuant to EU Directive 2002/58/EC (as amended by 2009/136/EC), the Privacy and Electronic Communications (EC Directive) Regulations 2003 and, where applicable, the Payment Card Industry Data Security Standard (PCI 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Defending Party</w:t>
      </w:r>
      <w:r>
        <w:rPr>
          <w:rFonts w:ascii="Times New Roman" w:hAnsi="Times New Roman"/>
          <w:sz w:val="20"/>
        </w:rPr>
        <w:t xml:space="preserve">” has the meaning set forth in </w:t>
      </w:r>
      <w:r>
        <w:rPr>
          <w:rFonts w:ascii="Times New Roman" w:hAnsi="Times New Roman"/>
          <w:sz w:val="20"/>
          <w:u w:val="single"/>
        </w:rPr>
        <w:t>Section 12.13(b)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DGCL</w:t>
      </w:r>
      <w:r>
        <w:rPr>
          <w:rFonts w:ascii="Times New Roman" w:hAnsi="Times New Roman"/>
          <w:sz w:val="20"/>
        </w:rPr>
        <w:t xml:space="preserve">” means the General Corporation Law of the State of Delaware. </w:t>
      </w:r>
    </w:p>
    <w:p>
      <w:pPr>
        <w:pStyle w:val="TextBody"/>
        <w:bidi w:val="0"/>
        <w:spacing w:before="240" w:after="0"/>
        <w:jc w:val="left"/>
        <w:rPr/>
      </w:pPr>
      <w:r>
        <w:rPr/>
        <w:t>“</w:t>
      </w:r>
      <w:r>
        <w:rPr>
          <w:rFonts w:ascii="Times New Roman" w:hAnsi="Times New Roman"/>
          <w:b/>
          <w:i/>
          <w:sz w:val="20"/>
        </w:rPr>
        <w:t>Disclosed</w:t>
      </w:r>
      <w:r>
        <w:rPr>
          <w:rFonts w:ascii="Times New Roman" w:hAnsi="Times New Roman"/>
          <w:sz w:val="20"/>
        </w:rPr>
        <w:t xml:space="preserve">” means fairly disclosed in or under the Disclosure Letter with sufficient detail to enable the Buyer to identify and evaluate the nature and scope of the matter disclosed. </w:t>
      </w:r>
    </w:p>
    <w:p>
      <w:pPr>
        <w:pStyle w:val="TextBody"/>
        <w:bidi w:val="0"/>
        <w:spacing w:before="240" w:after="0"/>
        <w:jc w:val="left"/>
        <w:rPr/>
      </w:pPr>
      <w:r>
        <w:rPr/>
        <w:t>“</w:t>
      </w:r>
      <w:r>
        <w:rPr>
          <w:rFonts w:ascii="Times New Roman" w:hAnsi="Times New Roman"/>
          <w:b/>
          <w:i/>
          <w:sz w:val="20"/>
        </w:rPr>
        <w:t>Disclosure Bundle</w:t>
      </w:r>
      <w:r>
        <w:rPr>
          <w:rFonts w:ascii="Times New Roman" w:hAnsi="Times New Roman"/>
          <w:sz w:val="20"/>
        </w:rPr>
        <w:t xml:space="preserve">” means the information and documents appended to the Disclosure Letter. </w:t>
      </w:r>
    </w:p>
    <w:p>
      <w:pPr>
        <w:pStyle w:val="TextBody"/>
        <w:bidi w:val="0"/>
        <w:spacing w:before="240" w:after="0"/>
        <w:jc w:val="left"/>
        <w:rPr/>
      </w:pPr>
      <w:r>
        <w:rPr/>
        <w:t>“</w:t>
      </w:r>
      <w:r>
        <w:rPr>
          <w:rFonts w:ascii="Times New Roman" w:hAnsi="Times New Roman"/>
          <w:b/>
          <w:i/>
          <w:sz w:val="20"/>
        </w:rPr>
        <w:t>Disclosure Documents</w:t>
      </w:r>
      <w:r>
        <w:rPr>
          <w:rFonts w:ascii="Times New Roman" w:hAnsi="Times New Roman"/>
          <w:sz w:val="20"/>
        </w:rPr>
        <w:t xml:space="preserve">” means the information and documents contained either in the Data Room or in the Disclosure Bundle, each as listed in the indices to the Disclosure Letter. </w:t>
      </w:r>
    </w:p>
    <w:p>
      <w:pPr>
        <w:pStyle w:val="TextBody"/>
        <w:bidi w:val="0"/>
        <w:spacing w:before="240" w:after="0"/>
        <w:jc w:val="left"/>
        <w:rPr/>
      </w:pPr>
      <w:r>
        <w:rPr/>
        <w:t>“</w:t>
      </w:r>
      <w:r>
        <w:rPr>
          <w:rFonts w:ascii="Times New Roman" w:hAnsi="Times New Roman"/>
          <w:b/>
          <w:i/>
          <w:sz w:val="20"/>
        </w:rPr>
        <w:t>Disclosure Letter</w:t>
      </w:r>
      <w:r>
        <w:rPr>
          <w:rFonts w:ascii="Times New Roman" w:hAnsi="Times New Roman"/>
          <w:sz w:val="20"/>
        </w:rPr>
        <w:t xml:space="preserve">” means the letter in the Agreed Form dated the same date as this Agreement (together with the Disclosure Documents) from the Sellers (excluding the Trustee Seller) to the Buyer executed by the Sellers (excluding the Trustee Seller) and delivered to the Buyer immediately prior to the execution of this Agreement and making certain disclosures against the warranties contained in Article IV and Article V. </w:t>
      </w:r>
    </w:p>
    <w:p>
      <w:pPr>
        <w:pStyle w:val="TextBody"/>
        <w:bidi w:val="0"/>
        <w:spacing w:before="240" w:after="0"/>
        <w:jc w:val="left"/>
        <w:rPr/>
      </w:pPr>
      <w:r>
        <w:rPr/>
        <w:t>“</w:t>
      </w:r>
      <w:r>
        <w:rPr>
          <w:rFonts w:ascii="Times New Roman" w:hAnsi="Times New Roman"/>
          <w:b/>
          <w:i/>
          <w:sz w:val="20"/>
        </w:rPr>
        <w:t>DTI Common Stock</w:t>
      </w:r>
      <w:r>
        <w:rPr>
          <w:rFonts w:ascii="Times New Roman" w:hAnsi="Times New Roman"/>
          <w:sz w:val="20"/>
        </w:rPr>
        <w:t xml:space="preserve">” means 17,355,139 shares of common stock, par value $0.0001 per share, of Parent. </w:t>
      </w:r>
    </w:p>
    <w:p>
      <w:pPr>
        <w:pStyle w:val="TextBody"/>
        <w:bidi w:val="0"/>
        <w:spacing w:before="240" w:after="0"/>
        <w:jc w:val="left"/>
        <w:rPr/>
      </w:pPr>
      <w:r>
        <w:rPr/>
        <w:t>“</w:t>
      </w:r>
      <w:r>
        <w:rPr>
          <w:rFonts w:ascii="Times New Roman" w:hAnsi="Times New Roman"/>
          <w:b/>
          <w:i/>
          <w:sz w:val="20"/>
        </w:rPr>
        <w:t>EBT Tax Liability</w:t>
      </w:r>
      <w:r>
        <w:rPr>
          <w:rFonts w:ascii="Times New Roman" w:hAnsi="Times New Roman"/>
          <w:sz w:val="20"/>
        </w:rPr>
        <w:t xml:space="preserve">” has the meaning set forth in paragraph (b) of the definition of Specific Tax Liabilities. </w:t>
      </w:r>
    </w:p>
    <w:p>
      <w:pPr>
        <w:pStyle w:val="TextBody"/>
        <w:bidi w:val="0"/>
        <w:spacing w:before="240" w:after="0"/>
        <w:jc w:val="left"/>
        <w:rPr/>
      </w:pPr>
      <w:r>
        <w:rPr/>
        <w:t>“</w:t>
      </w:r>
      <w:r>
        <w:rPr>
          <w:rFonts w:ascii="Times New Roman" w:hAnsi="Times New Roman"/>
          <w:b/>
          <w:i/>
          <w:sz w:val="20"/>
        </w:rPr>
        <w:t>EBT Tax Liability Estimate</w:t>
      </w:r>
      <w:r>
        <w:rPr>
          <w:rFonts w:ascii="Times New Roman" w:hAnsi="Times New Roman"/>
          <w:sz w:val="20"/>
        </w:rPr>
        <w:t xml:space="preserve">” means £3,293,216. </w:t>
      </w:r>
    </w:p>
    <w:p>
      <w:pPr>
        <w:pStyle w:val="TextBody"/>
        <w:bidi w:val="0"/>
        <w:spacing w:before="240" w:after="0"/>
        <w:jc w:val="left"/>
        <w:rPr/>
      </w:pPr>
      <w:r>
        <w:rPr/>
        <w:t>“</w:t>
      </w:r>
      <w:r>
        <w:rPr>
          <w:rFonts w:ascii="Times New Roman" w:hAnsi="Times New Roman"/>
          <w:b/>
          <w:i/>
          <w:sz w:val="20"/>
        </w:rPr>
        <w:t>Effective Time</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Employee Plan</w:t>
      </w:r>
      <w:r>
        <w:rPr>
          <w:rFonts w:ascii="Times New Roman" w:hAnsi="Times New Roman"/>
          <w:sz w:val="20"/>
        </w:rPr>
        <w:t>” or “</w:t>
      </w:r>
      <w:r>
        <w:rPr>
          <w:rFonts w:ascii="Times New Roman" w:hAnsi="Times New Roman"/>
          <w:b/>
          <w:i/>
          <w:sz w:val="20"/>
        </w:rPr>
        <w:t>Employee Plans</w:t>
      </w:r>
      <w:r>
        <w:rPr>
          <w:rFonts w:ascii="Times New Roman" w:hAnsi="Times New Roman"/>
          <w:sz w:val="20"/>
        </w:rPr>
        <w:t xml:space="preserve">” has the meaning set forth in </w:t>
      </w:r>
      <w:r>
        <w:rPr>
          <w:rFonts w:ascii="Times New Roman" w:hAnsi="Times New Roman"/>
          <w:sz w:val="20"/>
          <w:u w:val="single"/>
        </w:rPr>
        <w:t>Section 4.11(a)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Employment Agreements</w:t>
      </w:r>
      <w:r>
        <w:rPr>
          <w:rFonts w:ascii="Times New Roman" w:hAnsi="Times New Roman"/>
          <w:sz w:val="20"/>
        </w:rPr>
        <w:t xml:space="preserve">” has the meaning set forth in </w:t>
      </w:r>
      <w:r>
        <w:rPr>
          <w:rFonts w:ascii="Times New Roman" w:hAnsi="Times New Roman"/>
          <w:sz w:val="20"/>
          <w:u w:val="single"/>
        </w:rPr>
        <w:t>Section 3.2(n)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Environment</w:t>
      </w:r>
      <w:r>
        <w:rPr>
          <w:rFonts w:ascii="Times New Roman" w:hAnsi="Times New Roman"/>
          <w:sz w:val="20"/>
        </w:rPr>
        <w:t xml:space="preserve">” has the meaning given in section 1(2) of the Environmental Protection Act 1990. </w:t>
      </w:r>
    </w:p>
    <w:p>
      <w:pPr>
        <w:pStyle w:val="TextBody"/>
        <w:bidi w:val="0"/>
        <w:spacing w:before="240" w:after="0"/>
        <w:jc w:val="left"/>
        <w:rPr/>
      </w:pPr>
      <w:r>
        <w:rPr/>
        <w:t>“</w:t>
      </w:r>
      <w:r>
        <w:rPr>
          <w:rFonts w:ascii="Times New Roman" w:hAnsi="Times New Roman"/>
          <w:b/>
          <w:i/>
          <w:sz w:val="20"/>
        </w:rPr>
        <w:t>Environmental Laws</w:t>
      </w:r>
      <w:r>
        <w:rPr>
          <w:rFonts w:ascii="Times New Roman" w:hAnsi="Times New Roman"/>
          <w:sz w:val="20"/>
        </w:rPr>
        <w:t xml:space="preserve">” means all Laws or Orders in force as at the date of this Agreement to the extent that they relate to or concern the protection of the Environment or have as a purpose or effect the provision of remedies or compensation for harm or damage to the Environment or any loss arising therefrom. </w:t>
      </w:r>
    </w:p>
    <w:p>
      <w:pPr>
        <w:pStyle w:val="TextBody"/>
        <w:bidi w:val="0"/>
        <w:spacing w:before="240" w:after="0"/>
        <w:jc w:val="left"/>
        <w:rPr/>
      </w:pPr>
      <w:r>
        <w:rPr/>
        <w:t>“</w:t>
      </w:r>
      <w:r>
        <w:rPr>
          <w:rFonts w:ascii="Times New Roman" w:hAnsi="Times New Roman"/>
          <w:b/>
          <w:i/>
          <w:sz w:val="20"/>
        </w:rPr>
        <w:t>Environmental Permits</w:t>
      </w:r>
      <w:r>
        <w:rPr>
          <w:rFonts w:ascii="Times New Roman" w:hAnsi="Times New Roman"/>
          <w:sz w:val="20"/>
        </w:rPr>
        <w:t xml:space="preserve">” means any permission, permit, licence, authorisation, consent, registration, notification, exemption or other approval required pursuant to compliance with any Environmental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Equity Interests</w:t>
      </w:r>
      <w:r>
        <w:rPr>
          <w:rFonts w:ascii="Times New Roman" w:hAnsi="Times New Roman"/>
          <w:sz w:val="20"/>
        </w:rPr>
        <w:t xml:space="preserve">” means any common or preferred share, membership interest, capital stock, other equity interest, other ownership interest or voting interest or any securities or other interests convertible into or exchangeable or exercisable for capital stock, shares, other equity interests, or other ownership interests, or any other rights (including phantom units, call rights, rights to any payment or other value based on the revenues, earnings or financial performance, or any similar Contract), warrants or options to acquire any of the foregoing securities or interests of or in any Person, including (a) with respect to a corporation, any and all shares of capital stock or other Commitments or (b) with respect to a partnership, limited liability company, trust or similar Person, any and all units, interests or other partnership/limited liability company interests or other Commitments. </w:t>
      </w:r>
    </w:p>
    <w:p>
      <w:pPr>
        <w:pStyle w:val="TextBody"/>
        <w:bidi w:val="0"/>
        <w:spacing w:before="240" w:after="0"/>
        <w:jc w:val="left"/>
        <w:rPr/>
      </w:pPr>
      <w:r>
        <w:rPr/>
        <w:t>“</w:t>
      </w:r>
      <w:r>
        <w:rPr>
          <w:rFonts w:ascii="Times New Roman" w:hAnsi="Times New Roman"/>
          <w:b/>
          <w:i/>
          <w:sz w:val="20"/>
        </w:rPr>
        <w:t>EV to Equity Bridge</w:t>
      </w:r>
      <w:r>
        <w:rPr>
          <w:rFonts w:ascii="Times New Roman" w:hAnsi="Times New Roman"/>
          <w:sz w:val="20"/>
        </w:rPr>
        <w:t xml:space="preserve">” means the schedule, in the Agreed Form, setting forth the reconciliation from £60,000,000 to the equity value of the Companies payable to the Sellers, including, without limitation, the adjustments for (a) Company Debt, (b) cash, (c) the EBT Tax Liability Estimate, (d) working capital adjustment, being the difference between actual working capital as at the Locked Box Date and the agreed target working capital amount, and (e) such other items as are agreed by the Parties and specified therein, in each case as at the Locked Box Date.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i/>
          <w:sz w:val="20"/>
        </w:rPr>
        <w:t>Exchange Rate</w:t>
      </w:r>
      <w:r>
        <w:rPr>
          <w:rFonts w:ascii="Times New Roman" w:hAnsi="Times New Roman"/>
          <w:sz w:val="20"/>
        </w:rPr>
        <w:t xml:space="preserve">” means $1.343 per £1.00. </w:t>
      </w:r>
    </w:p>
    <w:p>
      <w:pPr>
        <w:pStyle w:val="TextBody"/>
        <w:bidi w:val="0"/>
        <w:spacing w:before="240" w:after="0"/>
        <w:jc w:val="left"/>
        <w:rPr/>
      </w:pPr>
      <w:r>
        <w:rPr/>
        <w:t>“</w:t>
      </w:r>
      <w:r>
        <w:rPr>
          <w:rFonts w:ascii="Times New Roman" w:hAnsi="Times New Roman"/>
          <w:b/>
          <w:i/>
          <w:sz w:val="20"/>
        </w:rPr>
        <w:t>Excluded Tax Claim</w:t>
      </w:r>
      <w:r>
        <w:rPr>
          <w:rFonts w:ascii="Times New Roman" w:hAnsi="Times New Roman"/>
          <w:sz w:val="20"/>
        </w:rPr>
        <w:t xml:space="preserve">” means any Tax Claim in respect of the Specific Tax Liabilities to the extent excluded from cover under the W&amp;I Policy. </w:t>
      </w:r>
    </w:p>
    <w:p>
      <w:pPr>
        <w:pStyle w:val="TextBody"/>
        <w:bidi w:val="0"/>
        <w:spacing w:before="240" w:after="0"/>
        <w:jc w:val="left"/>
        <w:rPr/>
      </w:pPr>
      <w:r>
        <w:rPr/>
        <w:t>“</w:t>
      </w:r>
      <w:r>
        <w:rPr>
          <w:rFonts w:ascii="Times New Roman" w:hAnsi="Times New Roman"/>
          <w:b/>
          <w:i/>
          <w:sz w:val="20"/>
        </w:rPr>
        <w:t>Ex-Im Laws</w:t>
      </w:r>
      <w:r>
        <w:rPr>
          <w:rFonts w:ascii="Times New Roman" w:hAnsi="Times New Roman"/>
          <w:sz w:val="20"/>
        </w:rPr>
        <w:t xml:space="preserve">” means all U.S. and non-U.S. Laws relating to export, reexport, transfer, and import controls, including the Export Administration Regulations, the International Traffic in Arms Regulations, and the customs and import Laws administered by U.S. Customs and Border Protection. </w:t>
      </w:r>
    </w:p>
    <w:p>
      <w:pPr>
        <w:pStyle w:val="TextBody"/>
        <w:bidi w:val="0"/>
        <w:spacing w:before="240" w:after="0"/>
        <w:jc w:val="left"/>
        <w:rPr/>
      </w:pPr>
      <w:r>
        <w:rPr/>
        <w:t>“</w:t>
      </w:r>
      <w:r>
        <w:rPr>
          <w:rFonts w:ascii="Times New Roman" w:hAnsi="Times New Roman"/>
          <w:b/>
          <w:i/>
          <w:sz w:val="20"/>
        </w:rPr>
        <w:t>Form S-4 Registration Statement</w:t>
      </w:r>
      <w:r>
        <w:rPr>
          <w:rFonts w:ascii="Times New Roman" w:hAnsi="Times New Roman"/>
          <w:sz w:val="20"/>
        </w:rPr>
        <w:t xml:space="preserve">” has the meaning set forth in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Foxley Sellers</w:t>
      </w:r>
      <w:r>
        <w:rPr>
          <w:rFonts w:ascii="Times New Roman" w:hAnsi="Times New Roman"/>
          <w:sz w:val="20"/>
        </w:rPr>
        <w:t xml:space="preserve">” means Jack William Loggie and Michael David John Loggie. </w:t>
      </w:r>
    </w:p>
    <w:p>
      <w:pPr>
        <w:pStyle w:val="TextBody"/>
        <w:bidi w:val="0"/>
        <w:spacing w:before="240" w:after="0"/>
        <w:jc w:val="left"/>
        <w:rPr/>
      </w:pPr>
      <w:r>
        <w:rPr/>
        <w:t>“</w:t>
      </w:r>
      <w:r>
        <w:rPr>
          <w:rFonts w:ascii="Times New Roman" w:hAnsi="Times New Roman"/>
          <w:b/>
          <w:i/>
          <w:sz w:val="20"/>
        </w:rPr>
        <w:t>Fraud</w:t>
      </w:r>
      <w:r>
        <w:rPr>
          <w:rFonts w:ascii="Times New Roman" w:hAnsi="Times New Roman"/>
          <w:sz w:val="20"/>
        </w:rPr>
        <w:t xml:space="preserve">” means fraud under the Fraud Act 2006 of the United Kingdom or common law (including conspiracy to defraud) with respect to any of the specific warranties expressly set forth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or </w:t>
      </w:r>
      <w:r>
        <w:rPr>
          <w:rFonts w:ascii="Times New Roman" w:hAnsi="Times New Roman"/>
          <w:sz w:val="20"/>
          <w:u w:val="single"/>
        </w:rPr>
        <w:t>Article VI</w:t>
      </w:r>
      <w:r>
        <w:rPr>
          <w:rFonts w:ascii="Times New Roman" w:hAnsi="Times New Roman"/>
          <w:sz w:val="20"/>
        </w:rPr>
        <w:t>, committed by the Party making such express warranty. For clarity, (x) a claim for Fraud may only be made against the Person committing such Fraud and (y) “</w:t>
      </w:r>
      <w:r>
        <w:rPr>
          <w:rFonts w:ascii="Times New Roman" w:hAnsi="Times New Roman"/>
          <w:b/>
          <w:i/>
          <w:sz w:val="20"/>
        </w:rPr>
        <w:t>Fraud</w:t>
      </w:r>
      <w:r>
        <w:rPr>
          <w:rFonts w:ascii="Times New Roman" w:hAnsi="Times New Roman"/>
          <w:sz w:val="20"/>
        </w:rPr>
        <w:t xml:space="preserve">” does not include equitable fraud, constructive fraud, promissory fraud, unfair dealings fraud, unjust enrichment, or any other equitable claim. </w:t>
      </w:r>
    </w:p>
    <w:p>
      <w:pPr>
        <w:pStyle w:val="TextBody"/>
        <w:bidi w:val="0"/>
        <w:spacing w:before="240" w:after="0"/>
        <w:jc w:val="left"/>
        <w:rPr/>
      </w:pPr>
      <w:r>
        <w:rPr/>
        <w:t>“</w:t>
      </w:r>
      <w:r>
        <w:rPr>
          <w:rFonts w:ascii="Times New Roman" w:hAnsi="Times New Roman"/>
          <w:b/>
          <w:i/>
          <w:sz w:val="20"/>
        </w:rPr>
        <w:t>Fundamental Warranties</w:t>
      </w:r>
      <w:r>
        <w:rPr>
          <w:rFonts w:ascii="Times New Roman" w:hAnsi="Times New Roman"/>
          <w:sz w:val="20"/>
        </w:rPr>
        <w:t xml:space="preserve">” means the warranties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i/>
          <w:sz w:val="20"/>
        </w:rPr>
        <w:t>Organization and Standing</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i/>
          <w:sz w:val="20"/>
        </w:rPr>
        <w:t>Capitalization</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w:t>
      </w:r>
      <w:r>
        <w:rPr>
          <w:rFonts w:ascii="Times New Roman" w:hAnsi="Times New Roman"/>
          <w:i/>
          <w:sz w:val="20"/>
        </w:rPr>
        <w:t>Subsidiaries</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w:t>
      </w:r>
      <w:r>
        <w:rPr>
          <w:rFonts w:ascii="Times New Roman" w:hAnsi="Times New Roman"/>
          <w:i/>
          <w:sz w:val="20"/>
        </w:rPr>
        <w:t>Authority, Validity and Effect</w:t>
      </w:r>
      <w:r>
        <w:rPr>
          <w:rFonts w:ascii="Times New Roman" w:hAnsi="Times New Roman"/>
          <w:sz w:val="20"/>
        </w:rPr>
        <w:t xml:space="preserve">), </w:t>
      </w:r>
      <w:r>
        <w:rPr>
          <w:rFonts w:ascii="Times New Roman" w:hAnsi="Times New Roman"/>
          <w:sz w:val="20"/>
          <w:u w:val="single"/>
        </w:rPr>
        <w:t>Section 5.1</w:t>
      </w:r>
      <w:r>
        <w:rPr>
          <w:rFonts w:ascii="Times New Roman" w:hAnsi="Times New Roman"/>
          <w:sz w:val="20"/>
        </w:rPr>
        <w:t xml:space="preserve"> (</w:t>
      </w:r>
      <w:r>
        <w:rPr>
          <w:rFonts w:ascii="Times New Roman" w:hAnsi="Times New Roman"/>
          <w:i/>
          <w:sz w:val="20"/>
        </w:rPr>
        <w:t>Authority; Enforceability; Title</w:t>
      </w:r>
      <w:r>
        <w:rPr>
          <w:rFonts w:ascii="Times New Roman" w:hAnsi="Times New Roman"/>
          <w:sz w:val="20"/>
        </w:rPr>
        <w:t xml:space="preserve">) and </w:t>
      </w:r>
      <w:r>
        <w:rPr>
          <w:rFonts w:ascii="Times New Roman" w:hAnsi="Times New Roman"/>
          <w:sz w:val="20"/>
          <w:u w:val="single"/>
        </w:rPr>
        <w:t>Section 5.2</w:t>
      </w:r>
      <w:r>
        <w:rPr>
          <w:rFonts w:ascii="Times New Roman" w:hAnsi="Times New Roman"/>
          <w:sz w:val="20"/>
        </w:rPr>
        <w:t xml:space="preserve"> (</w:t>
      </w:r>
      <w:r>
        <w:rPr>
          <w:rFonts w:ascii="Times New Roman" w:hAnsi="Times New Roman"/>
          <w:i/>
          <w:sz w:val="20"/>
        </w:rPr>
        <w:t>Solvency</w:t>
      </w:r>
      <w:r>
        <w:rPr>
          <w:rFonts w:ascii="Times New Roman" w:hAnsi="Times New Roman"/>
          <w:sz w:val="20"/>
        </w:rPr>
        <w:t>), Section 5.4 (</w:t>
      </w:r>
      <w:r>
        <w:rPr>
          <w:rFonts w:ascii="Times New Roman" w:hAnsi="Times New Roman"/>
          <w:i/>
          <w:sz w:val="20"/>
        </w:rPr>
        <w:t>Consents</w:t>
      </w:r>
      <w:r>
        <w:rPr>
          <w:rFonts w:ascii="Times New Roman" w:hAnsi="Times New Roman"/>
          <w:sz w:val="20"/>
        </w:rPr>
        <w:t>) and Section 5.6 (</w:t>
      </w:r>
      <w:r>
        <w:rPr>
          <w:rFonts w:ascii="Times New Roman" w:hAnsi="Times New Roman"/>
          <w:i/>
          <w:sz w:val="20"/>
        </w:rPr>
        <w:t>No Conflicts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General Enforceability Exceptions</w:t>
      </w:r>
      <w:r>
        <w:rPr>
          <w:rFonts w:ascii="Times New Roman" w:hAnsi="Times New Roman"/>
          <w:sz w:val="20"/>
        </w:rPr>
        <w:t xml:space="preserve">” has the meaning set forth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Governing Body</w:t>
      </w:r>
      <w:r>
        <w:rPr>
          <w:rFonts w:ascii="Times New Roman" w:hAnsi="Times New Roman"/>
          <w:sz w:val="20"/>
        </w:rPr>
        <w:t xml:space="preserve">” means, with respect to any Person, the board of directors, board of managers, or similar governing body of such Person, or any committee thereof duly authorized to act on behalf of such governing body. </w:t>
      </w:r>
    </w:p>
    <w:p>
      <w:pPr>
        <w:pStyle w:val="TextBody"/>
        <w:bidi w:val="0"/>
        <w:spacing w:before="240" w:after="0"/>
        <w:jc w:val="left"/>
        <w:rPr/>
      </w:pPr>
      <w:r>
        <w:rPr/>
        <w:t>“</w:t>
      </w:r>
      <w:r>
        <w:rPr>
          <w:rFonts w:ascii="Times New Roman" w:hAnsi="Times New Roman"/>
          <w:b/>
          <w:i/>
          <w:sz w:val="20"/>
        </w:rPr>
        <w:t>Government Official</w:t>
      </w:r>
      <w:r>
        <w:rPr>
          <w:rFonts w:ascii="Times New Roman" w:hAnsi="Times New Roman"/>
          <w:sz w:val="20"/>
        </w:rPr>
        <w:t xml:space="preserve">” means any officer or employee of a Governmental Authority or any department, agency or instrumentality thereof, including state-owned entities, or of a public organization or any person acting in an official capacity for or on behalf of any such government, department, agency, or instrumentality or on behalf of any such public organization. </w:t>
      </w:r>
    </w:p>
    <w:p>
      <w:pPr>
        <w:pStyle w:val="TextBody"/>
        <w:bidi w:val="0"/>
        <w:spacing w:before="240" w:after="0"/>
        <w:jc w:val="left"/>
        <w:rPr/>
      </w:pPr>
      <w:r>
        <w:rPr/>
        <w:t>“</w:t>
      </w:r>
      <w:r>
        <w:rPr>
          <w:rFonts w:ascii="Times New Roman" w:hAnsi="Times New Roman"/>
          <w:b/>
          <w:i/>
          <w:sz w:val="20"/>
        </w:rPr>
        <w:t>Governmental Authority</w:t>
      </w:r>
      <w:r>
        <w:rPr>
          <w:rFonts w:ascii="Times New Roman" w:hAnsi="Times New Roman"/>
          <w:sz w:val="20"/>
        </w:rPr>
        <w:t xml:space="preserve">” means any government or political subdivision, whether federal, state, local or foreign, or any agency, commission, department or instrumentality of any such government or political subdivision, or any federal, state, local or foreign court, tribunal or any (public or private) arbitrator or arbitral body. </w:t>
      </w:r>
    </w:p>
    <w:p>
      <w:pPr>
        <w:pStyle w:val="TextBody"/>
        <w:bidi w:val="0"/>
        <w:spacing w:before="240" w:after="0"/>
        <w:jc w:val="left"/>
        <w:rPr/>
      </w:pPr>
      <w:r>
        <w:rPr/>
        <w:t>“</w:t>
      </w:r>
      <w:r>
        <w:rPr>
          <w:rFonts w:ascii="Times New Roman" w:hAnsi="Times New Roman"/>
          <w:b/>
          <w:i/>
          <w:sz w:val="20"/>
        </w:rPr>
        <w:t>Hazardous Material</w:t>
      </w:r>
      <w:r>
        <w:rPr>
          <w:rFonts w:ascii="Times New Roman" w:hAnsi="Times New Roman"/>
          <w:sz w:val="20"/>
        </w:rPr>
        <w:t xml:space="preserve">” means any natural or artificial material, substance or article or combination of materials, substances or articles (whether in solid, liquid, gas, vapour or other form whatsoever) capable of causing harm to the Environment or human health including but not limited to any hazardous, toxic or dangerous material, substance or article. </w:t>
      </w:r>
    </w:p>
    <w:p>
      <w:pPr>
        <w:pStyle w:val="TextBody"/>
        <w:bidi w:val="0"/>
        <w:spacing w:before="240" w:after="0"/>
        <w:jc w:val="left"/>
        <w:rPr/>
      </w:pPr>
      <w:r>
        <w:rPr/>
        <w:t>“</w:t>
      </w:r>
      <w:r>
        <w:rPr>
          <w:rFonts w:ascii="Times New Roman" w:hAnsi="Times New Roman"/>
          <w:b/>
          <w:i/>
          <w:sz w:val="20"/>
        </w:rPr>
        <w:t>IFRS</w:t>
      </w:r>
      <w:r>
        <w:rPr>
          <w:rFonts w:ascii="Times New Roman" w:hAnsi="Times New Roman"/>
          <w:sz w:val="20"/>
        </w:rPr>
        <w:t xml:space="preserve">” means international accounting standards within the meaning of the IAS Regulation 1606/2002. </w:t>
      </w:r>
    </w:p>
    <w:p>
      <w:pPr>
        <w:pStyle w:val="TextBody"/>
        <w:bidi w:val="0"/>
        <w:spacing w:before="240" w:after="0"/>
        <w:jc w:val="left"/>
        <w:rPr/>
      </w:pPr>
      <w:r>
        <w:rPr/>
        <w:t>“</w:t>
      </w:r>
      <w:r>
        <w:rPr>
          <w:rFonts w:ascii="Times New Roman" w:hAnsi="Times New Roman"/>
          <w:b/>
          <w:i/>
          <w:sz w:val="20"/>
        </w:rPr>
        <w:t>Insolvency Event</w:t>
      </w:r>
      <w:r>
        <w:rPr>
          <w:rFonts w:ascii="Times New Roman" w:hAnsi="Times New Roman"/>
          <w:sz w:val="20"/>
        </w:rPr>
        <w:t xml:space="preserve">” means, in relation to a person, any of the following: (a) the existence of circumstances by which it is or is deemed under applicable Law to be insolvent or unable to pay its debts as they fall due; (b) the cessation or suspension of the payment of all, or a particular class of, its creditors or a threat to do so; (c) the taking of any formal or informal steps with a view to the deferral, rescheduling or other readjustment of all, or a particular class of, its creditors, or the taking of any formal steps to make a general assignment, assignation or arrangement or composition with or for the benefit of the relevant creditors; (d) any form of bankruptcy, liquidation, provisional liquidation, receivership, administrative receivership, administration, arrangement or scheme with creditors, moratorium, stay or limitation of creditors’ rights, interim or provisional supervision by the court or by persons appointed by the court (or any equivalent or similar procedure under the Laws of any jurisdiction in which the relevant person is incorporated, registered, domiciled or resident or carries on business or has assets) being commenced or otherwise in place or under way in relation to it, whether in or out of court; (e) any distress, execution or other process being levied against any material part of its assets which has not been satisfied in full; or (f) that person ceases, or threatens to cease, to carry on all or a material part of its business. </w:t>
      </w:r>
    </w:p>
    <w:p>
      <w:pPr>
        <w:pStyle w:val="TextBody"/>
        <w:bidi w:val="0"/>
        <w:spacing w:before="240" w:after="0"/>
        <w:jc w:val="left"/>
        <w:rPr/>
      </w:pPr>
      <w:r>
        <w:rPr/>
        <w:t>“</w:t>
      </w:r>
      <w:r>
        <w:rPr>
          <w:rFonts w:ascii="Times New Roman" w:hAnsi="Times New Roman"/>
          <w:b/>
          <w:i/>
          <w:sz w:val="20"/>
        </w:rPr>
        <w:t>Intellectual Property</w:t>
      </w:r>
      <w:r>
        <w:rPr>
          <w:rFonts w:ascii="Times New Roman" w:hAnsi="Times New Roman"/>
          <w:sz w:val="20"/>
        </w:rPr>
        <w:t xml:space="preserve">” means all intellectual property or proprietary rights in any jurisdiction throughout the world, including the following: (i) patents and applications therefor, and patent disclosures and any reissue, continuation, continuation-in-part, correction, provisional, divisional, extension or re-examination thereof, (ii) inventions, trade secrets, confidential information, and know-how, (iii) trademarks, service marks, trade names, trade dress, logos, slogans, brand names, Internet domain names, and other indicia of source of origin and all registrations and applications for registration thereof together with all of the goodwill associated therewith, (iv) copyrights and all works of authorship (whether or not copyrightable, and whether registered or unregistered), including mask works rights, database rights and moral rights, and registrations and applications therefor, and (v) rights in Software.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JWL Director Loans</w:t>
      </w:r>
      <w:r>
        <w:rPr>
          <w:rFonts w:ascii="Times New Roman" w:hAnsi="Times New Roman"/>
          <w:sz w:val="20"/>
        </w:rPr>
        <w:t xml:space="preserve">” means the ordinary course payments of £12,500 per month paid by Saltire to Loxley (Aberdeen) Limited in respect of Jack William Loggie’s salary, in each case accruing during the period from (but excluding) the Locked Box Date to (and including) the Closing Date. </w:t>
      </w:r>
    </w:p>
    <w:p>
      <w:pPr>
        <w:pStyle w:val="TextBody"/>
        <w:bidi w:val="0"/>
        <w:spacing w:before="240" w:after="0"/>
        <w:jc w:val="left"/>
        <w:rPr/>
      </w:pPr>
      <w:r>
        <w:rPr/>
        <w:t>“</w:t>
      </w:r>
      <w:r>
        <w:rPr>
          <w:rFonts w:ascii="Times New Roman" w:hAnsi="Times New Roman"/>
          <w:b/>
          <w:i/>
          <w:sz w:val="20"/>
        </w:rPr>
        <w:t>Known Leakage Amount</w:t>
      </w:r>
      <w:r>
        <w:rPr>
          <w:rFonts w:ascii="Times New Roman" w:hAnsi="Times New Roman"/>
          <w:sz w:val="20"/>
        </w:rPr>
        <w:t xml:space="preserve">” has the meaning set forth in </w:t>
      </w:r>
      <w:r>
        <w:rPr>
          <w:rFonts w:ascii="Times New Roman" w:hAnsi="Times New Roman"/>
          <w:sz w:val="20"/>
          <w:u w:val="single"/>
        </w:rPr>
        <w:t>Section 2.3(e)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Labor Agreement</w:t>
      </w:r>
      <w:r>
        <w:rPr>
          <w:rFonts w:ascii="Times New Roman" w:hAnsi="Times New Roman"/>
          <w:sz w:val="20"/>
        </w:rPr>
        <w:t xml:space="preserve">” means a collective bargaining Contract or other Contract with any labor union, works council, or labor organization or association. </w:t>
      </w:r>
    </w:p>
    <w:p>
      <w:pPr>
        <w:pStyle w:val="TextBody"/>
        <w:bidi w:val="0"/>
        <w:spacing w:before="240" w:after="0"/>
        <w:jc w:val="left"/>
        <w:rPr/>
      </w:pPr>
      <w:r>
        <w:rPr/>
        <w:t>“</w:t>
      </w:r>
      <w:r>
        <w:rPr>
          <w:rFonts w:ascii="Times New Roman" w:hAnsi="Times New Roman"/>
          <w:b/>
          <w:i/>
          <w:sz w:val="20"/>
        </w:rPr>
        <w:t>Land and Buildings Transaction Tax and Stamp Duty Land Tax</w:t>
      </w:r>
      <w:r>
        <w:rPr>
          <w:rFonts w:ascii="Times New Roman" w:hAnsi="Times New Roman"/>
          <w:sz w:val="20"/>
        </w:rPr>
        <w:t xml:space="preserve">” means any tax charged on land transactions under section 1(1) of the Land and Buildings Transaction Tax (Scotland) Act 2013 and the equivalent tax charged under section 42(1) of the Finance Act 2003. </w:t>
      </w:r>
    </w:p>
    <w:p>
      <w:pPr>
        <w:pStyle w:val="TextBody"/>
        <w:bidi w:val="0"/>
        <w:spacing w:before="240" w:after="0"/>
        <w:jc w:val="left"/>
        <w:rPr/>
      </w:pPr>
      <w:r>
        <w:rPr/>
        <w:t>“</w:t>
      </w:r>
      <w:r>
        <w:rPr>
          <w:rFonts w:ascii="Times New Roman" w:hAnsi="Times New Roman"/>
          <w:b/>
          <w:i/>
          <w:sz w:val="20"/>
        </w:rPr>
        <w:t>Law</w:t>
      </w:r>
      <w:r>
        <w:rPr>
          <w:rFonts w:ascii="Times New Roman" w:hAnsi="Times New Roman"/>
          <w:sz w:val="20"/>
        </w:rPr>
        <w:t xml:space="preserve">” means any law and regulation, whether civil, criminal, administrative or otherwise in any jurisdiction (supranational, union, country, state, federal, city or territory) and all orders and regulations made under such Acts and Treaties including all directives, regulations, rules, statutes, measures, subordinate legislation, decrees, Permits, common law and state, federal, municipal and local laws, ordinances and codes of practice, or any order of any Governmental Authority, having the force or effect of law. </w:t>
      </w:r>
    </w:p>
    <w:p>
      <w:pPr>
        <w:pStyle w:val="TextBody"/>
        <w:bidi w:val="0"/>
        <w:spacing w:before="240" w:after="0"/>
        <w:jc w:val="left"/>
        <w:rPr/>
      </w:pPr>
      <w:r>
        <w:rPr/>
        <w:t>“</w:t>
      </w:r>
      <w:r>
        <w:rPr>
          <w:rFonts w:ascii="Times New Roman" w:hAnsi="Times New Roman"/>
          <w:b/>
          <w:i/>
          <w:sz w:val="20"/>
        </w:rPr>
        <w:t>Leakage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any dividend or other distribution (whether in cash or in specie or a combination of the two) declared, paid, or made or any repurchase, redemption, repayment or return of share or loan capital or other securities or any other payment in respect of any share capital or other securities, in each case by, or on behalf of, the Companies or any of their Subsidiaries to, or for the benefit of, a Seller or any of its Related Persons; </w:t>
      </w:r>
    </w:p>
    <w:p>
      <w:pPr>
        <w:pStyle w:val="TextBody"/>
        <w:bidi w:val="0"/>
        <w:spacing w:before="240" w:after="0"/>
        <w:jc w:val="left"/>
        <w:rPr>
          <w:rFonts w:ascii="Times New Roman" w:hAnsi="Times New Roman"/>
          <w:sz w:val="20"/>
        </w:rPr>
      </w:pPr>
      <w:r>
        <w:rPr>
          <w:rFonts w:ascii="Times New Roman" w:hAnsi="Times New Roman"/>
          <w:sz w:val="20"/>
        </w:rPr>
        <w:t xml:space="preserve">(b) the Companies or any of their Subsidiaries paying, incurring, agreeing to incur or otherwise assuming liability for any fees, costs or expenses in connection with the transactions contemplated by this Agreement (including professional advisers’ fees, consultancy fees, transaction bonuses, finders’ fees, brokerage or other commission, bonus or retention payment), in each case to the extent not included or provided for in the Locked Box Accounts; </w:t>
      </w:r>
    </w:p>
    <w:p>
      <w:pPr>
        <w:pStyle w:val="TextBody"/>
        <w:bidi w:val="0"/>
        <w:spacing w:before="240" w:after="0"/>
        <w:jc w:val="left"/>
        <w:rPr>
          <w:rFonts w:ascii="Times New Roman" w:hAnsi="Times New Roman"/>
          <w:sz w:val="20"/>
        </w:rPr>
      </w:pPr>
      <w:r>
        <w:rPr>
          <w:rFonts w:ascii="Times New Roman" w:hAnsi="Times New Roman"/>
          <w:sz w:val="20"/>
        </w:rPr>
        <w:t xml:space="preserve">(c) any payment of any other nature made or agreed to be made by the Companies or any of their Subsidiaries directly or indirectly to, on behalf of, or for the benefit of a Seller or any of its Related Persons (including any management fees, service or directors’ fees, bonus or other compensation or loan interest of any kind (in cash or other form in lieu of interest)), in each case to the extent not specifically provided for in the Locked Box Accounts; </w:t>
      </w:r>
    </w:p>
    <w:p>
      <w:pPr>
        <w:pStyle w:val="TextBody"/>
        <w:bidi w:val="0"/>
        <w:spacing w:before="240" w:after="0"/>
        <w:jc w:val="left"/>
        <w:rPr>
          <w:rFonts w:ascii="Times New Roman" w:hAnsi="Times New Roman"/>
          <w:sz w:val="20"/>
        </w:rPr>
      </w:pPr>
      <w:r>
        <w:rPr>
          <w:rFonts w:ascii="Times New Roman" w:hAnsi="Times New Roman"/>
          <w:sz w:val="20"/>
        </w:rPr>
        <w:t xml:space="preserve">(d) any transfer or surrender of assets (including any Relief), rights or other benefits or other obligations assumed (whether actual or contingent, indemnified or incurred) by the Companies or any of their Subsidiaries to or for the benefit of a Seller or any of its Related Persons, in each case to the extent not included or provided for in the Locked Box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Companies or any of their Subsidiaries assuming or incurring any liability, indebtedness or obligation (whether actual or contingent) for the benefit of a Seller or any of its Related Persons, in each case to the extent not included or provided for in the Locked Box Accounts;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 of any guarantee or indemnity or the creation of any Lien by the Companies or any of their Subsidiaries over any share or asset in favour of, or for the benefit of, a Seller or any of its Related Persons; </w:t>
      </w:r>
    </w:p>
    <w:p>
      <w:pPr>
        <w:pStyle w:val="TextBody"/>
        <w:bidi w:val="0"/>
        <w:spacing w:before="240" w:after="0"/>
        <w:jc w:val="left"/>
        <w:rPr>
          <w:rFonts w:ascii="Times New Roman" w:hAnsi="Times New Roman"/>
          <w:sz w:val="20"/>
        </w:rPr>
      </w:pPr>
      <w:r>
        <w:rPr>
          <w:rFonts w:ascii="Times New Roman" w:hAnsi="Times New Roman"/>
          <w:sz w:val="20"/>
        </w:rPr>
        <w:t xml:space="preserve">(g) any waiver, forgiveness, deferral, discount, release, or discharge by the Companies or any of their Subsidiaries of: (i) any amount, obligation or liability owed (whether or not due for payment or performance) to it by a Seller or any of its Related Persons or (ii) any claim (howsoever arising) against a Seller or any of its Related Persons; </w:t>
      </w:r>
    </w:p>
    <w:p>
      <w:pPr>
        <w:pStyle w:val="TextBody"/>
        <w:bidi w:val="0"/>
        <w:spacing w:before="240" w:after="0"/>
        <w:jc w:val="left"/>
        <w:rPr>
          <w:rFonts w:ascii="Times New Roman" w:hAnsi="Times New Roman"/>
          <w:sz w:val="20"/>
        </w:rPr>
      </w:pPr>
      <w:r>
        <w:rPr>
          <w:rFonts w:ascii="Times New Roman" w:hAnsi="Times New Roman"/>
          <w:sz w:val="20"/>
        </w:rPr>
        <w:t xml:space="preserve">(h) any agreement, arrangement or other commitment by the Companies or any of their Subsidiaries to do or give effect to any of the matters referred to in paragraphs (a) to (g) (inclusive) above; </w:t>
      </w:r>
    </w:p>
    <w:p>
      <w:pPr>
        <w:pStyle w:val="TextBody"/>
        <w:bidi w:val="0"/>
        <w:spacing w:before="240" w:after="0"/>
        <w:jc w:val="left"/>
        <w:rPr>
          <w:rFonts w:ascii="Times New Roman" w:hAnsi="Times New Roman"/>
          <w:sz w:val="20"/>
        </w:rPr>
      </w:pPr>
      <w:r>
        <w:rPr>
          <w:rFonts w:ascii="Times New Roman" w:hAnsi="Times New Roman"/>
          <w:sz w:val="20"/>
        </w:rPr>
        <w:t xml:space="preserve">(i) any Tax (excluding any recoverable VAT) incurred, paid or payable by the Companies or any of their Subsidiaries arising as a result of any of the matters in paragraphs (a) to (h) above, </w:t>
      </w:r>
    </w:p>
    <w:p>
      <w:pPr>
        <w:pStyle w:val="TextBody"/>
        <w:bidi w:val="0"/>
        <w:spacing w:before="240" w:after="0"/>
        <w:jc w:val="left"/>
        <w:rPr>
          <w:rFonts w:ascii="Times New Roman" w:hAnsi="Times New Roman"/>
          <w:sz w:val="20"/>
        </w:rPr>
      </w:pPr>
      <w:r>
        <w:rPr>
          <w:rFonts w:ascii="Times New Roman" w:hAnsi="Times New Roman"/>
          <w:sz w:val="20"/>
        </w:rPr>
        <w:t xml:space="preserve">but excludes any Permitted Leakage. </w:t>
      </w:r>
    </w:p>
    <w:p>
      <w:pPr>
        <w:pStyle w:val="TextBody"/>
        <w:bidi w:val="0"/>
        <w:spacing w:before="240" w:after="0"/>
        <w:jc w:val="left"/>
        <w:rPr/>
      </w:pPr>
      <w:r>
        <w:rPr/>
        <w:t>“</w:t>
      </w:r>
      <w:r>
        <w:rPr>
          <w:rFonts w:ascii="Times New Roman" w:hAnsi="Times New Roman"/>
          <w:b/>
          <w:i/>
          <w:sz w:val="20"/>
        </w:rPr>
        <w:t>Leakage Claim</w:t>
      </w:r>
      <w:r>
        <w:rPr>
          <w:rFonts w:ascii="Times New Roman" w:hAnsi="Times New Roman"/>
          <w:sz w:val="20"/>
        </w:rPr>
        <w:t xml:space="preserve">” means a claim for breach of </w:t>
      </w:r>
      <w:r>
        <w:rPr>
          <w:rFonts w:ascii="Times New Roman" w:hAnsi="Times New Roman"/>
          <w:sz w:val="20"/>
          <w:u w:val="single"/>
        </w:rPr>
        <w:t>Section 2.3(d)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Leakage Relief Saving</w:t>
      </w:r>
      <w:r>
        <w:rPr>
          <w:rFonts w:ascii="Times New Roman" w:hAnsi="Times New Roman"/>
          <w:sz w:val="20"/>
        </w:rPr>
        <w:t xml:space="preserve">” means, in relation to any Leakage: (a) the amount of any reduction or elimination of any liability of the Companies or any of their Subsidiaries to make an actual payment of Tax as a result of the utilisation or set off of any Relief which arises to the Buyer, Companies or any of their Subsidiaries as a result of such Leakage and is not a Buyer’s Relief; or (b) the amount of any cash refund actually realized by the Companies or any of their Subsidiaries from a Taxing Authority as a result of the utilisation of any relevant Relief that is not a Buyer’s Relief, arising as a result of such Leakage, provided that, for purposes of determining any Leakage Relief Saving, it shall be assumed that the Companies and their Subsidiaries utilise any Reliefs arising as a result of Leakage that are available as soon as reasonably practicable but shall not be assumed to utilise such Reliefs in priority to other Reliefs that are available. </w:t>
      </w:r>
    </w:p>
    <w:p>
      <w:pPr>
        <w:pStyle w:val="TextBody"/>
        <w:bidi w:val="0"/>
        <w:spacing w:before="240" w:after="0"/>
        <w:jc w:val="left"/>
        <w:rPr/>
      </w:pPr>
      <w:r>
        <w:rPr/>
        <w:t>“</w:t>
      </w:r>
      <w:r>
        <w:rPr>
          <w:rFonts w:ascii="Times New Roman" w:hAnsi="Times New Roman"/>
          <w:b/>
          <w:i/>
          <w:sz w:val="20"/>
        </w:rPr>
        <w:t>Leased Real Property</w:t>
      </w:r>
      <w:r>
        <w:rPr>
          <w:rFonts w:ascii="Times New Roman" w:hAnsi="Times New Roman"/>
          <w:sz w:val="20"/>
        </w:rPr>
        <w:t xml:space="preserve">” means the real property leased or subleased by the Companies, together with all buildings, structures and facilities located thereon. </w:t>
      </w:r>
    </w:p>
    <w:p>
      <w:pPr>
        <w:pStyle w:val="TextBody"/>
        <w:bidi w:val="0"/>
        <w:spacing w:before="240" w:after="0"/>
        <w:jc w:val="left"/>
        <w:rPr/>
      </w:pPr>
      <w:r>
        <w:rPr/>
        <w:t>“</w:t>
      </w:r>
      <w:r>
        <w:rPr>
          <w:rFonts w:ascii="Times New Roman" w:hAnsi="Times New Roman"/>
          <w:b/>
          <w:i/>
          <w:sz w:val="20"/>
        </w:rPr>
        <w:t>Leases</w:t>
      </w:r>
      <w:r>
        <w:rPr>
          <w:rFonts w:ascii="Times New Roman" w:hAnsi="Times New Roman"/>
          <w:sz w:val="20"/>
        </w:rPr>
        <w:t xml:space="preserve">” means all leases and subleases for each parcel of Leased Real Property, and other agreements (written or oral) pursuant to which the Companies holds any Leased Real Property. </w:t>
      </w:r>
    </w:p>
    <w:p>
      <w:pPr>
        <w:pStyle w:val="TextBody"/>
        <w:bidi w:val="0"/>
        <w:spacing w:before="240" w:after="0"/>
        <w:jc w:val="left"/>
        <w:rPr/>
      </w:pPr>
      <w:r>
        <w:rPr/>
        <w:t>“</w:t>
      </w:r>
      <w:r>
        <w:rPr>
          <w:rFonts w:ascii="Times New Roman" w:hAnsi="Times New Roman"/>
          <w:b/>
          <w:i/>
          <w:sz w:val="20"/>
        </w:rPr>
        <w:t>Liens</w:t>
      </w:r>
      <w:r>
        <w:rPr>
          <w:rFonts w:ascii="Times New Roman" w:hAnsi="Times New Roman"/>
          <w:sz w:val="20"/>
        </w:rPr>
        <w:t xml:space="preserve">” means any mortgage, pledge, hypothecation, lien, license, encumbrance, charge preference, priority license, easement, covenant, restriction or other security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Locked Box Accounts</w:t>
      </w:r>
      <w:r>
        <w:rPr>
          <w:rFonts w:ascii="Times New Roman" w:hAnsi="Times New Roman"/>
          <w:sz w:val="20"/>
        </w:rPr>
        <w:t xml:space="preserve">” means the unaudited consolidated balance sheet of the Companies and their Subsidiaries as at the Locked Box Date, a copy of which is appended to this Agreement at </w:t>
      </w:r>
      <w:r>
        <w:rPr>
          <w:rFonts w:ascii="Times New Roman" w:hAnsi="Times New Roman"/>
          <w:b/>
          <w:i/>
          <w:sz w:val="20"/>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Locked Box Date</w:t>
      </w:r>
      <w:r>
        <w:rPr>
          <w:rFonts w:ascii="Times New Roman" w:hAnsi="Times New Roman"/>
          <w:sz w:val="20"/>
        </w:rPr>
        <w:t xml:space="preserve">” means June 30, 2026. </w:t>
      </w:r>
    </w:p>
    <w:p>
      <w:pPr>
        <w:pStyle w:val="TextBody"/>
        <w:bidi w:val="0"/>
        <w:spacing w:before="240" w:after="0"/>
        <w:jc w:val="left"/>
        <w:rPr/>
      </w:pPr>
      <w:r>
        <w:rPr/>
        <w:t>“</w:t>
      </w:r>
      <w:r>
        <w:rPr>
          <w:rFonts w:ascii="Times New Roman" w:hAnsi="Times New Roman"/>
          <w:b/>
          <w:i/>
          <w:sz w:val="20"/>
        </w:rPr>
        <w:t>Locked Box Period</w:t>
      </w:r>
      <w:r>
        <w:rPr>
          <w:rFonts w:ascii="Times New Roman" w:hAnsi="Times New Roman"/>
          <w:sz w:val="20"/>
        </w:rPr>
        <w:t xml:space="preserve">” means the period from (but excluding) the Locked Box Date to (and including) the Closing Date. </w:t>
      </w:r>
    </w:p>
    <w:p>
      <w:pPr>
        <w:pStyle w:val="TextBody"/>
        <w:bidi w:val="0"/>
        <w:spacing w:before="240" w:after="0"/>
        <w:jc w:val="left"/>
        <w:rPr/>
      </w:pPr>
      <w:r>
        <w:rPr/>
        <w:t>“</w:t>
      </w:r>
      <w:r>
        <w:rPr>
          <w:rFonts w:ascii="Times New Roman" w:hAnsi="Times New Roman"/>
          <w:b/>
          <w:i/>
          <w:sz w:val="20"/>
        </w:rPr>
        <w:t>Lockup and</w:t>
      </w:r>
      <w:r>
        <w:rPr>
          <w:rFonts w:ascii="Times New Roman" w:hAnsi="Times New Roman"/>
          <w:sz w:val="20"/>
        </w:rPr>
        <w:t xml:space="preserve"> </w:t>
      </w:r>
      <w:r>
        <w:rPr>
          <w:rFonts w:ascii="Times New Roman" w:hAnsi="Times New Roman"/>
          <w:b/>
          <w:i/>
          <w:sz w:val="20"/>
        </w:rPr>
        <w:t>Investor Rights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i/>
          <w:sz w:val="20"/>
        </w:rPr>
        <w:t>Loggie Trustee Sellers</w:t>
      </w:r>
      <w:r>
        <w:rPr>
          <w:rFonts w:ascii="Times New Roman" w:hAnsi="Times New Roman"/>
          <w:sz w:val="20"/>
        </w:rPr>
        <w:t xml:space="preserve">” means Michael David Loggie and Jack William Loggie, solely in their capacity as trustees of The Loggie Family Trust. </w:t>
      </w:r>
    </w:p>
    <w:p>
      <w:pPr>
        <w:pStyle w:val="TextBody"/>
        <w:bidi w:val="0"/>
        <w:spacing w:before="240" w:after="0"/>
        <w:jc w:val="left"/>
        <w:rPr/>
      </w:pPr>
      <w:r>
        <w:rPr/>
        <w:t>“</w:t>
      </w:r>
      <w:r>
        <w:rPr>
          <w:rFonts w:ascii="Times New Roman" w:hAnsi="Times New Roman"/>
          <w:b/>
          <w:i/>
          <w:sz w:val="20"/>
        </w:rPr>
        <w:t>Lookback Date</w:t>
      </w:r>
      <w:r>
        <w:rPr>
          <w:rFonts w:ascii="Times New Roman" w:hAnsi="Times New Roman"/>
          <w:sz w:val="20"/>
        </w:rPr>
        <w:t xml:space="preserve">” means December 31, 2023. </w:t>
      </w:r>
    </w:p>
    <w:p>
      <w:pPr>
        <w:pStyle w:val="TextBody"/>
        <w:bidi w:val="0"/>
        <w:spacing w:before="240" w:after="0"/>
        <w:jc w:val="left"/>
        <w:rPr/>
      </w:pPr>
      <w:r>
        <w:rPr/>
        <w:t>“</w:t>
      </w:r>
      <w:r>
        <w:rPr>
          <w:rFonts w:ascii="Times New Roman" w:hAnsi="Times New Roman"/>
          <w:b/>
          <w:i/>
          <w:sz w:val="20"/>
        </w:rPr>
        <w:t>Losses</w:t>
      </w:r>
      <w:r>
        <w:rPr>
          <w:rFonts w:ascii="Times New Roman" w:hAnsi="Times New Roman"/>
          <w:sz w:val="20"/>
        </w:rPr>
        <w:t xml:space="preserve">” means any and all damages, losses, penalties, diminutions in value, awards, royalties, fines, fees, costs, and expenses, including all court costs, litigation expenses, and reasonable attorneys’, accountants’ and experts’ fees. </w:t>
      </w:r>
    </w:p>
    <w:p>
      <w:pPr>
        <w:pStyle w:val="TextBody"/>
        <w:bidi w:val="0"/>
        <w:spacing w:before="240" w:after="0"/>
        <w:jc w:val="left"/>
        <w:rPr/>
      </w:pPr>
      <w:r>
        <w:rPr/>
        <w:t>“</w:t>
      </w:r>
      <w:r>
        <w:rPr>
          <w:rFonts w:ascii="Times New Roman" w:hAnsi="Times New Roman"/>
          <w:b/>
          <w:i/>
          <w:sz w:val="20"/>
        </w:rPr>
        <w:t>Material Adverse Effect</w:t>
      </w:r>
      <w:r>
        <w:rPr>
          <w:rFonts w:ascii="Times New Roman" w:hAnsi="Times New Roman"/>
          <w:sz w:val="20"/>
        </w:rPr>
        <w:t xml:space="preserve">” means the occurrence of any event, change, occurrence or development that, (i) if known to the Buyer prior to the date of this Agreement, would have resulted in the Buyer (acting in the best interests of its shareholders or the shareholders of Parent) not entering into this Agreement, and (ii) that results in any of the following: (A) the aggregate earnings before interest, taxation, depreciation and amortisation of the Companies and the Subsidiaries, taken as a whole, in any forward-looking twelve (12) month period during the thirty-six (36) months following the date of this Agreement being, or being reasonably expected to be, less than £12,000,000; (B) the consolidated net assets of the Companies and the Subsidiaries, taken as a whole, falling below £85,300,000; or (C) any Action or Actions being commenced, pending or threatened by a third party (other than an Action or Actions commenced at the direction of or on behalf of the Buyer, Parent or any of their respective Affiliates) against any of the Companies or any of their Subsidiaries where the amount claimed or reasonably capable of being claimed (whether individually or in the aggregate) is equal to or exceeds fifteen million Pounds (£15,000,000), provided always that, in determining whether a Material Adverse Effect has arisen or occurred, the effects of the occurrence of any of the following events after the date of this Agreement shall not be taken into account: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macroeconomic conditions (including changes after the date hereof in prevailing interest rates, exchange rates, commodity prices, and fuel costs) or political conditions (whether as a result of acts of terrorism, war (whether or not declared), armed conflicts or otherwise) in the United States or any jurisdiction where the Companies or the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after the date hereof in conditions affecting companies in the industry in which it conducts its business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resulting from the announcement (to the extent permitted hereby) of this Agreement or the transactions contemplated hereby;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resulting from changes in the Accounting Standards or IFRS or applicable Law after the date hereof and not announced prior to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consisting of any failure, in and of itself, of the Companies to meet any published or internally prepared forward looking projections, budgets, plans, or forecasts of revenues, earnings, or other financial performance measures or operating statistics (it being understood that the underlying change, event or circumstance that caused such failure to meet internal projections or budgets may be deemed to constitute and may be taken into account in determining whether there has been a Material Adverse Effect to the extent not otherwise excluded under this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or acts of nature or any national or international political or social conditions, including civil unrest, protests and public demonstrations and any governmental responses thereto, occurring after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actual or potential sequester, stoppage, shutdown, default or similar event or occurrence by or involving any Governmental Authority;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epidemic, pandemic or disease outbreak (including the COVID-19 pandemic) or any law, regulation, statute, directive, pronouncement or guideline issued by a Governmental Authority or industry group after the date hereof providing for business closures, sheltering-in-place, curfews or other restrictions that relate to, or arise out of, an epidemic, pandemic or disease outbreak (including the COVID-19 pandemic) or any change in such law, regulation, statute, directive, pronouncement or guideline or interpretation thereof following the date of this Agreement or any material worsening of such conditions threatened or existing as of the date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after the date hereof in credit, debt, financial or capital markets conditions generally (including changes in the availability of financing or changes in credit spreads) in the United States, the United Kingdom or any other jurisdiction where the Companies or the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cyberattack, cybersecurity incident, ransomware attack or similar event of general application and not specifically targeted at the Companies or the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omitted to be taken by the Companies or any of the Subsidiaries at the written request of, or with the prior written consent of,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omitted to be taken by the Companies or any of the Subsidiaries that is expressly required or contemplated by this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matter or circumstance that is Disclosed,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each case (other than in respect of </w:t>
      </w:r>
      <w:r>
        <w:rPr>
          <w:rFonts w:ascii="Times New Roman" w:hAnsi="Times New Roman"/>
          <w:sz w:val="20"/>
          <w:u w:val="single"/>
        </w:rPr>
        <w:t>paragraphs (3), (5), (9), (11) and (12))</w:t>
      </w:r>
      <w:r>
        <w:rPr>
          <w:rFonts w:ascii="Times New Roman" w:hAnsi="Times New Roman"/>
          <w:sz w:val="20"/>
        </w:rPr>
        <w:t xml:space="preserve">, to the extent such changes do not have a disproportionate impact on the Companies as compared to other participants in the industries, geographies or markets in which the Companies operate.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Material Contracts</w:t>
      </w:r>
      <w:r>
        <w:rPr>
          <w:rFonts w:ascii="Times New Roman" w:hAnsi="Times New Roman"/>
          <w:sz w:val="20"/>
        </w:rPr>
        <w:t xml:space="preserve">” has the meaning set forth in </w:t>
      </w:r>
      <w:r>
        <w:rPr>
          <w:rFonts w:ascii="Times New Roman" w:hAnsi="Times New Roman"/>
          <w:sz w:val="20"/>
          <w:u w:val="single"/>
        </w:rPr>
        <w:t>Section 4.12(a)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Most Recent Parent Balance Sheet</w:t>
      </w:r>
      <w:r>
        <w:rPr>
          <w:rFonts w:ascii="Times New Roman" w:hAnsi="Times New Roman"/>
          <w:sz w:val="20"/>
        </w:rPr>
        <w:t xml:space="preserve">” means the condensed consolidated balance sheet of Parent and its consolidated subsidiaries as of the last day of the most recent fiscal quarter for which Parent has filed a Quarterly Report on Form 10-Q or Annual Report on Form 10-K with the SEC prior to the date of this Agreement. </w:t>
      </w:r>
    </w:p>
    <w:p>
      <w:pPr>
        <w:pStyle w:val="TextBody"/>
        <w:bidi w:val="0"/>
        <w:spacing w:before="240" w:after="0"/>
        <w:jc w:val="left"/>
        <w:rPr/>
      </w:pPr>
      <w:r>
        <w:rPr/>
        <w:t>“</w:t>
      </w:r>
      <w:r>
        <w:rPr>
          <w:rFonts w:ascii="Times New Roman" w:hAnsi="Times New Roman"/>
          <w:b/>
          <w:i/>
          <w:sz w:val="20"/>
        </w:rPr>
        <w:t>OFAC</w:t>
      </w:r>
      <w:r>
        <w:rPr>
          <w:rFonts w:ascii="Times New Roman" w:hAnsi="Times New Roman"/>
          <w:sz w:val="20"/>
        </w:rPr>
        <w:t xml:space="preserve">” means the Office of Foreign Assets Control within the U.S. Department of the Treasury. </w:t>
      </w:r>
    </w:p>
    <w:p>
      <w:pPr>
        <w:pStyle w:val="TextBody"/>
        <w:bidi w:val="0"/>
        <w:spacing w:before="240" w:after="0"/>
        <w:jc w:val="left"/>
        <w:rPr/>
      </w:pPr>
      <w:r>
        <w:rPr/>
        <w:t>“</w:t>
      </w:r>
      <w:r>
        <w:rPr>
          <w:rFonts w:ascii="Times New Roman" w:hAnsi="Times New Roman"/>
          <w:b/>
          <w:i/>
          <w:sz w:val="20"/>
        </w:rPr>
        <w:t>Open Source Software</w:t>
      </w:r>
      <w:r>
        <w:rPr>
          <w:rFonts w:ascii="Times New Roman" w:hAnsi="Times New Roman"/>
          <w:sz w:val="20"/>
        </w:rPr>
        <w:t xml:space="preserve">” means any Software that is distributed as “free software”, “open source software” or under similar licensing or distribution terms, including under any license that is approved by the Open Source Initiative and listed at http://www.opensource.org/licenses. </w:t>
      </w:r>
    </w:p>
    <w:p>
      <w:pPr>
        <w:pStyle w:val="TextBody"/>
        <w:bidi w:val="0"/>
        <w:spacing w:before="240" w:after="0"/>
        <w:jc w:val="left"/>
        <w:rPr/>
      </w:pPr>
      <w:r>
        <w:rPr/>
        <w:t>“</w:t>
      </w:r>
      <w:r>
        <w:rPr>
          <w:rFonts w:ascii="Times New Roman" w:hAnsi="Times New Roman"/>
          <w:b/>
          <w:i/>
          <w:sz w:val="20"/>
        </w:rPr>
        <w:t>Order</w:t>
      </w:r>
      <w:r>
        <w:rPr>
          <w:rFonts w:ascii="Times New Roman" w:hAnsi="Times New Roman"/>
          <w:sz w:val="20"/>
        </w:rPr>
        <w:t xml:space="preserve">” means any order, judgment, ruling, injunction, assessment, award, decree or writ of any Governmental Authority. </w:t>
      </w:r>
    </w:p>
    <w:p>
      <w:pPr>
        <w:pStyle w:val="TextBody"/>
        <w:bidi w:val="0"/>
        <w:spacing w:before="240" w:after="0"/>
        <w:jc w:val="left"/>
        <w:rPr/>
      </w:pPr>
      <w:r>
        <w:rPr/>
        <w:t>“</w:t>
      </w:r>
      <w:r>
        <w:rPr>
          <w:rFonts w:ascii="Times New Roman" w:hAnsi="Times New Roman"/>
          <w:b/>
          <w:i/>
          <w:sz w:val="20"/>
        </w:rPr>
        <w:t>Ordinary Course of Business</w:t>
      </w:r>
      <w:r>
        <w:rPr>
          <w:rFonts w:ascii="Times New Roman" w:hAnsi="Times New Roman"/>
          <w:sz w:val="20"/>
        </w:rPr>
        <w:t xml:space="preserve">” means the ordinary and usual course of normal day-to-day operations of the business of the Companies through the date hereof materially consistent with past custom and practice. </w:t>
      </w:r>
    </w:p>
    <w:p>
      <w:pPr>
        <w:pStyle w:val="TextBody"/>
        <w:bidi w:val="0"/>
        <w:spacing w:before="240" w:after="0"/>
        <w:jc w:val="left"/>
        <w:rPr/>
      </w:pPr>
      <w:r>
        <w:rPr/>
        <w:t>“</w:t>
      </w:r>
      <w:r>
        <w:rPr>
          <w:rFonts w:ascii="Times New Roman" w:hAnsi="Times New Roman"/>
          <w:b/>
          <w:i/>
          <w:sz w:val="20"/>
        </w:rPr>
        <w:t>Organizational Documents</w:t>
      </w:r>
      <w:r>
        <w:rPr>
          <w:rFonts w:ascii="Times New Roman" w:hAnsi="Times New Roman"/>
          <w:sz w:val="20"/>
        </w:rPr>
        <w:t xml:space="preserve">” means (a) the memorandum and articles of association, certificate or articles of incorporation, organization or formation and the by-laws, the partnership agreement, any shareholders’ agreement, operating or limited liability company agreement, declaration of trust or trust agreement (as applicable) and (b) any documents comparable to those described in clause (a) as may be applicable pursuant to any applicable Law. </w:t>
      </w:r>
    </w:p>
    <w:p>
      <w:pPr>
        <w:pStyle w:val="TextBody"/>
        <w:bidi w:val="0"/>
        <w:spacing w:before="240" w:after="0"/>
        <w:jc w:val="left"/>
        <w:rPr/>
      </w:pPr>
      <w:r>
        <w:rPr/>
        <w:t>“</w:t>
      </w:r>
      <w:r>
        <w:rPr>
          <w:rFonts w:ascii="Times New Roman" w:hAnsi="Times New Roman"/>
          <w:b/>
          <w:i/>
          <w:sz w:val="20"/>
        </w:rPr>
        <w:t>Outside Date</w:t>
      </w:r>
      <w:r>
        <w:rPr>
          <w:rFonts w:ascii="Times New Roman" w:hAnsi="Times New Roman"/>
          <w:sz w:val="20"/>
        </w:rPr>
        <w:t xml:space="preserve">” has the meaning set forth in </w:t>
      </w:r>
      <w:r>
        <w:rPr>
          <w:rFonts w:ascii="Times New Roman" w:hAnsi="Times New Roman"/>
          <w:sz w:val="20"/>
          <w:u w:val="single"/>
        </w:rPr>
        <w:t>Section 9.1(b)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Outstanding Receivables Amount</w:t>
      </w:r>
      <w:r>
        <w:rPr>
          <w:rFonts w:ascii="Times New Roman" w:hAnsi="Times New Roman"/>
          <w:sz w:val="20"/>
        </w:rPr>
        <w:t xml:space="preserve">” has the meaning set forth in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Parent Stockholder Approval</w:t>
      </w:r>
      <w:r>
        <w:rPr>
          <w:rFonts w:ascii="Times New Roman" w:hAnsi="Times New Roman"/>
          <w:sz w:val="20"/>
        </w:rPr>
        <w:t xml:space="preserve">” means the approval by the stockholders of Parent, at a duly called meeting of stockholders, of (i) the issuance of the DTI Common Stock to be issued to the Sellers (other than the Trustee Seller), and (ii) the ratification, pursuant to Section 204 of the DGCL, of any defective corporate acts relating to the election of directors of Parent, provided that the requirement set forth in clause (ii) shall be deemed satisfied if, in lieu of such stockholder ratification, a final, non-appealable order of the Court of Chancery of the State of Delaware validating such defective corporate acts shall have been obtained pursuant to Section 205 of the DGCL. </w:t>
      </w:r>
    </w:p>
    <w:p>
      <w:pPr>
        <w:pStyle w:val="TextBody"/>
        <w:bidi w:val="0"/>
        <w:spacing w:before="240" w:after="0"/>
        <w:jc w:val="left"/>
        <w:rPr/>
      </w:pPr>
      <w:r>
        <w:rPr/>
        <w:t>“</w:t>
      </w:r>
      <w:r>
        <w:rPr>
          <w:rFonts w:ascii="Times New Roman" w:hAnsi="Times New Roman"/>
          <w:b/>
          <w:i/>
          <w:sz w:val="20"/>
        </w:rPr>
        <w:t>Parent Board Recommendation</w:t>
      </w:r>
      <w:r>
        <w:rPr>
          <w:rFonts w:ascii="Times New Roman" w:hAnsi="Times New Roman"/>
          <w:sz w:val="20"/>
        </w:rPr>
        <w:t xml:space="preserve">” has the meaning set forth in </w:t>
      </w:r>
      <w:r>
        <w:rPr>
          <w:rFonts w:ascii="Times New Roman" w:hAnsi="Times New Roman"/>
          <w:sz w:val="20"/>
          <w:u w:val="single"/>
        </w:rPr>
        <w:t>Section 7.13(h)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Parent Material Adverse Effect</w:t>
      </w:r>
      <w:r>
        <w:rPr>
          <w:rFonts w:ascii="Times New Roman" w:hAnsi="Times New Roman"/>
          <w:sz w:val="20"/>
        </w:rPr>
        <w:t xml:space="preserve">” means any event, change, condition, state of facts, occurrence or development that has, or would reasonably be expected to have, individually or in the aggregate, a material adverse effect on (x) the business, operations, results of operations, assets, liabilities or condition (financial or otherwise) of Parent and its subsidiaries, taken as a whole, or (y) the ability of Parent or Buyer to consummate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Parent SEC Documents</w:t>
      </w:r>
      <w:r>
        <w:rPr>
          <w:rFonts w:ascii="Times New Roman" w:hAnsi="Times New Roman"/>
          <w:sz w:val="20"/>
        </w:rPr>
        <w:t xml:space="preserve">” has the meaning set forth in </w:t>
      </w:r>
      <w:r>
        <w:rPr>
          <w:rFonts w:ascii="Times New Roman" w:hAnsi="Times New Roman"/>
          <w:sz w:val="20"/>
          <w:u w:val="single"/>
        </w:rPr>
        <w:t>Section 6.11(a)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Parent Stockholders Meeting</w:t>
      </w:r>
      <w:r>
        <w:rPr>
          <w:rFonts w:ascii="Times New Roman" w:hAnsi="Times New Roman"/>
          <w:sz w:val="20"/>
        </w:rPr>
        <w:t xml:space="preserve">” has the meaning set forth in </w:t>
      </w:r>
      <w:r>
        <w:rPr>
          <w:rFonts w:ascii="Times New Roman" w:hAnsi="Times New Roman"/>
          <w:sz w:val="20"/>
          <w:u w:val="single"/>
        </w:rPr>
        <w:t>Section 7.13(h)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Parties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Payment Agent</w:t>
      </w:r>
      <w:r>
        <w:rPr>
          <w:rFonts w:ascii="Times New Roman" w:hAnsi="Times New Roman"/>
          <w:sz w:val="20"/>
        </w:rPr>
        <w:t xml:space="preserve">” means Cambridge Mercantile Corp. (UK) Limited, trading as Corpay. </w:t>
      </w:r>
    </w:p>
    <w:p>
      <w:pPr>
        <w:pStyle w:val="TextBody"/>
        <w:bidi w:val="0"/>
        <w:spacing w:before="240" w:after="0"/>
        <w:jc w:val="left"/>
        <w:rPr/>
      </w:pPr>
      <w:r>
        <w:rPr/>
        <w:t>“</w:t>
      </w:r>
      <w:r>
        <w:rPr>
          <w:rFonts w:ascii="Times New Roman" w:hAnsi="Times New Roman"/>
          <w:b/>
          <w:i/>
          <w:sz w:val="20"/>
        </w:rPr>
        <w:t>Payment Agent Account</w:t>
      </w:r>
      <w:r>
        <w:rPr>
          <w:rFonts w:ascii="Times New Roman" w:hAnsi="Times New Roman"/>
          <w:sz w:val="20"/>
        </w:rPr>
        <w:t xml:space="preserve">” means the payment agent account with the details notified by the Seller Representative to the Buyer on behalf of the Sellers in writing no less than three (3) Business Days prior to the Closing Date. </w:t>
      </w:r>
    </w:p>
    <w:p>
      <w:pPr>
        <w:pStyle w:val="TextBody"/>
        <w:bidi w:val="0"/>
        <w:spacing w:before="240" w:after="0"/>
        <w:jc w:val="left"/>
        <w:rPr/>
      </w:pPr>
      <w:r>
        <w:rPr/>
        <w:t>“</w:t>
      </w:r>
      <w:r>
        <w:rPr>
          <w:rFonts w:ascii="Times New Roman" w:hAnsi="Times New Roman"/>
          <w:b/>
          <w:i/>
          <w:sz w:val="20"/>
        </w:rPr>
        <w:t>Payoff Letters</w:t>
      </w:r>
      <w:r>
        <w:rPr>
          <w:rFonts w:ascii="Times New Roman" w:hAnsi="Times New Roman"/>
          <w:sz w:val="20"/>
        </w:rPr>
        <w:t xml:space="preserve">” means customary payoff letters reflecting the payoff and termination of any Company Debt in exchange for the payment of money on the Closing Date. </w:t>
      </w:r>
    </w:p>
    <w:p>
      <w:pPr>
        <w:pStyle w:val="TextBody"/>
        <w:bidi w:val="0"/>
        <w:spacing w:before="240" w:after="0"/>
        <w:jc w:val="left"/>
        <w:rPr/>
      </w:pPr>
      <w:r>
        <w:rPr/>
        <w:t>“</w:t>
      </w:r>
      <w:r>
        <w:rPr>
          <w:rFonts w:ascii="Times New Roman" w:hAnsi="Times New Roman"/>
          <w:b/>
          <w:i/>
          <w:sz w:val="20"/>
        </w:rPr>
        <w:t>Permits</w:t>
      </w:r>
      <w:r>
        <w:rPr>
          <w:rFonts w:ascii="Times New Roman" w:hAnsi="Times New Roman"/>
          <w:sz w:val="20"/>
        </w:rPr>
        <w:t xml:space="preserve">” has the meaning set forth in </w:t>
      </w:r>
      <w:r>
        <w:rPr>
          <w:rFonts w:ascii="Times New Roman" w:hAnsi="Times New Roman"/>
          <w:sz w:val="20"/>
          <w:u w:val="single"/>
        </w:rPr>
        <w:t>Section 4.10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Permitted Leakage</w:t>
      </w:r>
      <w:r>
        <w:rPr>
          <w:rFonts w:ascii="Times New Roman" w:hAnsi="Times New Roman"/>
          <w:sz w:val="20"/>
        </w:rPr>
        <w:t xml:space="preserve">” means: (a) the payment of salary, bonus, fees, benefits, expenses and other emoluments to any current or former employee, officer, director, or consultant of the Companies or their Subsidiaries in the Ordinary Course of Business and in accordance with existing employment or service arrangements in effect as of the Locked Box Date; (b) payment of fees and expenses to professional advisors of the Companies in the Ordinary Course of Business and not in connection with the transactions contemplated by this Agreement; (c) any payments or matters contemplated by or expressly provided for in this Agreement or undertaken or made at the written request or with the prior written consent of Buyer; (d) any matters specifically identified in </w:t>
      </w:r>
      <w:r>
        <w:rPr>
          <w:rFonts w:ascii="Times New Roman" w:hAnsi="Times New Roman"/>
          <w:b/>
          <w:i/>
          <w:sz w:val="20"/>
        </w:rPr>
        <w:t xml:space="preserve">Exhibit F </w:t>
      </w:r>
      <w:r>
        <w:rPr>
          <w:rFonts w:ascii="Times New Roman" w:hAnsi="Times New Roman"/>
          <w:sz w:val="20"/>
        </w:rPr>
        <w:t>(</w:t>
      </w:r>
      <w:r>
        <w:rPr>
          <w:rFonts w:ascii="Times New Roman" w:hAnsi="Times New Roman"/>
          <w:i/>
          <w:sz w:val="20"/>
        </w:rPr>
        <w:t>Permitted Leakage</w:t>
      </w:r>
      <w:r>
        <w:rPr>
          <w:rFonts w:ascii="Times New Roman" w:hAnsi="Times New Roman"/>
          <w:sz w:val="20"/>
        </w:rPr>
        <w:t xml:space="preserve">) (up to the amounts stated therein, if applicable); (e) any items specifically provided for or accrued (and up to the amounts contained therein) in the Locked Box Accounts; and (f) any Tax withheld by the Companies or their Subsidiaries on any of the items set forth in clauses (a) through (e) above. </w:t>
      </w:r>
    </w:p>
    <w:p>
      <w:pPr>
        <w:pStyle w:val="TextBody"/>
        <w:bidi w:val="0"/>
        <w:spacing w:before="240" w:after="0"/>
        <w:jc w:val="left"/>
        <w:rPr/>
      </w:pPr>
      <w:r>
        <w:rPr/>
        <w:t>“</w:t>
      </w:r>
      <w:r>
        <w:rPr>
          <w:rFonts w:ascii="Times New Roman" w:hAnsi="Times New Roman"/>
          <w:b/>
          <w:i/>
          <w:sz w:val="20"/>
        </w:rPr>
        <w:t>Permitted Liens</w:t>
      </w:r>
      <w:r>
        <w:rPr>
          <w:rFonts w:ascii="Times New Roman" w:hAnsi="Times New Roman"/>
          <w:sz w:val="20"/>
        </w:rPr>
        <w:t xml:space="preserve">” means (a) Liens for Taxes of Governmental Authorities (i) not yet due and payable or (ii) being contested in good faith by appropriate proceedings, in each case for which reserves have been established on the Company Financial Statements in accordance with the Accounting Standards or IFRS, (b) mechanics’, workmen’s, repairmen’s, warehousemen’s, carriers’ or other like Liens arising or incurred in the Ordinary Course of Business or by operation of Law if the underlying obligations are not due and payable, (c) Liens arising under worker’s compensation, unemployment insurance, social security, retirement and similar legislation, (d) non-exclusive licenses of Intellectual Property granted in the Ordinary Course of Business, and (e) with respect to the Leased Real Property (x) easements, encroachments, restrictions, rights of way and similar matters of record and (y) zoning, building and other similar restrictions which are not violated by the current use or occupancy of the Leased Real Property;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none of the foregoing described in clause (e) will individually or in the aggregate materially impair the continued use and operation of the property to which they relate in the business of the Companies as presently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Person</w:t>
      </w:r>
      <w:r>
        <w:rPr>
          <w:rFonts w:ascii="Times New Roman" w:hAnsi="Times New Roman"/>
          <w:sz w:val="20"/>
        </w:rPr>
        <w:t xml:space="preserve">” means any individual, sole proprietorship, partnership, corporation, limited liability company, joint venture, unincorporated society or association, trust or other legal entity or any Governmental Authority. </w:t>
      </w:r>
    </w:p>
    <w:p>
      <w:pPr>
        <w:pStyle w:val="TextBody"/>
        <w:bidi w:val="0"/>
        <w:spacing w:before="240" w:after="0"/>
        <w:jc w:val="left"/>
        <w:rPr/>
      </w:pPr>
      <w:r>
        <w:rPr/>
        <w:t>“</w:t>
      </w:r>
      <w:r>
        <w:rPr>
          <w:rFonts w:ascii="Times New Roman" w:hAnsi="Times New Roman"/>
          <w:b/>
          <w:i/>
          <w:sz w:val="20"/>
        </w:rPr>
        <w:t>Personal Data</w:t>
      </w:r>
      <w:r>
        <w:rPr>
          <w:rFonts w:ascii="Times New Roman" w:hAnsi="Times New Roman"/>
          <w:sz w:val="20"/>
        </w:rPr>
        <w:t>” means (a) information related to, or reasonably capable of being associated or linked with, directly or indirectly, an identified or identifiable individual or household (</w:t>
      </w:r>
      <w:r>
        <w:rPr>
          <w:rFonts w:ascii="Times New Roman" w:hAnsi="Times New Roman"/>
          <w:i/>
          <w:sz w:val="20"/>
        </w:rPr>
        <w:t>e.g.</w:t>
      </w:r>
      <w:r>
        <w:rPr>
          <w:rFonts w:ascii="Times New Roman" w:hAnsi="Times New Roman"/>
          <w:sz w:val="20"/>
        </w:rPr>
        <w:t xml:space="preserve">, name, address, telephone number, email address, financial account number, government-issued identifier) or device, (b) any other data used or intended to be used or which allows one to identify, contact, or precisely locate, directly or indirectly, an individual or device, including any internet protocol address or other persistent identifier, or (c) any other similar information or data regulated by or defined as “personal information” or similar terms under applicable Laws. </w:t>
      </w:r>
    </w:p>
    <w:p>
      <w:pPr>
        <w:pStyle w:val="TextBody"/>
        <w:bidi w:val="0"/>
        <w:spacing w:before="240" w:after="0"/>
        <w:jc w:val="left"/>
        <w:rPr/>
      </w:pPr>
      <w:r>
        <w:rPr/>
        <w:t>“</w:t>
      </w:r>
      <w:r>
        <w:rPr>
          <w:rFonts w:ascii="Times New Roman" w:hAnsi="Times New Roman"/>
          <w:b/>
          <w:i/>
          <w:sz w:val="20"/>
        </w:rPr>
        <w:t>Pre-Closing Tax Liabilities</w:t>
      </w:r>
      <w:r>
        <w:rPr>
          <w:rFonts w:ascii="Times New Roman" w:hAnsi="Times New Roman"/>
          <w:sz w:val="20"/>
        </w:rPr>
        <w:t xml:space="preserve">” means any and all Taxes and liabilities (including reasonable attorneys’ and accountants’ fees and other reasonable out-of-pocket expenses incurred in connection therewith) arising out of any Taxes imposed upon or payable by any Company or any Subsidiary with respect to any Pre-Closing Tax Period and the portion of any Straddle Period ending on the Closing Date, regardless of how imposed and whether disputed or not, and for the purposes of apportioning liabilities it shall be assumed that the date of Closing is the end of an accounting period for UK Tax purposes. </w:t>
      </w:r>
    </w:p>
    <w:p>
      <w:pPr>
        <w:pStyle w:val="TextBody"/>
        <w:bidi w:val="0"/>
        <w:spacing w:before="240" w:after="0"/>
        <w:jc w:val="left"/>
        <w:rPr/>
      </w:pPr>
      <w:r>
        <w:rPr/>
        <w:t>“</w:t>
      </w:r>
      <w:r>
        <w:rPr>
          <w:rFonts w:ascii="Times New Roman" w:hAnsi="Times New Roman"/>
          <w:b/>
          <w:i/>
          <w:sz w:val="20"/>
        </w:rPr>
        <w:t>Pre-Closing Tax Period</w:t>
      </w:r>
      <w:r>
        <w:rPr>
          <w:rFonts w:ascii="Times New Roman" w:hAnsi="Times New Roman"/>
          <w:sz w:val="20"/>
        </w:rPr>
        <w:t xml:space="preserve">” means any Tax period ending on or before the Closing Date. </w:t>
      </w:r>
    </w:p>
    <w:p>
      <w:pPr>
        <w:pStyle w:val="TextBody"/>
        <w:bidi w:val="0"/>
        <w:spacing w:before="240" w:after="0"/>
        <w:jc w:val="left"/>
        <w:rPr/>
      </w:pPr>
      <w:r>
        <w:rPr/>
        <w:t>“</w:t>
      </w:r>
      <w:r>
        <w:rPr>
          <w:rFonts w:ascii="Times New Roman" w:hAnsi="Times New Roman"/>
          <w:b/>
          <w:i/>
          <w:sz w:val="20"/>
        </w:rPr>
        <w:t>Profit Ticker</w:t>
      </w:r>
      <w:r>
        <w:rPr>
          <w:rFonts w:ascii="Times New Roman" w:hAnsi="Times New Roman"/>
          <w:sz w:val="20"/>
        </w:rPr>
        <w:t xml:space="preserve"> </w:t>
      </w:r>
      <w:r>
        <w:rPr>
          <w:rFonts w:ascii="Times New Roman" w:hAnsi="Times New Roman"/>
          <w:b/>
          <w:i/>
          <w:sz w:val="20"/>
        </w:rPr>
        <w:t>Amount</w:t>
      </w:r>
      <w:r>
        <w:rPr>
          <w:rFonts w:ascii="Times New Roman" w:hAnsi="Times New Roman"/>
          <w:sz w:val="20"/>
        </w:rPr>
        <w:t xml:space="preserve">” means £23,354 (twenty-three thousand, three hundred and fifty-four pounds) multiplied by the number of days from and including 1 July 2026 up to and excluding the Closing Date. </w:t>
      </w:r>
    </w:p>
    <w:p>
      <w:pPr>
        <w:pStyle w:val="TextBody"/>
        <w:bidi w:val="0"/>
        <w:spacing w:before="240" w:after="0"/>
        <w:jc w:val="left"/>
        <w:rPr/>
      </w:pPr>
      <w:r>
        <w:rPr/>
        <w:t>“</w:t>
      </w:r>
      <w:r>
        <w:rPr>
          <w:rFonts w:ascii="Times New Roman" w:hAnsi="Times New Roman"/>
          <w:b/>
          <w:i/>
          <w:sz w:val="20"/>
        </w:rPr>
        <w:t>Property Leases</w:t>
      </w:r>
      <w:r>
        <w:rPr>
          <w:rFonts w:ascii="Times New Roman" w:hAnsi="Times New Roman"/>
          <w:sz w:val="20"/>
        </w:rPr>
        <w:t xml:space="preserve">” has the meaning set forth in </w:t>
      </w:r>
      <w:r>
        <w:rPr>
          <w:rFonts w:ascii="Times New Roman" w:hAnsi="Times New Roman"/>
          <w:sz w:val="20"/>
          <w:u w:val="single"/>
        </w:rPr>
        <w:t>Section 3.2(o)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Proxy Statement/Prospectus</w:t>
      </w:r>
      <w:r>
        <w:rPr>
          <w:rFonts w:ascii="Times New Roman" w:hAnsi="Times New Roman"/>
          <w:sz w:val="20"/>
        </w:rPr>
        <w:t xml:space="preserve">” has the meaning set forth in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Pro Rata Share</w:t>
      </w:r>
      <w:r>
        <w:rPr>
          <w:rFonts w:ascii="Times New Roman" w:hAnsi="Times New Roman"/>
          <w:sz w:val="20"/>
        </w:rPr>
        <w:t xml:space="preserve">” means, with respect to each Seller, the following percentage: (a) Michael David Loggie: 60%; (b) Jack William Loggie: 30%; and (c) Michael David John Loggie: 10%. </w:t>
      </w:r>
    </w:p>
    <w:p>
      <w:pPr>
        <w:pStyle w:val="TextBody"/>
        <w:bidi w:val="0"/>
        <w:spacing w:before="240" w:after="0"/>
        <w:jc w:val="left"/>
        <w:rPr/>
      </w:pPr>
      <w:r>
        <w:rPr/>
        <w:t>“</w:t>
      </w:r>
      <w:r>
        <w:rPr>
          <w:rFonts w:ascii="Times New Roman" w:hAnsi="Times New Roman"/>
          <w:b/>
          <w:i/>
          <w:sz w:val="20"/>
        </w:rPr>
        <w:t>Related Person</w:t>
      </w:r>
      <w:r>
        <w:rPr>
          <w:rFonts w:ascii="Times New Roman" w:hAnsi="Times New Roman"/>
          <w:sz w:val="20"/>
        </w:rPr>
        <w:t xml:space="preserve">” has the meaning set forth in </w:t>
      </w:r>
      <w:r>
        <w:rPr>
          <w:rFonts w:ascii="Times New Roman" w:hAnsi="Times New Roman"/>
          <w:sz w:val="20"/>
          <w:u w:val="single"/>
        </w:rPr>
        <w:t>Section 4.22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Release</w:t>
      </w:r>
      <w:r>
        <w:rPr>
          <w:rFonts w:ascii="Times New Roman" w:hAnsi="Times New Roman"/>
          <w:sz w:val="20"/>
        </w:rPr>
        <w:t xml:space="preserve">” means any releasing, spilling, leaking, pumping, pouring, emitting, emptying, discharging, injecting, leaching, migrating, escaping, disposing or dumping of a Hazardous Material into or through the Environment. </w:t>
      </w:r>
    </w:p>
    <w:p>
      <w:pPr>
        <w:pStyle w:val="TextBody"/>
        <w:bidi w:val="0"/>
        <w:spacing w:before="240" w:after="0"/>
        <w:jc w:val="left"/>
        <w:rPr/>
      </w:pPr>
      <w:r>
        <w:rPr/>
        <w:t>“</w:t>
      </w:r>
      <w:r>
        <w:rPr>
          <w:rFonts w:ascii="Times New Roman" w:hAnsi="Times New Roman"/>
          <w:b/>
          <w:i/>
          <w:sz w:val="20"/>
        </w:rPr>
        <w:t>Releasee</w:t>
      </w:r>
      <w:r>
        <w:rPr>
          <w:rFonts w:ascii="Times New Roman" w:hAnsi="Times New Roman"/>
          <w:sz w:val="20"/>
        </w:rPr>
        <w:t xml:space="preserve">” has the meaning set forth in </w:t>
      </w:r>
      <w:r>
        <w:rPr>
          <w:rFonts w:ascii="Times New Roman" w:hAnsi="Times New Roman"/>
          <w:sz w:val="20"/>
          <w:u w:val="single"/>
        </w:rPr>
        <w:t>Section 10.4(a)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Relief</w:t>
      </w:r>
      <w:r>
        <w:rPr>
          <w:rFonts w:ascii="Times New Roman" w:hAnsi="Times New Roman"/>
          <w:sz w:val="20"/>
        </w:rPr>
        <w:t xml:space="preserve">” means any loss, relief, allowance, credit, exemption or set off for Tax purposes or any deduction in computing income, profits or gains for Tax purposes and any right to a repayment of Tax or to a payment in respect of Tax. </w:t>
      </w:r>
    </w:p>
    <w:p>
      <w:pPr>
        <w:pStyle w:val="TextBody"/>
        <w:bidi w:val="0"/>
        <w:spacing w:before="240" w:after="0"/>
        <w:jc w:val="left"/>
        <w:rPr/>
      </w:pPr>
      <w:r>
        <w:rPr/>
        <w:t>“</w:t>
      </w:r>
      <w:r>
        <w:rPr>
          <w:rFonts w:ascii="Times New Roman" w:hAnsi="Times New Roman"/>
          <w:b/>
          <w:i/>
          <w:sz w:val="20"/>
        </w:rPr>
        <w:t>Restraint</w:t>
      </w:r>
      <w:r>
        <w:rPr>
          <w:rFonts w:ascii="Times New Roman" w:hAnsi="Times New Roman"/>
          <w:sz w:val="20"/>
        </w:rPr>
        <w:t xml:space="preserve">” has the meaning set forth in </w:t>
      </w:r>
      <w:r>
        <w:rPr>
          <w:rFonts w:ascii="Times New Roman" w:hAnsi="Times New Roman"/>
          <w:sz w:val="20"/>
          <w:u w:val="single"/>
        </w:rPr>
        <w:t>Section 8.1(a)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Rollover Documents</w:t>
      </w:r>
      <w:r>
        <w:rPr>
          <w:rFonts w:ascii="Times New Roman" w:hAnsi="Times New Roman"/>
          <w:sz w:val="20"/>
        </w:rPr>
        <w:t xml:space="preserve">” means the Rollover Loan Note Instruments, the Rollover Loan Notes, and the Rollover Put and Call Agreements. </w:t>
      </w:r>
    </w:p>
    <w:p>
      <w:pPr>
        <w:pStyle w:val="TextBody"/>
        <w:bidi w:val="0"/>
        <w:spacing w:before="240" w:after="0"/>
        <w:jc w:val="left"/>
        <w:rPr/>
      </w:pPr>
      <w:r>
        <w:rPr/>
        <w:t>“</w:t>
      </w:r>
      <w:r>
        <w:rPr>
          <w:rFonts w:ascii="Times New Roman" w:hAnsi="Times New Roman"/>
          <w:b/>
          <w:i/>
          <w:sz w:val="20"/>
        </w:rPr>
        <w:t>Rollover Loan Note Instruments</w:t>
      </w:r>
      <w:r>
        <w:rPr>
          <w:rFonts w:ascii="Times New Roman" w:hAnsi="Times New Roman"/>
          <w:sz w:val="20"/>
        </w:rPr>
        <w:t xml:space="preserve">” means: (i) the Consideration Loan Note Instrument; (ii) a loan note instrument to be executed by Drilling Tools International Inc., to implement the issuance of the Rollover Loan Notes to be issued by Drilling Tools International Inc.; and (iii) a loan note instrument to be executed by Drilling Tools International Holdings Inc., to implement the issuance of the Rollover Loan Notes to be issued by Drilling Tools International Holdings Inc., in each case: (a) to be issued to the Sellers (other than the Trustee Seller) in the proportions set forth in </w:t>
      </w:r>
      <w:r>
        <w:rPr>
          <w:rFonts w:ascii="Times New Roman" w:hAnsi="Times New Roman"/>
          <w:b/>
          <w:i/>
          <w:sz w:val="20"/>
        </w:rPr>
        <w:t>Exhibit B</w:t>
      </w:r>
      <w:r>
        <w:rPr>
          <w:rFonts w:ascii="Times New Roman" w:hAnsi="Times New Roman"/>
          <w:sz w:val="20"/>
        </w:rPr>
        <w:t xml:space="preserve">; and (b) in a form and substance reasonably satisfactory to the Parties. </w:t>
      </w:r>
    </w:p>
    <w:p>
      <w:pPr>
        <w:pStyle w:val="TextBody"/>
        <w:bidi w:val="0"/>
        <w:spacing w:before="240" w:after="0"/>
        <w:jc w:val="left"/>
        <w:rPr/>
      </w:pPr>
      <w:r>
        <w:rPr/>
        <w:t>“</w:t>
      </w:r>
      <w:r>
        <w:rPr>
          <w:rFonts w:ascii="Times New Roman" w:hAnsi="Times New Roman"/>
          <w:b/>
          <w:i/>
          <w:sz w:val="20"/>
        </w:rPr>
        <w:t>Rollover Loan Notes</w:t>
      </w:r>
      <w:r>
        <w:rPr>
          <w:rFonts w:ascii="Times New Roman" w:hAnsi="Times New Roman"/>
          <w:sz w:val="20"/>
        </w:rPr>
        <w:t xml:space="preserve">” means the unsecured loan notes, structured as non-qualifying corporate bonds, constituted under each Rollover Loan Note Instrument and issued to the Sellers (other than the Trustee Seller), including for the avoidance of doubt, the Consideration Loan Notes, in a form and substance reasonably satisfactory to the Parties and set out in the corresponding Rollover Loan Note Instrument. </w:t>
      </w:r>
    </w:p>
    <w:p>
      <w:pPr>
        <w:pStyle w:val="TextBody"/>
        <w:bidi w:val="0"/>
        <w:spacing w:before="240" w:after="0"/>
        <w:jc w:val="left"/>
        <w:rPr/>
      </w:pPr>
      <w:r>
        <w:rPr/>
        <w:t>“</w:t>
      </w:r>
      <w:r>
        <w:rPr>
          <w:rFonts w:ascii="Times New Roman" w:hAnsi="Times New Roman"/>
          <w:b/>
          <w:i/>
          <w:sz w:val="20"/>
        </w:rPr>
        <w:t>Rollover Put and Call Agreements</w:t>
      </w:r>
      <w:r>
        <w:rPr>
          <w:rFonts w:ascii="Times New Roman" w:hAnsi="Times New Roman"/>
          <w:sz w:val="20"/>
        </w:rPr>
        <w:t xml:space="preserve">” means put and call option agreements between each Seller (other than the Trustee Seller) and: (i) Buyer and Drilling Tools International Inc. in respect of the relevant Rollover Loan Notes; (ii) Drilling Tools International Inc. and Drilling Tools International Holdings Inc. in respect of the relevant Rollover Loan Notes; and (iii) Drilling Tools International Holdings Inc. and Parent in respect of which the DTI Common Stock is issued to the Sellers (other than the Trustee Seller) immediately following the Closing, in each case in a form and substance reasonably satisfactory to the Parties. </w:t>
      </w:r>
    </w:p>
    <w:p>
      <w:pPr>
        <w:pStyle w:val="TextBody"/>
        <w:bidi w:val="0"/>
        <w:spacing w:before="240" w:after="0"/>
        <w:jc w:val="left"/>
        <w:rPr/>
      </w:pPr>
      <w:r>
        <w:rPr/>
        <w:t>“</w:t>
      </w:r>
      <w:r>
        <w:rPr>
          <w:rFonts w:ascii="Times New Roman" w:hAnsi="Times New Roman"/>
          <w:b/>
          <w:i/>
          <w:sz w:val="20"/>
        </w:rPr>
        <w:t>Saltire Drilling Tools</w:t>
      </w:r>
      <w:r>
        <w:rPr>
          <w:rFonts w:ascii="Times New Roman" w:hAnsi="Times New Roman"/>
          <w:sz w:val="20"/>
        </w:rPr>
        <w:t xml:space="preserve">” means Saltire Drilling Tools Limited, a private company limited by shares incorporated in Scotland, having its registered office at 100 Union Street, Aberdeen AB10 1QR, with company number SC409057. </w:t>
      </w:r>
    </w:p>
    <w:p>
      <w:pPr>
        <w:pStyle w:val="TextBody"/>
        <w:bidi w:val="0"/>
        <w:spacing w:before="240" w:after="0"/>
        <w:jc w:val="left"/>
        <w:rPr/>
      </w:pPr>
      <w:r>
        <w:rPr/>
        <w:t>“</w:t>
      </w:r>
      <w:r>
        <w:rPr>
          <w:rFonts w:ascii="Times New Roman" w:hAnsi="Times New Roman"/>
          <w:b/>
          <w:i/>
          <w:sz w:val="20"/>
        </w:rPr>
        <w:t>Saltire Malaysia</w:t>
      </w:r>
      <w:r>
        <w:rPr>
          <w:rFonts w:ascii="Times New Roman" w:hAnsi="Times New Roman"/>
          <w:sz w:val="20"/>
        </w:rPr>
        <w:t xml:space="preserve">” means Saltire Energy Sdn. Bhd., a private company limited by shares incorporated under the laws of Malaysia, having its registered office at 15-2, Dinasti Sentral, Jalan Kuchai Maju 18, Off Jalan Kuchai Lama, Kuala Lumpur, 58200, Malaysia, with registration number 202401043543 (1589389-U). </w:t>
      </w:r>
    </w:p>
    <w:p>
      <w:pPr>
        <w:pStyle w:val="TextBody"/>
        <w:bidi w:val="0"/>
        <w:spacing w:before="240" w:after="0"/>
        <w:jc w:val="left"/>
        <w:rPr/>
      </w:pPr>
      <w:r>
        <w:rPr/>
        <w:t>“</w:t>
      </w:r>
      <w:r>
        <w:rPr>
          <w:rFonts w:ascii="Times New Roman" w:hAnsi="Times New Roman"/>
          <w:b/>
          <w:i/>
          <w:sz w:val="20"/>
        </w:rPr>
        <w:t>Saltire Norway</w:t>
      </w:r>
      <w:r>
        <w:rPr>
          <w:rFonts w:ascii="Times New Roman" w:hAnsi="Times New Roman"/>
          <w:sz w:val="20"/>
        </w:rPr>
        <w:t xml:space="preserve">” means Saltire Energy (Norway) Limited, a private company limited by shares incorporated in Scotland, having its registered office at 100 Union Street, Aberdeen AB10 1QR, with company number SC414001. </w:t>
      </w:r>
    </w:p>
    <w:p>
      <w:pPr>
        <w:pStyle w:val="TextBody"/>
        <w:bidi w:val="0"/>
        <w:spacing w:before="240" w:after="0"/>
        <w:jc w:val="left"/>
        <w:rPr/>
      </w:pPr>
      <w:r>
        <w:rPr/>
        <w:t>“</w:t>
      </w:r>
      <w:r>
        <w:rPr>
          <w:rFonts w:ascii="Times New Roman" w:hAnsi="Times New Roman"/>
          <w:b/>
          <w:i/>
          <w:sz w:val="20"/>
        </w:rPr>
        <w:t>Saltire Romania</w:t>
      </w:r>
      <w:r>
        <w:rPr>
          <w:rFonts w:ascii="Times New Roman" w:hAnsi="Times New Roman"/>
          <w:sz w:val="20"/>
        </w:rPr>
        <w:t xml:space="preserve">” means Saltire Energy Europe S.R.L., a limited liability company incorporated under the laws of Romania, having its registered office at 19-21 Bucharest-Ploiesti Road, Baneasa Business Center Building, office H15, 6th floor, District 1, Bucharest, Romania, registered with the Romanian Trade Register under no. J40/3925/2019, having sole registration code 40835019. </w:t>
      </w:r>
    </w:p>
    <w:p>
      <w:pPr>
        <w:pStyle w:val="TextBody"/>
        <w:bidi w:val="0"/>
        <w:spacing w:before="240" w:after="0"/>
        <w:jc w:val="left"/>
        <w:rPr/>
      </w:pPr>
      <w:r>
        <w:rPr/>
        <w:t>“</w:t>
      </w:r>
      <w:r>
        <w:rPr>
          <w:rFonts w:ascii="Times New Roman" w:hAnsi="Times New Roman"/>
          <w:b/>
          <w:i/>
          <w:sz w:val="20"/>
        </w:rPr>
        <w:t>Saltire Sellers</w:t>
      </w:r>
      <w:r>
        <w:rPr>
          <w:rFonts w:ascii="Times New Roman" w:hAnsi="Times New Roman"/>
          <w:sz w:val="20"/>
        </w:rPr>
        <w:t xml:space="preserve">” means Michael David Loggie, the Trustee Seller and the Loggie Trustee Sellers.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Saltire UAE</w:t>
      </w:r>
      <w:r>
        <w:rPr>
          <w:rFonts w:ascii="Times New Roman" w:hAnsi="Times New Roman"/>
          <w:sz w:val="20"/>
        </w:rPr>
        <w:t xml:space="preserve">” means Saltire Energy L.L.C., a limited liability company incorporated under the laws of the Emirate of Abu Dhabi, United Arab Emirates, with trade licence number CN-2251239 and unified registration number 101-2021-100070654. </w:t>
      </w:r>
    </w:p>
    <w:p>
      <w:pPr>
        <w:pStyle w:val="TextBody"/>
        <w:bidi w:val="0"/>
        <w:spacing w:before="240" w:after="0"/>
        <w:jc w:val="left"/>
        <w:rPr/>
      </w:pPr>
      <w:r>
        <w:rPr/>
        <w:t>“</w:t>
      </w:r>
      <w:r>
        <w:rPr>
          <w:rFonts w:ascii="Times New Roman" w:hAnsi="Times New Roman"/>
          <w:b/>
          <w:i/>
          <w:sz w:val="20"/>
        </w:rPr>
        <w:t>Sanctioned Country</w:t>
      </w:r>
      <w:r>
        <w:rPr>
          <w:rFonts w:ascii="Times New Roman" w:hAnsi="Times New Roman"/>
          <w:sz w:val="20"/>
        </w:rPr>
        <w:t xml:space="preserve">” means any country or region that is (or the government of which is) or has been in the last five years the subject or target of a comprehensive embargo under Sanctions Laws (including Russia, Belarus, Cuba, Iran, North Korea, Syria, Venezuela and the Crimea, Donetsk People’s Republic and Luhansk People’s Republic of Ukraine). </w:t>
      </w:r>
    </w:p>
    <w:p>
      <w:pPr>
        <w:pStyle w:val="TextBody"/>
        <w:bidi w:val="0"/>
        <w:spacing w:before="240" w:after="0"/>
        <w:jc w:val="left"/>
        <w:rPr/>
      </w:pPr>
      <w:r>
        <w:rPr/>
        <w:t>“</w:t>
      </w:r>
      <w:r>
        <w:rPr>
          <w:rFonts w:ascii="Times New Roman" w:hAnsi="Times New Roman"/>
          <w:b/>
          <w:i/>
          <w:sz w:val="20"/>
        </w:rPr>
        <w:t>Sanctioned Person</w:t>
      </w:r>
      <w:r>
        <w:rPr>
          <w:rFonts w:ascii="Times New Roman" w:hAnsi="Times New Roman"/>
          <w:sz w:val="20"/>
        </w:rPr>
        <w:t xml:space="preserve">” means any individual or entity that is the subject or target of sanctions or restrictions under Sanctions Laws or Ex-Im Laws, including: (i) any individual or entity listed on any applicable U.S. or non-U.S. sanctions- or export-related restricted party list, including, without limitation, OFAC’s Specially Designated Nationals and Blocked Persons; the Consolidated List of persons, Groups and Entities Subject to EU Financial Sanctions maintained by the European Commission, the Consolidated List of Asset Freeze Targets maintained by His Majesty’s Treasury, or any equivalent list maintained by the competent sanctions authority of the United Kingdom or any EU member state; or (ii) any entity that is, in the aggregate, 50 percent or greater owned, directly or indirectly, or otherwise controlled by a person or persons described in clause (i). </w:t>
      </w:r>
    </w:p>
    <w:p>
      <w:pPr>
        <w:pStyle w:val="TextBody"/>
        <w:bidi w:val="0"/>
        <w:spacing w:before="240" w:after="0"/>
        <w:jc w:val="left"/>
        <w:rPr/>
      </w:pPr>
      <w:r>
        <w:rPr/>
        <w:t>“</w:t>
      </w:r>
      <w:r>
        <w:rPr>
          <w:rFonts w:ascii="Times New Roman" w:hAnsi="Times New Roman"/>
          <w:b/>
          <w:i/>
          <w:sz w:val="20"/>
        </w:rPr>
        <w:t>Sanctions Laws</w:t>
      </w:r>
      <w:r>
        <w:rPr>
          <w:rFonts w:ascii="Times New Roman" w:hAnsi="Times New Roman"/>
          <w:sz w:val="20"/>
        </w:rPr>
        <w:t xml:space="preserve">” means all U.S. and non-U.S. Laws relating to economic or trade sanctions, including the Laws administered or enforced by the United States (including by OFAC or the U.S. Department of State), the European Union, the United Kingdom (including, without limitation, the Office of Financial Sanctions Implementation) and the United Nations Security Council. </w:t>
      </w:r>
    </w:p>
    <w:p>
      <w:pPr>
        <w:pStyle w:val="TextBody"/>
        <w:bidi w:val="0"/>
        <w:spacing w:before="240" w:after="0"/>
        <w:jc w:val="left"/>
        <w:rPr/>
      </w:pPr>
      <w:r>
        <w:rPr/>
        <w:t>“</w:t>
      </w:r>
      <w:r>
        <w:rPr>
          <w:rFonts w:ascii="Times New Roman" w:hAnsi="Times New Roman"/>
          <w:b/>
          <w:i/>
          <w:sz w:val="20"/>
        </w:rPr>
        <w:t>Sarbanes-Oxley Act”</w:t>
      </w:r>
      <w:r>
        <w:rPr>
          <w:rFonts w:ascii="Times New Roman" w:hAnsi="Times New Roman"/>
          <w:sz w:val="20"/>
        </w:rPr>
        <w:t xml:space="preserve"> means the Sarbanes-Oxley Act of 2002, as amended.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i/>
          <w:sz w:val="20"/>
        </w:rPr>
        <w:t>Security Incident</w:t>
      </w:r>
      <w:r>
        <w:rPr>
          <w:rFonts w:ascii="Times New Roman" w:hAnsi="Times New Roman"/>
          <w:sz w:val="20"/>
        </w:rPr>
        <w:t xml:space="preserve">” means any (a) breach of security, phishing incident, ransomware or malware attack affecting any Company Systems, or (b) incident in which confidential information or Personal Data was or may have been accessed, disclosed, destroyed, processed, used, or exfiltrated in an unauthorized manner (whether any of the foregoing was possessed or controlled by the Companies or by another Person on behalf of the Companies). </w:t>
      </w:r>
    </w:p>
    <w:p>
      <w:pPr>
        <w:pStyle w:val="TextBody"/>
        <w:bidi w:val="0"/>
        <w:spacing w:before="240" w:after="0"/>
        <w:jc w:val="left"/>
        <w:rPr/>
      </w:pPr>
      <w:r>
        <w:rPr/>
        <w:t>“</w:t>
      </w:r>
      <w:r>
        <w:rPr>
          <w:rFonts w:ascii="Times New Roman" w:hAnsi="Times New Roman"/>
          <w:b/>
          <w:i/>
          <w:sz w:val="20"/>
        </w:rPr>
        <w:t>Seller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i/>
          <w:sz w:val="20"/>
        </w:rPr>
        <w:t>Seller Documents</w:t>
      </w:r>
      <w:r>
        <w:rPr>
          <w:rFonts w:ascii="Times New Roman" w:hAnsi="Times New Roman"/>
          <w:sz w:val="20"/>
        </w:rPr>
        <w:t xml:space="preserve">” has the meaning set forth in </w:t>
      </w:r>
      <w:r>
        <w:rPr>
          <w:rFonts w:ascii="Times New Roman" w:hAnsi="Times New Roman"/>
          <w:sz w:val="20"/>
          <w:u w:val="single"/>
        </w:rPr>
        <w:t>Section 5.1(a)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Seller Representative</w:t>
      </w:r>
      <w:r>
        <w:rPr>
          <w:rFonts w:ascii="Times New Roman" w:hAnsi="Times New Roman"/>
          <w:sz w:val="20"/>
        </w:rPr>
        <w:t xml:space="preserve">” has the meaning set forth in </w:t>
      </w:r>
      <w:r>
        <w:rPr>
          <w:rFonts w:ascii="Times New Roman" w:hAnsi="Times New Roman"/>
          <w:sz w:val="20"/>
          <w:u w:val="single"/>
        </w:rPr>
        <w:t>Section 12.20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Selling Expenses</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any sale, change of control or transaction bonus, retention, stay deferred compensation, phantom equity, bonus, incentive or other similar compensatory payment or benefit payable or provided by the Companies to any current or former officer, director, employee or other individual service provider of the Companies, in each case, in connection with the execution of this Agreement or the consummation of the transactions contemplated by this Agreement, together with the employer portion of any applicable Taxes and NICs due on the foregoing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of the fees and expenses (including any VAT or other sales tax thereon) of outside legal counsel, accountants, advisors, brokers and investment bankers incurred by the Companies in connection with the consummation of the transactions contemplated hereby to the extent unpaid (it being understood that in no event shall Selling Expenses be deemed to include any fees, costs and expenses to the extent incurred by or at the direction of Buyer in relation to Buyer’s or its Affiliates’ financing (including obtaining any consent or waiver relating thereto) for the transactions contemplated hereby or any other liabilities or obligations incurred or arranged by or on behalf of Buyer or its Affiliates in connection with the transactions contemplated hereby (including any fees payable to any financing institution or the Companies’ accountants on behalf of Buyer or its Affiliates and any fees costs and expenses for which Buyer is responsible pursuant to the terms of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(c) the outstanding amount, if any, of any shareholder notes issued to any Seller or Affiliate of the Companies by the Companies prior to the Closing, including, without limitation any such notes or loans Disclosed. </w:t>
      </w:r>
    </w:p>
    <w:p>
      <w:pPr>
        <w:pStyle w:val="TextBody"/>
        <w:bidi w:val="0"/>
        <w:spacing w:before="240" w:after="0"/>
        <w:jc w:val="left"/>
        <w:rPr/>
      </w:pPr>
      <w:r>
        <w:rPr/>
        <w:t>“</w:t>
      </w:r>
      <w:r>
        <w:rPr>
          <w:rFonts w:ascii="Times New Roman" w:hAnsi="Times New Roman"/>
          <w:b/>
          <w:i/>
          <w:sz w:val="20"/>
        </w:rPr>
        <w:t>SEC</w:t>
      </w:r>
      <w:r>
        <w:rPr>
          <w:rFonts w:ascii="Times New Roman" w:hAnsi="Times New Roman"/>
          <w:sz w:val="20"/>
        </w:rPr>
        <w:t xml:space="preserve">” has the meaning set forth in </w:t>
      </w:r>
      <w:r>
        <w:rPr>
          <w:rFonts w:ascii="Times New Roman" w:hAnsi="Times New Roman"/>
          <w:sz w:val="20"/>
          <w:u w:val="single"/>
        </w:rPr>
        <w:t>Section 6.4(b)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Settlement Amounts</w:t>
      </w:r>
      <w:r>
        <w:rPr>
          <w:rFonts w:ascii="Times New Roman" w:hAnsi="Times New Roman"/>
          <w:sz w:val="20"/>
        </w:rPr>
        <w:t xml:space="preserve">” has the meaning set forth in </w:t>
      </w:r>
      <w:r>
        <w:rPr>
          <w:rFonts w:ascii="Times New Roman" w:hAnsi="Times New Roman"/>
          <w:sz w:val="20"/>
          <w:u w:val="single"/>
        </w:rPr>
        <w:t>Section 2.2(b)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Significant Customer</w:t>
      </w:r>
      <w:r>
        <w:rPr>
          <w:rFonts w:ascii="Times New Roman" w:hAnsi="Times New Roman"/>
          <w:sz w:val="20"/>
        </w:rPr>
        <w:t xml:space="preserve">” has the meaning set forth in </w:t>
      </w:r>
      <w:r>
        <w:rPr>
          <w:rFonts w:ascii="Times New Roman" w:hAnsi="Times New Roman"/>
          <w:sz w:val="20"/>
          <w:u w:val="single"/>
        </w:rPr>
        <w:t>Section 4.21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Significant Supplier</w:t>
      </w:r>
      <w:r>
        <w:rPr>
          <w:rFonts w:ascii="Times New Roman" w:hAnsi="Times New Roman"/>
          <w:sz w:val="20"/>
        </w:rPr>
        <w:t xml:space="preserve">” has the meaning set forth in </w:t>
      </w:r>
      <w:r>
        <w:rPr>
          <w:rFonts w:ascii="Times New Roman" w:hAnsi="Times New Roman"/>
          <w:sz w:val="20"/>
          <w:u w:val="single"/>
        </w:rPr>
        <w:t>Section 4.21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Software</w:t>
      </w:r>
      <w:r>
        <w:rPr>
          <w:rFonts w:ascii="Times New Roman" w:hAnsi="Times New Roman"/>
          <w:sz w:val="20"/>
        </w:rPr>
        <w:t xml:space="preserve">” means all (a) computer programs and software, including firmware, software implementations of algorithms, and software models and methodologies, whether in source code, object code or other form, including libraries, subroutines and other components thereof; (b) data, databases and other compilations of data or information, and (c) all documentation related to the foregoing, including development, diagnostic, support, user and training documentation related to any of the foregoing. </w:t>
      </w:r>
    </w:p>
    <w:p>
      <w:pPr>
        <w:pStyle w:val="TextBody"/>
        <w:bidi w:val="0"/>
        <w:spacing w:before="240" w:after="0"/>
        <w:jc w:val="left"/>
        <w:rPr/>
      </w:pPr>
      <w:r>
        <w:rPr/>
        <w:t>“</w:t>
      </w:r>
      <w:r>
        <w:rPr>
          <w:rFonts w:ascii="Times New Roman" w:hAnsi="Times New Roman"/>
          <w:b/>
          <w:i/>
          <w:sz w:val="20"/>
        </w:rPr>
        <w:t>Specific Tax Liabilities</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additional Land and Buildings Transaction Tax and Stamp Duty Land Tax (together with interest and / or penalties thereon) payable in respect of the Historic Scottish Leases, to the extent such amounts exceed the Agreed Historic Lease Tax Amount; </w:t>
      </w:r>
    </w:p>
    <w:p>
      <w:pPr>
        <w:pStyle w:val="TextBody"/>
        <w:bidi w:val="0"/>
        <w:spacing w:before="240" w:after="0"/>
        <w:jc w:val="left"/>
        <w:rPr>
          <w:rFonts w:ascii="Times New Roman" w:hAnsi="Times New Roman"/>
          <w:sz w:val="20"/>
        </w:rPr>
      </w:pPr>
      <w:r>
        <w:rPr>
          <w:rFonts w:ascii="Times New Roman" w:hAnsi="Times New Roman"/>
          <w:sz w:val="20"/>
        </w:rPr>
        <w:t>(b) inheritance tax and / or capital gains tax or any other Tax (together with interest and / or penalties thereon), in each case to the extent not paid prior to the date of this Agreement, arising in connection with the employee benefit trust established by Saltire Pressure Control Limited, including any such Tax arising under or in connection with the agreement(s) reached between any Company or Subsidiary and His Majesty’s Revenue and Customs in respect of that employee benefit trust (an “</w:t>
      </w:r>
      <w:r>
        <w:rPr>
          <w:rFonts w:ascii="Times New Roman" w:hAnsi="Times New Roman"/>
          <w:b/>
          <w:i/>
          <w:sz w:val="20"/>
        </w:rPr>
        <w:t>EBT Tax Liability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any liability for Tax incurred by either of the Companies or a Subsidiary (or, following the Closing, by Buyer as a result of its ownership of such Company or Subsidiary) arising from the opposition proceedings initiated by the Romanian tax authority in connection with the voluntary dissolution of Saltire Romania, including any additional Taxes, interest, penalties or other amounts assessed or claimed in connection therewith, and any reasonable third-party costs and expenses incurred in resolving such proceedings or completing the voluntary dissolution, liquidation and strike-off of Saltire Romania, in each case to the extent arising out of or attributable to any fact, matter, circumstance or period existing on or prior to Closing (in all cases, a “</w:t>
      </w:r>
      <w:r>
        <w:rPr>
          <w:rFonts w:ascii="Times New Roman" w:hAnsi="Times New Roman"/>
          <w:b/>
          <w:i/>
          <w:sz w:val="20"/>
        </w:rPr>
        <w:t>Romanian Tax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income tax, employee and employer national insurance contributions and Apprenticeship Levy (including any interest and penalties) incurred by either of the Companies or a Subsidiary arising from the failure by the Companies or any of the Subsidiaries (or, following the Closing, by Buyer as a result of its ownership of such Company or Subsidiary) to report staff entertaining costs to the relevant Taxing Authority for UK income tax purposes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(e) income tax, employee and employer national insurance contributions, Apprenticeship Levy and any liabilities under the Construction Industry Scheme (including any interest and penalties) incurred by either of the Companies or a Subsidiary (or, following the Closing, by Buyer as a result of its ownership of such Company or Subsidiary) arising from the engagement prior to Closing by any Company or Subsidiary of any individual as self-employed or otherwise engaged other than as an employee, where such individual is or was liable to be treated as an employee for Tax purposes, in all cases to the extent arising in respect of payments made by the Companies or any Subsidiary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(f) Tax (including any interest and penalties) imposed on either Company or a Subsidiary (or, following the Closing, by Buyer as a result of its ownership of such Company or Subsidiary) by any Taxing Authority outside the United Kingdom on the basis that any Company or Subsidiary is or was treated as having a taxable presence, permanent establishment or other basis of Tax liability in the relevant jurisdiction, including in connection with contracts for the rental of equipment, in all cases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(g) any UK VAT underdeclared by either Company or any Subsidiary, or any liability to register for and account for VAT of a Company or a Subsidiary (or any similar or equivalent Tax) in each case, prior to Closing, in any jurisdiction outside the United Kingdom (including any interest and penalties), arising from the treatment applied by any Company or Subsidiary to the hire of goods or equipment used, or capable of being used, outside the United Kingdom, including in connection with the “use and enjoyment” provisions of UK VAT legislation; </w:t>
      </w:r>
    </w:p>
    <w:p>
      <w:pPr>
        <w:pStyle w:val="TextBody"/>
        <w:bidi w:val="0"/>
        <w:spacing w:before="240" w:after="0"/>
        <w:jc w:val="left"/>
        <w:rPr>
          <w:rFonts w:ascii="Times New Roman" w:hAnsi="Times New Roman"/>
          <w:sz w:val="20"/>
        </w:rPr>
      </w:pPr>
      <w:r>
        <w:rPr>
          <w:rFonts w:ascii="Times New Roman" w:hAnsi="Times New Roman"/>
          <w:sz w:val="20"/>
        </w:rPr>
        <w:t xml:space="preserve">(h) any Tax (including any interest and penalties) incurred by either Company or a Subsidiary (or, following the Closing, by Buyer as a result of its ownership of such Company or Subsidiary) arising from the incorrect treatment of import VAT, including any failure to be correctly identified as the importer of record on any customs declaration or to hold sufficient evidence to support import VAT recovered, in each case by any Company or Subsidiary prior to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any Tax incurred by either Company or a Subsidiary (or, following the Closing, by Buyer as a result of its ownership of such Company or Subsidiary) (including any interest and penalties) arising from any Company or Subsidiary having made an excessive claim for double taxation relief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(j) any Tax incurred by either Company or a Subsidiary (or, following the Closing, by Buyer as a result of its ownership of such Company or Subsidiary) (including any interest and penalties) arising from the application of the UK controlled foreign companies rules to any Subsidiary prior to Closing; and </w:t>
      </w:r>
    </w:p>
    <w:p>
      <w:pPr>
        <w:pStyle w:val="TextBody"/>
        <w:bidi w:val="0"/>
        <w:spacing w:before="240" w:after="0"/>
        <w:jc w:val="left"/>
        <w:rPr>
          <w:rFonts w:ascii="Times New Roman" w:hAnsi="Times New Roman"/>
          <w:sz w:val="20"/>
        </w:rPr>
      </w:pPr>
      <w:r>
        <w:rPr>
          <w:rFonts w:ascii="Times New Roman" w:hAnsi="Times New Roman"/>
          <w:sz w:val="20"/>
        </w:rPr>
        <w:t xml:space="preserve">(k) any liability for Tax incurred by either of the Companies or a Subsidiary arising from the transfer by Michael David Loggie of any interest in the Company Capital Stock that takes place on or before the Closing. </w:t>
      </w:r>
    </w:p>
    <w:p>
      <w:pPr>
        <w:pStyle w:val="TextBody"/>
        <w:bidi w:val="0"/>
        <w:spacing w:before="240" w:after="0"/>
        <w:jc w:val="left"/>
        <w:rPr/>
      </w:pPr>
      <w:r>
        <w:rPr/>
        <w:t>“</w:t>
      </w:r>
      <w:r>
        <w:rPr>
          <w:rFonts w:ascii="Times New Roman" w:hAnsi="Times New Roman"/>
          <w:b/>
          <w:i/>
          <w:sz w:val="20"/>
        </w:rPr>
        <w:t>Straddle Period</w:t>
      </w:r>
      <w:r>
        <w:rPr>
          <w:rFonts w:ascii="Times New Roman" w:hAnsi="Times New Roman"/>
          <w:sz w:val="20"/>
        </w:rPr>
        <w:t xml:space="preserve">” means any Tax period beginning on or before and ending after the Closing Date. </w:t>
      </w:r>
    </w:p>
    <w:p>
      <w:pPr>
        <w:pStyle w:val="TextBody"/>
        <w:bidi w:val="0"/>
        <w:spacing w:before="240" w:after="0"/>
        <w:jc w:val="left"/>
        <w:rPr/>
      </w:pPr>
      <w:r>
        <w:rPr/>
        <w:t>“</w:t>
      </w:r>
      <w:r>
        <w:rPr>
          <w:rFonts w:ascii="Times New Roman" w:hAnsi="Times New Roman"/>
          <w:b/>
          <w:i/>
          <w:sz w:val="20"/>
        </w:rPr>
        <w:t>Subsidiaries</w:t>
      </w:r>
      <w:r>
        <w:rPr>
          <w:rFonts w:ascii="Times New Roman" w:hAnsi="Times New Roman"/>
          <w:sz w:val="20"/>
        </w:rPr>
        <w:t xml:space="preserve">” means any Person of which (A) a majority of the outstanding share capital, voting securities or other equity interests are owned, directly or indirectly, by either Company; or (B) either Company is entitled, directly or indirectly, to appoint a majority of the board of directors or managers or comparable supervisory body of such Person. </w:t>
      </w:r>
    </w:p>
    <w:p>
      <w:pPr>
        <w:pStyle w:val="TextBody"/>
        <w:bidi w:val="0"/>
        <w:spacing w:before="240" w:after="0"/>
        <w:jc w:val="left"/>
        <w:rPr/>
      </w:pPr>
      <w:r>
        <w:rPr/>
        <w:t>“</w:t>
      </w:r>
      <w:r>
        <w:rPr>
          <w:rFonts w:ascii="Times New Roman" w:hAnsi="Times New Roman"/>
          <w:b/>
          <w:i/>
          <w:sz w:val="20"/>
        </w:rPr>
        <w:t>Tax</w:t>
      </w:r>
      <w:r>
        <w:rPr>
          <w:rFonts w:ascii="Times New Roman" w:hAnsi="Times New Roman"/>
          <w:sz w:val="20"/>
        </w:rPr>
        <w:t>” or “</w:t>
      </w:r>
      <w:r>
        <w:rPr>
          <w:rFonts w:ascii="Times New Roman" w:hAnsi="Times New Roman"/>
          <w:b/>
          <w:i/>
          <w:sz w:val="20"/>
        </w:rPr>
        <w:t>Taxes</w:t>
      </w:r>
      <w:r>
        <w:rPr>
          <w:rFonts w:ascii="Times New Roman" w:hAnsi="Times New Roman"/>
          <w:sz w:val="20"/>
        </w:rPr>
        <w:t xml:space="preserve">” means any federal, state, local or non-U.S. net income, alternative or add-on minimum tax, estimated, gross income, net or gross receipts, net or gross proceeds, sales, use, service, ad valorem, value-added, transfer, franchise, capital, capital gains, capital stock, profits or windfall or excess profits, leasing, lease, occupation, gaming, goods and services, recording, turnover, license, withholding, payroll, employment, excise, severance, stamp, production, occupation, premium, property, unclaimed property, escheat, disability, registration, environmental or windfall profit tax, custom, duty or other imposition, in each case, in the nature of a tax imposed by any Governmental Authority, including national insurance contributions, apprenticeship levy and inheritance tax, and including any interest, penalties and additions to tax imposed with respect thereto, whether disputed or not. </w:t>
      </w:r>
    </w:p>
    <w:p>
      <w:pPr>
        <w:pStyle w:val="TextBody"/>
        <w:bidi w:val="0"/>
        <w:spacing w:before="240" w:after="0"/>
        <w:jc w:val="left"/>
        <w:rPr/>
      </w:pPr>
      <w:r>
        <w:rPr/>
        <w:t>“</w:t>
      </w:r>
      <w:r>
        <w:rPr>
          <w:rFonts w:ascii="Times New Roman" w:hAnsi="Times New Roman"/>
          <w:b/>
          <w:i/>
          <w:sz w:val="20"/>
        </w:rPr>
        <w:t>Tax Claim</w:t>
      </w:r>
      <w:r>
        <w:rPr>
          <w:rFonts w:ascii="Times New Roman" w:hAnsi="Times New Roman"/>
          <w:sz w:val="20"/>
        </w:rPr>
        <w:t xml:space="preserve">” means a claim for breach of the Tax Warranties and / or a Tax Indemnity Claim. </w:t>
      </w:r>
    </w:p>
    <w:p>
      <w:pPr>
        <w:pStyle w:val="TextBody"/>
        <w:bidi w:val="0"/>
        <w:spacing w:before="240" w:after="0"/>
        <w:jc w:val="left"/>
        <w:rPr/>
      </w:pPr>
      <w:r>
        <w:rPr/>
        <w:t>“</w:t>
      </w:r>
      <w:r>
        <w:rPr>
          <w:rFonts w:ascii="Times New Roman" w:hAnsi="Times New Roman"/>
          <w:b/>
          <w:i/>
          <w:sz w:val="20"/>
        </w:rPr>
        <w:t>Tax Contest</w:t>
      </w:r>
      <w:r>
        <w:rPr>
          <w:rFonts w:ascii="Times New Roman" w:hAnsi="Times New Roman"/>
          <w:sz w:val="20"/>
        </w:rPr>
        <w:t xml:space="preserve">” has the meaning set forth in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Tax Indemnity Claim</w:t>
      </w:r>
      <w:r>
        <w:rPr>
          <w:rFonts w:ascii="Times New Roman" w:hAnsi="Times New Roman"/>
          <w:sz w:val="20"/>
        </w:rPr>
        <w:t xml:space="preserve">” means a claim under </w:t>
      </w:r>
      <w:r>
        <w:rPr>
          <w:rFonts w:ascii="Times New Roman" w:hAnsi="Times New Roman"/>
          <w:sz w:val="20"/>
          <w:u w:val="single"/>
        </w:rPr>
        <w:t>Section 10.2(a)(i)</w:t>
      </w:r>
      <w:r>
        <w:rPr>
          <w:rFonts w:ascii="Times New Roman" w:hAnsi="Times New Roman"/>
          <w:sz w:val="20"/>
        </w:rPr>
        <w:t xml:space="preserve">, </w:t>
      </w:r>
      <w:r>
        <w:rPr>
          <w:rFonts w:ascii="Times New Roman" w:hAnsi="Times New Roman"/>
          <w:sz w:val="20"/>
          <w:u w:val="single"/>
        </w:rPr>
        <w:t>Section 10.2(a)(ii)</w:t>
      </w:r>
      <w:r>
        <w:rPr>
          <w:rFonts w:ascii="Times New Roman" w:hAnsi="Times New Roman"/>
          <w:sz w:val="20"/>
        </w:rPr>
        <w:t xml:space="preserve">, or any other claim under </w:t>
      </w:r>
      <w:r>
        <w:rPr>
          <w:rFonts w:ascii="Times New Roman" w:hAnsi="Times New Roman"/>
          <w:sz w:val="20"/>
          <w:u w:val="single"/>
        </w:rPr>
        <w:t>Section 10.2</w:t>
      </w:r>
      <w:r>
        <w:rPr>
          <w:rFonts w:ascii="Times New Roman" w:hAnsi="Times New Roman"/>
          <w:sz w:val="20"/>
        </w:rPr>
        <w:t xml:space="preserve"> in respect of Tax. </w:t>
      </w:r>
    </w:p>
    <w:p>
      <w:pPr>
        <w:pStyle w:val="TextBody"/>
        <w:bidi w:val="0"/>
        <w:spacing w:before="240" w:after="0"/>
        <w:jc w:val="left"/>
        <w:rPr/>
      </w:pPr>
      <w:r>
        <w:rPr/>
        <w:t>“</w:t>
      </w:r>
      <w:r>
        <w:rPr>
          <w:rFonts w:ascii="Times New Roman" w:hAnsi="Times New Roman"/>
          <w:b/>
          <w:i/>
          <w:sz w:val="20"/>
        </w:rPr>
        <w:t>Tax Returns</w:t>
      </w:r>
      <w:r>
        <w:rPr>
          <w:rFonts w:ascii="Times New Roman" w:hAnsi="Times New Roman"/>
          <w:sz w:val="20"/>
        </w:rPr>
        <w:t xml:space="preserve">” means all returns, declarations, claims for refund, information returns, statements and reports, including amendments and supporting schedules and attachments, filed or required to be filed in respect of Taxes. </w:t>
      </w:r>
    </w:p>
    <w:p>
      <w:pPr>
        <w:pStyle w:val="TextBody"/>
        <w:bidi w:val="0"/>
        <w:spacing w:before="240" w:after="0"/>
        <w:jc w:val="left"/>
        <w:rPr/>
      </w:pPr>
      <w:r>
        <w:rPr/>
        <w:t>“</w:t>
      </w:r>
      <w:r>
        <w:rPr>
          <w:rFonts w:ascii="Times New Roman" w:hAnsi="Times New Roman"/>
          <w:b/>
          <w:i/>
          <w:sz w:val="20"/>
        </w:rPr>
        <w:t>Tax Warranties</w:t>
      </w:r>
      <w:r>
        <w:rPr>
          <w:rFonts w:ascii="Times New Roman" w:hAnsi="Times New Roman"/>
          <w:sz w:val="20"/>
        </w:rPr>
        <w:t xml:space="preserve">” means the warranties set forth in </w:t>
      </w:r>
      <w:r>
        <w:rPr>
          <w:rFonts w:ascii="Times New Roman" w:hAnsi="Times New Roman"/>
          <w:sz w:val="20"/>
          <w:u w:val="single"/>
        </w:rPr>
        <w:t>Section 4.6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Taxing Authority</w:t>
      </w:r>
      <w:r>
        <w:rPr>
          <w:rFonts w:ascii="Times New Roman" w:hAnsi="Times New Roman"/>
          <w:sz w:val="20"/>
        </w:rPr>
        <w:t xml:space="preserve">” means any Governmental Authority responsible for the administration or imposition of any Tax. </w:t>
      </w:r>
    </w:p>
    <w:p>
      <w:pPr>
        <w:pStyle w:val="TextBody"/>
        <w:bidi w:val="0"/>
        <w:spacing w:before="240" w:after="0"/>
        <w:jc w:val="left"/>
        <w:rPr/>
      </w:pPr>
      <w:r>
        <w:rPr/>
        <w:t>“</w:t>
      </w:r>
      <w:r>
        <w:rPr>
          <w:rFonts w:ascii="Times New Roman" w:hAnsi="Times New Roman"/>
          <w:b/>
          <w:i/>
          <w:sz w:val="20"/>
        </w:rPr>
        <w:t>Third-Party Claim</w:t>
      </w:r>
      <w:r>
        <w:rPr>
          <w:rFonts w:ascii="Times New Roman" w:hAnsi="Times New Roman"/>
          <w:sz w:val="20"/>
        </w:rPr>
        <w:t xml:space="preserve">” has the meaning set forth in </w:t>
      </w:r>
      <w:r>
        <w:rPr>
          <w:rFonts w:ascii="Times New Roman" w:hAnsi="Times New Roman"/>
          <w:sz w:val="20"/>
          <w:u w:val="single"/>
        </w:rPr>
        <w:t>Section 10.3(a)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i/>
          <w:sz w:val="20"/>
        </w:rPr>
        <w:t>Trustee Seller</w:t>
      </w:r>
      <w:r>
        <w:rPr>
          <w:rFonts w:ascii="Times New Roman" w:hAnsi="Times New Roman"/>
          <w:sz w:val="20"/>
        </w:rPr>
        <w:t xml:space="preserve">” means Optimus Corporate Services Limited (formerly Tenon (IOM) Corporate Services Ltd), in its capacity as trustee of the Cansco Limited Employee Trust 2007. </w:t>
      </w:r>
    </w:p>
    <w:p>
      <w:pPr>
        <w:pStyle w:val="TextBody"/>
        <w:bidi w:val="0"/>
        <w:spacing w:before="240" w:after="0"/>
        <w:jc w:val="left"/>
        <w:rPr/>
      </w:pPr>
      <w:r>
        <w:rPr/>
        <w:t>“</w:t>
      </w:r>
      <w:r>
        <w:rPr>
          <w:rFonts w:ascii="Times New Roman" w:hAnsi="Times New Roman"/>
          <w:b/>
          <w:i/>
          <w:sz w:val="20"/>
        </w:rPr>
        <w:t>W&amp;I Policy</w:t>
      </w:r>
      <w:r>
        <w:rPr>
          <w:rFonts w:ascii="Times New Roman" w:hAnsi="Times New Roman"/>
          <w:sz w:val="20"/>
        </w:rPr>
        <w:t xml:space="preserve">” means the buyer-side warranty and indemnity insurance policy in the Agreed Form issued to Buyer in connection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p>
    <w:p>
      <w:pPr>
        <w:pStyle w:val="TextBody"/>
        <w:bidi w:val="0"/>
        <w:spacing w:before="0" w:after="0"/>
        <w:jc w:val="right"/>
        <w:rPr>
          <w:rFonts w:ascii="Times New Roman" w:hAnsi="Times New Roman"/>
          <w:b/>
          <w:sz w:val="20"/>
        </w:rPr>
      </w:pPr>
      <w:bookmarkStart w:id="4" w:name="d168409dex101.htm"/>
      <w:bookmarkStart w:id="5" w:name="ksd168409dex101"/>
      <w:bookmarkEnd w:id="4"/>
      <w:bookmarkEnd w:id="5"/>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Executed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LOCK-UP AND INVESTOR RIGHTS AGREEMENT </w:t>
      </w:r>
    </w:p>
    <w:p>
      <w:pPr>
        <w:pStyle w:val="TextBody"/>
        <w:bidi w:val="0"/>
        <w:spacing w:before="240" w:after="0"/>
        <w:jc w:val="left"/>
        <w:rPr>
          <w:rFonts w:ascii="Times New Roman" w:hAnsi="Times New Roman"/>
          <w:sz w:val="20"/>
        </w:rPr>
      </w:pPr>
      <w:r>
        <w:rPr>
          <w:rFonts w:ascii="Times New Roman" w:hAnsi="Times New Roman"/>
          <w:sz w:val="20"/>
        </w:rPr>
        <w:t>This LOCK-UP AND INVESTOR RIGHTS AGREEMENT is made as a deed and as of October 8, 2026 (this “</w:t>
      </w:r>
      <w:r>
        <w:rPr>
          <w:rFonts w:ascii="Times New Roman" w:hAnsi="Times New Roman"/>
          <w:sz w:val="20"/>
          <w:u w:val="single"/>
        </w:rPr>
        <w:t>Agreement</w:t>
      </w:r>
      <w:r>
        <w:rPr>
          <w:rFonts w:ascii="Times New Roman" w:hAnsi="Times New Roman"/>
          <w:sz w:val="20"/>
        </w:rPr>
        <w:t>”) among Drilling Tools International Corporation, a Delaware corporation (the “</w:t>
      </w:r>
      <w:r>
        <w:rPr>
          <w:rFonts w:ascii="Times New Roman" w:hAnsi="Times New Roman"/>
          <w:sz w:val="20"/>
          <w:u w:val="single"/>
        </w:rPr>
        <w:t>Company</w:t>
      </w:r>
      <w:r>
        <w:rPr>
          <w:rFonts w:ascii="Times New Roman" w:hAnsi="Times New Roman"/>
          <w:sz w:val="20"/>
        </w:rPr>
        <w:t>”), and the Sellers party hereto (each a “</w:t>
      </w:r>
      <w:r>
        <w:rPr>
          <w:rFonts w:ascii="Times New Roman" w:hAnsi="Times New Roman"/>
          <w:sz w:val="20"/>
          <w:u w:val="single"/>
        </w:rPr>
        <w:t>Seller</w:t>
      </w:r>
      <w:r>
        <w:rPr>
          <w:rFonts w:ascii="Times New Roman" w:hAnsi="Times New Roman"/>
          <w:sz w:val="20"/>
        </w:rPr>
        <w:t>” and collectively, the “</w:t>
      </w:r>
      <w:r>
        <w:rPr>
          <w:rFonts w:ascii="Times New Roman" w:hAnsi="Times New Roman"/>
          <w:sz w:val="20"/>
          <w:u w:val="single"/>
        </w:rPr>
        <w:t>Sellers</w:t>
      </w:r>
      <w:r>
        <w:rPr>
          <w:rFonts w:ascii="Times New Roman" w:hAnsi="Times New Roman"/>
          <w:sz w:val="20"/>
        </w:rPr>
        <w:t>”), with Jack William Loggie acting as the Seller Representative for purposes of exercising the Sellers’ rights under this Agreement (the “</w:t>
      </w:r>
      <w:r>
        <w:rPr>
          <w:rFonts w:ascii="Times New Roman" w:hAnsi="Times New Roman"/>
          <w:sz w:val="20"/>
          <w:u w:val="single"/>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Casing Technologies Group Limited (“</w:t>
      </w:r>
      <w:r>
        <w:rPr>
          <w:rFonts w:ascii="Times New Roman" w:hAnsi="Times New Roman"/>
          <w:sz w:val="20"/>
          <w:u w:val="single"/>
        </w:rPr>
        <w:t>Buyer</w:t>
      </w:r>
      <w:r>
        <w:rPr>
          <w:rFonts w:ascii="Times New Roman" w:hAnsi="Times New Roman"/>
          <w:sz w:val="20"/>
        </w:rPr>
        <w:t>”), Saltire Energy Limited (“</w:t>
      </w:r>
      <w:r>
        <w:rPr>
          <w:rFonts w:ascii="Times New Roman" w:hAnsi="Times New Roman"/>
          <w:sz w:val="20"/>
          <w:u w:val="single"/>
        </w:rPr>
        <w:t>Saltire</w:t>
      </w:r>
      <w:r>
        <w:rPr>
          <w:rFonts w:ascii="Times New Roman" w:hAnsi="Times New Roman"/>
          <w:sz w:val="20"/>
        </w:rPr>
        <w:t>”), Foxley Energy Limited (“</w:t>
      </w:r>
      <w:r>
        <w:rPr>
          <w:rFonts w:ascii="Times New Roman" w:hAnsi="Times New Roman"/>
          <w:sz w:val="20"/>
          <w:u w:val="single"/>
        </w:rPr>
        <w:t>Foxley</w:t>
      </w:r>
      <w:r>
        <w:rPr>
          <w:rFonts w:ascii="Times New Roman" w:hAnsi="Times New Roman"/>
          <w:sz w:val="20"/>
        </w:rPr>
        <w:t>”), the Sellers and Jack William Loggie, solely in his capacity as the Seller Representative, are parties to that certain Share Purchase Agreement dated October 8, 2026 (the “</w:t>
      </w:r>
      <w:r>
        <w:rPr>
          <w:rFonts w:ascii="Times New Roman" w:hAnsi="Times New Roman"/>
          <w:sz w:val="20"/>
          <w:u w:val="single"/>
        </w:rPr>
        <w:t>Share Purchase Agreement</w:t>
      </w:r>
      <w:r>
        <w:rPr>
          <w:rFonts w:ascii="Times New Roman" w:hAnsi="Times New Roman"/>
          <w:sz w:val="20"/>
        </w:rPr>
        <w:t>”), pursuant to which Buyer agreed to acquire from the Sellers all of the issued and outstanding equity interests of Saltire and Foxley in exchange for, among other things, Consideration Loan Notes which, pursuant to the Rollover Documents, are to be rolled over into 17,355,139 shares of Common Stock (such shares, the “</w:t>
      </w:r>
      <w:r>
        <w:rPr>
          <w:rFonts w:ascii="Times New Roman" w:hAnsi="Times New Roman"/>
          <w:sz w:val="20"/>
          <w:u w:val="single"/>
        </w:rPr>
        <w:t>Lock-Up Shares</w:t>
      </w:r>
      <w:r>
        <w:rPr>
          <w:rFonts w:ascii="Times New Roman" w:hAnsi="Times New Roman"/>
          <w:sz w:val="20"/>
        </w:rPr>
        <w:t xml:space="preserve">”), on the terms and subject to the conditions set forth therein, and the Company has agreed to execute and deliver this Agreement in connection with the issuance of the Lock-Up Shares to the Sellers;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concurrently with the execution and delivery of the Share Purchase Agreement, the Company and the Sellers are entering into this Agreement for the purposes of setting forth their agreement and understanding relating to the ownership by the Sellers of the Lock-Up Shares and certain other matters.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representations, warranties and agreements contained in this Agreement, and other good and valuable consideration, the receipt and sufficiency of which are hereby acknowledged, and intending to be legally bound hereby, the Parties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means any claim, action, suit, arbitration or proceeding by or before any Governmental Authority, court, tribunal or arbitration body. </w:t>
      </w:r>
    </w:p>
    <w:p>
      <w:pPr>
        <w:pStyle w:val="TextBody"/>
        <w:bidi w:val="0"/>
        <w:spacing w:before="240" w:after="0"/>
        <w:jc w:val="left"/>
        <w:rPr/>
      </w:pPr>
      <w:r>
        <w:rPr/>
        <w:t>“</w:t>
      </w:r>
      <w:r>
        <w:rPr>
          <w:rFonts w:ascii="Times New Roman" w:hAnsi="Times New Roman"/>
          <w:sz w:val="20"/>
          <w:u w:val="single"/>
        </w:rPr>
        <w:t>Adverse Disclosure</w:t>
      </w:r>
      <w:r>
        <w:rPr>
          <w:rFonts w:ascii="Times New Roman" w:hAnsi="Times New Roman"/>
          <w:sz w:val="20"/>
        </w:rPr>
        <w:t xml:space="preserve">” means public disclosure of material non-public information that, in the good faith judgment of the Company (after consultation with legal counsel): (a) would be required to be made in any Registration Statement filed with the SEC by the Company so that such Registration Statement would not be materially misleading; (b) would not be required to be made at such time but for the filing, effectiveness or continued use of such Registration Statement; and (c) the Company has a bona fide business purpose for not disclosing publicly.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in relation to a Person, any other Person that, directly or indirectly, through one or more intermediaries, controls or is controlled by or is under common control with such Person, in each case from time to time. The term “control” means the possession, directly or indirectly, of the power to direct or cause the direction of the management and policies of a Person, whether through the ownership of voting securities, by contract or otherwise, including the ability to elect at least a majority of the members of the board of directors or other governing body of a Person, and the terms “controlled” and “controlling” have correlative meanings.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ascribed to such term in the preamble.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beneficial owner</w:t>
      </w:r>
      <w:r>
        <w:rPr>
          <w:rFonts w:ascii="Times New Roman" w:hAnsi="Times New Roman"/>
          <w:sz w:val="20"/>
        </w:rPr>
        <w:t xml:space="preserve">”, “beneficially own” or “beneficial ownership” has the meaning assigned to such term in Rule 13d-3 under the Securities Exchange Act, and a Person’s beneficial ownership of securities shall be calculated in accordance with the provisions of such Rule;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in Rule 13d-3(d)(1)(i) to the contrary, the determination of the “beneficial owner” or “beneficial ownership” shall be made after giving effect to the conversion of all options, warrants, rights and convertible or other similar securities outstanding as of any date in question.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 day on which banks are generally open for normal business in New York, New York which day is not a Saturday or a Sunday. </w:t>
      </w:r>
    </w:p>
    <w:p>
      <w:pPr>
        <w:pStyle w:val="TextBody"/>
        <w:bidi w:val="0"/>
        <w:spacing w:before="240" w:after="0"/>
        <w:jc w:val="left"/>
        <w:rPr/>
      </w:pPr>
      <w:r>
        <w:rPr/>
        <w:t>“</w:t>
      </w:r>
      <w:r>
        <w:rPr>
          <w:rFonts w:ascii="Times New Roman" w:hAnsi="Times New Roman"/>
          <w:sz w:val="20"/>
          <w:u w:val="single"/>
        </w:rPr>
        <w:t>Bylaws</w:t>
      </w:r>
      <w:r>
        <w:rPr>
          <w:rFonts w:ascii="Times New Roman" w:hAnsi="Times New Roman"/>
          <w:sz w:val="20"/>
        </w:rPr>
        <w:t xml:space="preserve">” means the Amended and Restated bylaws of the Company, as amended from time to time. </w:t>
      </w:r>
    </w:p>
    <w:p>
      <w:pPr>
        <w:pStyle w:val="TextBody"/>
        <w:bidi w:val="0"/>
        <w:spacing w:before="240" w:after="0"/>
        <w:jc w:val="left"/>
        <w:rPr/>
      </w:pPr>
      <w:r>
        <w:rPr/>
        <w:t>“</w:t>
      </w:r>
      <w:r>
        <w:rPr>
          <w:rFonts w:ascii="Times New Roman" w:hAnsi="Times New Roman"/>
          <w:sz w:val="20"/>
          <w:u w:val="single"/>
        </w:rPr>
        <w:t>Charter</w:t>
      </w:r>
      <w:r>
        <w:rPr>
          <w:rFonts w:ascii="Times New Roman" w:hAnsi="Times New Roman"/>
          <w:sz w:val="20"/>
        </w:rPr>
        <w:t xml:space="preserve">” means the Second Amended and Restated Certificate of Incorporation of the Company, as amended from time to time. </w:t>
      </w:r>
    </w:p>
    <w:p>
      <w:pPr>
        <w:pStyle w:val="TextBody"/>
        <w:bidi w:val="0"/>
        <w:spacing w:before="240" w:after="0"/>
        <w:jc w:val="left"/>
        <w:rPr/>
      </w:pPr>
      <w:r>
        <w:rPr/>
        <w:t>“</w:t>
      </w:r>
      <w:r>
        <w:rPr>
          <w:rFonts w:ascii="Times New Roman" w:hAnsi="Times New Roman"/>
          <w:sz w:val="20"/>
          <w:u w:val="single"/>
        </w:rPr>
        <w:t>Common Stock</w:t>
      </w:r>
      <w:r>
        <w:rPr>
          <w:rFonts w:ascii="Times New Roman" w:hAnsi="Times New Roman"/>
          <w:sz w:val="20"/>
        </w:rPr>
        <w:t xml:space="preserve">” means the common stock, par value $0.0001 per share, of the Company and any and all securities of any kind whatsoever of the Company which may be issued after the date of this Agreement in respect of, or in exchange for, such shares of common stock of the Company pursuant to a merger, consolidation, stock split, stock dividend or recapitalization of the Company or otherwise. </w:t>
      </w:r>
    </w:p>
    <w:p>
      <w:pPr>
        <w:pStyle w:val="TextBody"/>
        <w:bidi w:val="0"/>
        <w:spacing w:before="240" w:after="0"/>
        <w:jc w:val="left"/>
        <w:rPr/>
      </w:pPr>
      <w:r>
        <w:rPr/>
        <w:t>“</w:t>
      </w:r>
      <w:r>
        <w:rPr>
          <w:rFonts w:ascii="Times New Roman" w:hAnsi="Times New Roman"/>
          <w:sz w:val="20"/>
          <w:u w:val="single"/>
        </w:rPr>
        <w:t>Consideration Loan Notes</w:t>
      </w:r>
      <w:r>
        <w:rPr>
          <w:rFonts w:ascii="Times New Roman" w:hAnsi="Times New Roman"/>
          <w:sz w:val="20"/>
        </w:rPr>
        <w:t xml:space="preserve">” has the meaning ascribed to such term in the Share Purchase Agreement.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and “</w:t>
      </w:r>
      <w:r>
        <w:rPr>
          <w:rFonts w:ascii="Times New Roman" w:hAnsi="Times New Roman"/>
          <w:sz w:val="20"/>
          <w:u w:val="single"/>
        </w:rPr>
        <w:t>Closing Date</w:t>
      </w:r>
      <w:r>
        <w:rPr>
          <w:rFonts w:ascii="Times New Roman" w:hAnsi="Times New Roman"/>
          <w:sz w:val="20"/>
        </w:rPr>
        <w:t xml:space="preserve">” have the meanings ascribed to such terms in the Share Purchase Agreement.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ascribed to such term in the preamble.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lease, sublease, license, sublicense, indenture, agreement, commitment or other legally binding arrangement, whether oral or written, and including all amendments and supplements thereto. </w:t>
      </w:r>
    </w:p>
    <w:p>
      <w:pPr>
        <w:pStyle w:val="TextBody"/>
        <w:bidi w:val="0"/>
        <w:spacing w:before="240" w:after="0"/>
        <w:jc w:val="left"/>
        <w:rPr/>
      </w:pPr>
      <w:r>
        <w:rPr/>
        <w:t>“</w:t>
      </w:r>
      <w:r>
        <w:rPr>
          <w:rFonts w:ascii="Times New Roman" w:hAnsi="Times New Roman"/>
          <w:sz w:val="20"/>
          <w:u w:val="single"/>
        </w:rPr>
        <w:t>First Fall-Away Event</w:t>
      </w:r>
      <w:r>
        <w:rPr>
          <w:rFonts w:ascii="Times New Roman" w:hAnsi="Times New Roman"/>
          <w:sz w:val="20"/>
        </w:rPr>
        <w:t xml:space="preserve">” has the meaning ascribed to such term in </w:t>
      </w:r>
      <w:r>
        <w:rPr>
          <w:rFonts w:ascii="Times New Roman" w:hAnsi="Times New Roman"/>
          <w:sz w:val="20"/>
          <w:u w:val="single"/>
        </w:rPr>
        <w:t>Section 5.3(a)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FINRA</w:t>
      </w:r>
      <w:r>
        <w:rPr>
          <w:rFonts w:ascii="Times New Roman" w:hAnsi="Times New Roman"/>
          <w:sz w:val="20"/>
        </w:rPr>
        <w:t xml:space="preserve">” means the Financial Industry Regulatory Authority, Inc. </w:t>
      </w:r>
    </w:p>
    <w:p>
      <w:pPr>
        <w:pStyle w:val="TextBody"/>
        <w:bidi w:val="0"/>
        <w:spacing w:before="240" w:after="0"/>
        <w:jc w:val="left"/>
        <w:rPr/>
      </w:pPr>
      <w:r>
        <w:rPr/>
        <w:t>“</w:t>
      </w:r>
      <w:r>
        <w:rPr>
          <w:rFonts w:ascii="Times New Roman" w:hAnsi="Times New Roman"/>
          <w:sz w:val="20"/>
          <w:u w:val="single"/>
        </w:rPr>
        <w:t>Form S-3</w:t>
      </w:r>
      <w:r>
        <w:rPr>
          <w:rFonts w:ascii="Times New Roman" w:hAnsi="Times New Roman"/>
          <w:sz w:val="20"/>
        </w:rPr>
        <w:t xml:space="preserve">” means a registration statement on Form S-3 or any successor form thereto promulgated under the Securities Act.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competent governmental, administrative, supervisory, regulatory, judicial, disciplinary, enforcement or tax raising body, authority, agency, commission, board, organization, court or tribunal of any jurisdiction, whether international, supranational, national, federal, state or regional or local and any subdivision, department or branch of any of the foregoing. </w:t>
      </w:r>
    </w:p>
    <w:p>
      <w:pPr>
        <w:pStyle w:val="TextBody"/>
        <w:bidi w:val="0"/>
        <w:spacing w:before="240" w:after="0"/>
        <w:jc w:val="left"/>
        <w:rPr/>
      </w:pPr>
      <w:r>
        <w:rPr/>
        <w:t>“</w:t>
      </w:r>
      <w:r>
        <w:rPr>
          <w:rFonts w:ascii="Times New Roman" w:hAnsi="Times New Roman"/>
          <w:sz w:val="20"/>
          <w:u w:val="single"/>
        </w:rPr>
        <w:t>Group</w:t>
      </w:r>
      <w:r>
        <w:rPr>
          <w:rFonts w:ascii="Times New Roman" w:hAnsi="Times New Roman"/>
          <w:sz w:val="20"/>
        </w:rPr>
        <w:t xml:space="preserve">” has the meaning ascribed thereto in Section 13(d)(3) of the Securities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Holder</w:t>
      </w:r>
      <w:r>
        <w:rPr>
          <w:rFonts w:ascii="Times New Roman" w:hAnsi="Times New Roman"/>
          <w:sz w:val="20"/>
        </w:rPr>
        <w:t xml:space="preserve">” means each Seller Party holding Registrable Securities.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or “</w:t>
      </w:r>
      <w:r>
        <w:rPr>
          <w:rFonts w:ascii="Times New Roman" w:hAnsi="Times New Roman"/>
          <w:sz w:val="20"/>
          <w:u w:val="single"/>
        </w:rPr>
        <w:t>Laws</w:t>
      </w:r>
      <w:r>
        <w:rPr>
          <w:rFonts w:ascii="Times New Roman" w:hAnsi="Times New Roman"/>
          <w:sz w:val="20"/>
        </w:rPr>
        <w:t xml:space="preserve">” means all applicable laws, statutes, ordinances, regulations, rules, codes, orders, judgments and other requirements having the force of law, in each case of any Governmental Authority, and any judicial or administrative interpretation thereof. </w:t>
      </w:r>
    </w:p>
    <w:p>
      <w:pPr>
        <w:pStyle w:val="TextBody"/>
        <w:bidi w:val="0"/>
        <w:spacing w:before="240" w:after="0"/>
        <w:jc w:val="left"/>
        <w:rPr/>
      </w:pPr>
      <w:r>
        <w:rPr/>
        <w:t>“</w:t>
      </w:r>
      <w:r>
        <w:rPr>
          <w:rFonts w:ascii="Times New Roman" w:hAnsi="Times New Roman"/>
          <w:sz w:val="20"/>
          <w:u w:val="single"/>
        </w:rPr>
        <w:t>Lock-Up Period</w:t>
      </w:r>
      <w:r>
        <w:rPr>
          <w:rFonts w:ascii="Times New Roman" w:hAnsi="Times New Roman"/>
          <w:sz w:val="20"/>
        </w:rPr>
        <w:t xml:space="preserve">” has the meaning ascribed to such term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Lock-Up Shares</w:t>
      </w:r>
      <w:r>
        <w:rPr>
          <w:rFonts w:ascii="Times New Roman" w:hAnsi="Times New Roman"/>
          <w:sz w:val="20"/>
        </w:rPr>
        <w:t xml:space="preserve">” has the meaning ascribed to such term in the recitals. </w:t>
      </w:r>
    </w:p>
    <w:p>
      <w:pPr>
        <w:pStyle w:val="TextBody"/>
        <w:bidi w:val="0"/>
        <w:spacing w:before="240" w:after="0"/>
        <w:jc w:val="left"/>
        <w:rPr/>
      </w:pPr>
      <w:r>
        <w:rPr/>
        <w:t>“</w:t>
      </w:r>
      <w:r>
        <w:rPr>
          <w:rFonts w:ascii="Times New Roman" w:hAnsi="Times New Roman"/>
          <w:sz w:val="20"/>
          <w:u w:val="single"/>
        </w:rPr>
        <w:t>Losses</w:t>
      </w:r>
      <w:r>
        <w:rPr>
          <w:rFonts w:ascii="Times New Roman" w:hAnsi="Times New Roman"/>
          <w:sz w:val="20"/>
        </w:rPr>
        <w:t xml:space="preserve">” means all losses, claims, damages, liabilities, costs, expenses (including reasonable expenses of investigation and reasonable and documented attorneys’ fees and expenses), judgments, fines, penalties, charges and amounts paid in settlement and other liabilities, joint or several (or actions in respect thereof). </w:t>
      </w:r>
    </w:p>
    <w:p>
      <w:pPr>
        <w:pStyle w:val="TextBody"/>
        <w:bidi w:val="0"/>
        <w:spacing w:before="240" w:after="0"/>
        <w:jc w:val="left"/>
        <w:rPr/>
      </w:pPr>
      <w:r>
        <w:rPr/>
        <w:t>“</w:t>
      </w:r>
      <w:r>
        <w:rPr>
          <w:rFonts w:ascii="Times New Roman" w:hAnsi="Times New Roman"/>
          <w:sz w:val="20"/>
          <w:u w:val="single"/>
        </w:rPr>
        <w:t>Merger Transaction</w:t>
      </w:r>
      <w:r>
        <w:rPr>
          <w:rFonts w:ascii="Times New Roman" w:hAnsi="Times New Roman"/>
          <w:sz w:val="20"/>
        </w:rPr>
        <w:t xml:space="preserve">” means any transaction or series of related transactions involving: (i) any acquisition (whether direct or indirect, including by way of merger, share exchange, consolidation, business combination or other similar transaction) or purchase from the Company or any of its Subsidiaries that would result in any Person or Group beneficially owning more than 50% of the total outstanding securities of the Company (measured by voting power or economic interest), or (ii) any tender offer, exchange offer or other secondary acquisition that would result in any Person or Group beneficially owning more than 50% of the total outstanding securities of the Company (measured by voting power or economic interest). </w:t>
      </w:r>
    </w:p>
    <w:p>
      <w:pPr>
        <w:pStyle w:val="TextBody"/>
        <w:bidi w:val="0"/>
        <w:spacing w:before="240" w:after="0"/>
        <w:jc w:val="left"/>
        <w:rPr/>
      </w:pPr>
      <w:r>
        <w:rPr/>
        <w:t>“</w:t>
      </w:r>
      <w:r>
        <w:rPr>
          <w:rFonts w:ascii="Times New Roman" w:hAnsi="Times New Roman"/>
          <w:sz w:val="20"/>
          <w:u w:val="single"/>
        </w:rPr>
        <w:t>MNPI</w:t>
      </w:r>
      <w:r>
        <w:rPr>
          <w:rFonts w:ascii="Times New Roman" w:hAnsi="Times New Roman"/>
          <w:sz w:val="20"/>
        </w:rPr>
        <w:t xml:space="preserve">” means material non-public information concerning the Company and its securities.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sz w:val="20"/>
          <w:u w:val="single"/>
        </w:rPr>
        <w:t>Parties</w:t>
      </w:r>
      <w:r>
        <w:rPr>
          <w:rFonts w:ascii="Times New Roman" w:hAnsi="Times New Roman"/>
          <w:sz w:val="20"/>
        </w:rPr>
        <w:t xml:space="preserve">” has the meaning ascribed to such term in the preamble. </w:t>
      </w:r>
    </w:p>
    <w:p>
      <w:pPr>
        <w:pStyle w:val="TextBody"/>
        <w:bidi w:val="0"/>
        <w:spacing w:before="240" w:after="0"/>
        <w:jc w:val="left"/>
        <w:rPr/>
      </w:pPr>
      <w:r>
        <w:rPr/>
        <w:t>“</w:t>
      </w:r>
      <w:r>
        <w:rPr>
          <w:rFonts w:ascii="Times New Roman" w:hAnsi="Times New Roman"/>
          <w:sz w:val="20"/>
          <w:u w:val="single"/>
        </w:rPr>
        <w:t>Permitted Transfer</w:t>
      </w:r>
      <w:r>
        <w:rPr>
          <w:rFonts w:ascii="Times New Roman" w:hAnsi="Times New Roman"/>
          <w:sz w:val="20"/>
        </w:rPr>
        <w:t xml:space="preserve">” has the meaning ascribed to such term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Transferee</w:t>
      </w:r>
      <w:r>
        <w:rPr>
          <w:rFonts w:ascii="Times New Roman" w:hAnsi="Times New Roman"/>
          <w:sz w:val="20"/>
        </w:rPr>
        <w:t xml:space="preserve">” means (i) any other Seller, (ii) any Affiliate of a Seller, (iii) any immediate family member of a Seller (including any spouse, domestic partner, parent, grandparent, child, grandchild or sibling of a Seller), (iv) any trust, family limited partnership or other estate planning vehicle for the benefit of a Seller or any immediate family member of a Seller, (v) any individual retirement account, pension plan or other retirement account for the benefit of a Seller, or (vi) any entity wholly owned by a Seller or any immediate family member of a Seller. Each Permitted Transferee shall, subject to delivery of the joinder contemplated by </w:t>
      </w:r>
      <w:r>
        <w:rPr>
          <w:rFonts w:ascii="Times New Roman" w:hAnsi="Times New Roman"/>
          <w:sz w:val="20"/>
          <w:u w:val="single"/>
        </w:rPr>
        <w:t>Section 2.1(b)(i)</w:t>
      </w:r>
      <w:r>
        <w:rPr>
          <w:rFonts w:ascii="Times New Roman" w:hAnsi="Times New Roman"/>
          <w:sz w:val="20"/>
        </w:rPr>
        <w:t xml:space="preserve">, become a party to this Agreement upon transfer and shall be entitled to all rights and subject to all obligations of the applicable Seller, including the right to further transfer to its own Permitted Transferees.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company, corporation, partnership, limited liability company, trust, body corporate (wherever located) or other entity, organization or unincorporated association, including any Governmental Authority. </w:t>
      </w:r>
    </w:p>
    <w:p>
      <w:pPr>
        <w:pStyle w:val="TextBody"/>
        <w:bidi w:val="0"/>
        <w:spacing w:before="240" w:after="0"/>
        <w:jc w:val="left"/>
        <w:rPr/>
      </w:pPr>
      <w:r>
        <w:rPr/>
        <w:t>“</w:t>
      </w:r>
      <w:r>
        <w:rPr>
          <w:rFonts w:ascii="Times New Roman" w:hAnsi="Times New Roman"/>
          <w:sz w:val="20"/>
          <w:u w:val="single"/>
        </w:rPr>
        <w:t>Reference Price</w:t>
      </w:r>
      <w:r>
        <w:rPr>
          <w:rFonts w:ascii="Times New Roman" w:hAnsi="Times New Roman"/>
          <w:sz w:val="20"/>
        </w:rPr>
        <w:t xml:space="preserve">” means $3.49 per share. </w:t>
      </w:r>
    </w:p>
    <w:p>
      <w:pPr>
        <w:pStyle w:val="TextBody"/>
        <w:bidi w:val="0"/>
        <w:spacing w:before="240" w:after="0"/>
        <w:jc w:val="left"/>
        <w:rPr/>
      </w:pPr>
      <w:r>
        <w:rPr/>
        <w:t>“</w:t>
      </w:r>
      <w:r>
        <w:rPr>
          <w:rFonts w:ascii="Times New Roman" w:hAnsi="Times New Roman"/>
          <w:sz w:val="20"/>
          <w:u w:val="single"/>
        </w:rPr>
        <w:t>Registration Statement</w:t>
      </w:r>
      <w:r>
        <w:rPr>
          <w:rFonts w:ascii="Times New Roman" w:hAnsi="Times New Roman"/>
          <w:sz w:val="20"/>
        </w:rPr>
        <w:t xml:space="preserve">” means any registration statement of the Company filed with, or to be filed with, the SEC under the rules and regulations promulgated under the Securities Act (other than a Registration Statement on Form S-4 or Form S-8, or any successor forms thereto, promulgated under the Securities Act), including the related prospectus, amendments and supplements to such registration statement, including pre- and post-effective amendments, and all exhibits and material incorporated by reference in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Registrable Amount</w:t>
      </w:r>
      <w:r>
        <w:rPr>
          <w:rFonts w:ascii="Times New Roman" w:hAnsi="Times New Roman"/>
          <w:sz w:val="20"/>
        </w:rPr>
        <w:t xml:space="preserve">” means an amount of Registrable Securities having an aggregate value of at least $15 million (based on the volume-weighted average price per share of Common Stock on Nasdaq (or, if the Common Stock is not then listed on Nasdaq, on the principal national securities exchange on which the Common Stock is then listed) over the ten (10) consecutive trading days ending on the trading day immediately preceding the date of the applicable Demand, Take-Down Notice or other request giving rise to the determination), without regard to any underwriting discount or commission, or such lesser amount of Registrable Securities as would result in the disposition of all of the Registrable Securities beneficially owned by the Seller Parties. </w:t>
      </w:r>
    </w:p>
    <w:p>
      <w:pPr>
        <w:pStyle w:val="TextBody"/>
        <w:bidi w:val="0"/>
        <w:spacing w:before="240" w:after="0"/>
        <w:jc w:val="left"/>
        <w:rPr/>
      </w:pPr>
      <w:r>
        <w:rPr/>
        <w:t>“</w:t>
      </w:r>
      <w:r>
        <w:rPr>
          <w:rFonts w:ascii="Times New Roman" w:hAnsi="Times New Roman"/>
          <w:sz w:val="20"/>
          <w:u w:val="single"/>
        </w:rPr>
        <w:t>Registrable Securities</w:t>
      </w:r>
      <w:r>
        <w:rPr>
          <w:rFonts w:ascii="Times New Roman" w:hAnsi="Times New Roman"/>
          <w:sz w:val="20"/>
        </w:rPr>
        <w:t xml:space="preserve">” means (i) the Lock-Up Shares and (ii) any shares of Common Stock or other securities issued or issuable by the Company or any of its successors or assigns in respect of any Lock-Up Shares in connection with any stock split, stock dividend, subdivision, recapitalization, reclassification or similar transaction; </w:t>
      </w:r>
      <w:r>
        <w:rPr>
          <w:rFonts w:ascii="Times New Roman" w:hAnsi="Times New Roman"/>
          <w:sz w:val="20"/>
          <w:u w:val="single"/>
        </w:rPr>
        <w:t>provided</w:t>
      </w:r>
      <w:r>
        <w:rPr>
          <w:rFonts w:ascii="Times New Roman" w:hAnsi="Times New Roman"/>
          <w:sz w:val="20"/>
        </w:rPr>
        <w:t xml:space="preserve"> that, for the avoidance of doubt, “Registrable Securities” shall not include any shares of Common Stock or other securities acquired by any Seller Party in open market purchases or otherwise after the date of this Agreement (other than pursuant to clause (ii) of this definition); provided, </w:t>
      </w:r>
      <w:r>
        <w:rPr>
          <w:rFonts w:ascii="Times New Roman" w:hAnsi="Times New Roman"/>
          <w:sz w:val="20"/>
          <w:u w:val="single"/>
        </w:rPr>
        <w:t>further</w:t>
      </w:r>
      <w:r>
        <w:rPr>
          <w:rFonts w:ascii="Times New Roman" w:hAnsi="Times New Roman"/>
          <w:sz w:val="20"/>
        </w:rPr>
        <w:t xml:space="preserve">, that any such shares of Common Stock or other securities shall cease to be Registrable Securities when (A) they are sold pursuant to an effective Registration Statement under the Securities Act, (B) they are sold pursuant to Rule 144, (C) they shall have ceased to be outstanding or (D) such shares may be sold by the applicable Seller Party without volume limitations or manner-of-sale requirements pursuant to Rule 144(b)(2) under the Securities Act (taking into account any applicable holding period requirements and the Company’s compliance with its reporting obligations under Sections 13 or 15(d) of the Securities Exchange Act).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in relation to a Party, its Affiliates and its and their respective directors, officers, employees, agents, auditors, consultants and advisors. </w:t>
      </w:r>
    </w:p>
    <w:p>
      <w:pPr>
        <w:pStyle w:val="TextBody"/>
        <w:bidi w:val="0"/>
        <w:spacing w:before="240" w:after="0"/>
        <w:jc w:val="left"/>
        <w:rPr/>
      </w:pPr>
      <w:r>
        <w:rPr/>
        <w:t>“</w:t>
      </w:r>
      <w:r>
        <w:rPr>
          <w:rFonts w:ascii="Times New Roman" w:hAnsi="Times New Roman"/>
          <w:sz w:val="20"/>
          <w:u w:val="single"/>
        </w:rPr>
        <w:t>Rollover Documents</w:t>
      </w:r>
      <w:r>
        <w:rPr>
          <w:rFonts w:ascii="Times New Roman" w:hAnsi="Times New Roman"/>
          <w:sz w:val="20"/>
        </w:rPr>
        <w:t xml:space="preserve">” has the meaning ascribed to such term in the Share Purchase Agreement. </w:t>
      </w:r>
    </w:p>
    <w:p>
      <w:pPr>
        <w:pStyle w:val="TextBody"/>
        <w:bidi w:val="0"/>
        <w:spacing w:before="240" w:after="0"/>
        <w:jc w:val="left"/>
        <w:rPr/>
      </w:pPr>
      <w:r>
        <w:rPr/>
        <w:t>“</w:t>
      </w:r>
      <w:r>
        <w:rPr>
          <w:rFonts w:ascii="Times New Roman" w:hAnsi="Times New Roman"/>
          <w:sz w:val="20"/>
          <w:u w:val="single"/>
        </w:rPr>
        <w:t>Rule 144</w:t>
      </w:r>
      <w:r>
        <w:rPr>
          <w:rFonts w:ascii="Times New Roman" w:hAnsi="Times New Roman"/>
          <w:sz w:val="20"/>
        </w:rPr>
        <w:t xml:space="preserve">” means Rule 144 (or any successor provisions) under the Securities Act. </w:t>
      </w:r>
    </w:p>
    <w:p>
      <w:pPr>
        <w:pStyle w:val="TextBody"/>
        <w:bidi w:val="0"/>
        <w:spacing w:before="240" w:after="0"/>
        <w:jc w:val="left"/>
        <w:rPr/>
      </w:pPr>
      <w:r>
        <w:rPr/>
        <w:t>“</w:t>
      </w:r>
      <w:r>
        <w:rPr>
          <w:rFonts w:ascii="Times New Roman" w:hAnsi="Times New Roman"/>
          <w:sz w:val="20"/>
          <w:u w:val="single"/>
        </w:rPr>
        <w:t>Sale Transaction</w:t>
      </w:r>
      <w:r>
        <w:rPr>
          <w:rFonts w:ascii="Times New Roman" w:hAnsi="Times New Roman"/>
          <w:sz w:val="20"/>
        </w:rPr>
        <w:t xml:space="preserve">” means any transaction or series of related transactions involving the direct or indirect sale, lease, assignment, disposition or other transfer (by operation of law or otherwise) of all or substantially all of the assets of the Company and its Subsidiaries on a consolidated basis.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sz w:val="20"/>
          <w:u w:val="single"/>
        </w:rPr>
        <w:t>Second Fall-Away Event</w:t>
      </w:r>
      <w:r>
        <w:rPr>
          <w:rFonts w:ascii="Times New Roman" w:hAnsi="Times New Roman"/>
          <w:sz w:val="20"/>
        </w:rPr>
        <w:t xml:space="preserve">” has the meaning ascribed to such term in </w:t>
      </w:r>
      <w:r>
        <w:rPr>
          <w:rFonts w:ascii="Times New Roman" w:hAnsi="Times New Roman"/>
          <w:sz w:val="20"/>
          <w:u w:val="single"/>
        </w:rPr>
        <w:t>Section 5.3(b)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w:t>
      </w:r>
      <w:r>
        <w:rPr>
          <w:rFonts w:ascii="Times New Roman" w:hAnsi="Times New Roman"/>
          <w:sz w:val="20"/>
        </w:rPr>
        <w:t xml:space="preserve">” shall mean, with respect to any Person, all equity interests of such Person, all securities convertible into, exercisable or exchangeable for equity interests of such Person, and all options, warrants, and other rights to purchase or otherwise acquire from such Person equity interests, including any equity appreciation or similar rights, contractual or otherwise.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U.S. Securities Act of 1933, as amended, and applicable rules and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Securities Exchange Act</w:t>
      </w:r>
      <w:r>
        <w:rPr>
          <w:rFonts w:ascii="Times New Roman" w:hAnsi="Times New Roman"/>
          <w:sz w:val="20"/>
        </w:rPr>
        <w:t xml:space="preserve">” means the U.S. Securities Exchange Act of 1934, as amended. </w:t>
      </w:r>
    </w:p>
    <w:p>
      <w:pPr>
        <w:pStyle w:val="TextBody"/>
        <w:bidi w:val="0"/>
        <w:spacing w:before="240" w:after="0"/>
        <w:jc w:val="left"/>
        <w:rPr/>
      </w:pPr>
      <w:r>
        <w:rPr/>
        <w:t>“</w:t>
      </w:r>
      <w:r>
        <w:rPr>
          <w:rFonts w:ascii="Times New Roman" w:hAnsi="Times New Roman"/>
          <w:sz w:val="20"/>
          <w:u w:val="single"/>
        </w:rPr>
        <w:t>Share Purchase Agreement</w:t>
      </w:r>
      <w:r>
        <w:rPr>
          <w:rFonts w:ascii="Times New Roman" w:hAnsi="Times New Roman"/>
          <w:sz w:val="20"/>
        </w:rPr>
        <w:t xml:space="preserve">” has the meaning ascribed to such term in the recitals. </w:t>
      </w:r>
    </w:p>
    <w:p>
      <w:pPr>
        <w:pStyle w:val="TextBody"/>
        <w:bidi w:val="0"/>
        <w:spacing w:before="240" w:after="0"/>
        <w:jc w:val="left"/>
        <w:rPr/>
      </w:pPr>
      <w:r>
        <w:rPr/>
        <w:t>“</w:t>
      </w:r>
      <w:r>
        <w:rPr>
          <w:rFonts w:ascii="Times New Roman" w:hAnsi="Times New Roman"/>
          <w:sz w:val="20"/>
          <w:u w:val="single"/>
        </w:rPr>
        <w:t>Seller</w:t>
      </w:r>
      <w:r>
        <w:rPr>
          <w:rFonts w:ascii="Times New Roman" w:hAnsi="Times New Roman"/>
          <w:sz w:val="20"/>
        </w:rPr>
        <w:t>” and “</w:t>
      </w:r>
      <w:r>
        <w:rPr>
          <w:rFonts w:ascii="Times New Roman" w:hAnsi="Times New Roman"/>
          <w:sz w:val="20"/>
          <w:u w:val="single"/>
        </w:rPr>
        <w:t>Sellers</w:t>
      </w:r>
      <w:r>
        <w:rPr>
          <w:rFonts w:ascii="Times New Roman" w:hAnsi="Times New Roman"/>
          <w:sz w:val="20"/>
        </w:rPr>
        <w:t xml:space="preserve">” have the meanings ascribed to such terms in the preamble. </w:t>
      </w:r>
    </w:p>
    <w:p>
      <w:pPr>
        <w:pStyle w:val="TextBody"/>
        <w:bidi w:val="0"/>
        <w:spacing w:before="240" w:after="0"/>
        <w:jc w:val="left"/>
        <w:rPr/>
      </w:pPr>
      <w:r>
        <w:rPr/>
        <w:t>“</w:t>
      </w:r>
      <w:r>
        <w:rPr>
          <w:rFonts w:ascii="Times New Roman" w:hAnsi="Times New Roman"/>
          <w:sz w:val="20"/>
          <w:u w:val="single"/>
        </w:rPr>
        <w:t>Seller Designee</w:t>
      </w:r>
      <w:r>
        <w:rPr>
          <w:rFonts w:ascii="Times New Roman" w:hAnsi="Times New Roman"/>
          <w:sz w:val="20"/>
        </w:rPr>
        <w:t xml:space="preserve">” has the meaning ascribed to such term in </w:t>
      </w:r>
      <w:r>
        <w:rPr>
          <w:rFonts w:ascii="Times New Roman" w:hAnsi="Times New Roman"/>
          <w:sz w:val="20"/>
          <w:u w:val="single"/>
        </w:rPr>
        <w:t>Section 5.1(a)(i)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Observer</w:t>
      </w:r>
      <w:r>
        <w:rPr>
          <w:rFonts w:ascii="Times New Roman" w:hAnsi="Times New Roman"/>
          <w:sz w:val="20"/>
        </w:rPr>
        <w:t xml:space="preserve">” has the meaning ascribed to such term in </w:t>
      </w:r>
      <w:r>
        <w:rPr>
          <w:rFonts w:ascii="Times New Roman" w:hAnsi="Times New Roman"/>
          <w:sz w:val="20"/>
          <w:u w:val="single"/>
        </w:rPr>
        <w:t>Section 5.1(a)(ii)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Parties</w:t>
      </w:r>
      <w:r>
        <w:rPr>
          <w:rFonts w:ascii="Times New Roman" w:hAnsi="Times New Roman"/>
          <w:sz w:val="20"/>
        </w:rPr>
        <w:t xml:space="preserve">” means the Sellers and each Permitted Transferee of any Seller to whom shares of Common Stock are transferred pursuant to </w:t>
      </w:r>
      <w:r>
        <w:rPr>
          <w:rFonts w:ascii="Times New Roman" w:hAnsi="Times New Roman"/>
          <w:sz w:val="20"/>
          <w:u w:val="single"/>
        </w:rPr>
        <w:t>Section 2.1(b)(i)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Representative</w:t>
      </w:r>
      <w:r>
        <w:rPr>
          <w:rFonts w:ascii="Times New Roman" w:hAnsi="Times New Roman"/>
          <w:sz w:val="20"/>
        </w:rPr>
        <w:t xml:space="preserve">” means Jack William Loggie, acting on behalf of the Sellers in accordance with this Agreement.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 specified Person, any corporation or other Person of 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the specified Person or one or more of its Subsidiaries. </w:t>
      </w:r>
    </w:p>
    <w:p>
      <w:pPr>
        <w:pStyle w:val="TextBody"/>
        <w:bidi w:val="0"/>
        <w:spacing w:before="240" w:after="0"/>
        <w:jc w:val="left"/>
        <w:rPr/>
      </w:pPr>
      <w:r>
        <w:rPr/>
        <w:t>“</w:t>
      </w:r>
      <w:r>
        <w:rPr>
          <w:rFonts w:ascii="Times New Roman" w:hAnsi="Times New Roman"/>
          <w:sz w:val="20"/>
          <w:u w:val="single"/>
        </w:rPr>
        <w:t>Transfer</w:t>
      </w:r>
      <w:r>
        <w:rPr>
          <w:rFonts w:ascii="Times New Roman" w:hAnsi="Times New Roman"/>
          <w:sz w:val="20"/>
        </w:rPr>
        <w:t>” by any Person means, directly or indirectly, to sell, transfer, assign, pledge, encumber, hypothecate or otherwise dispose of or transfer (by the operation of Law or otherwise), either voluntarily or involuntarily, or to enter into any contract, option or other arrangement, agreement or understanding with respect to the sale, transfer, assignment, pledge, encumbrance, hypothecation or other disposition or transfer (by the operation of Law or otherwise), of any shares of equity securities beneficially owned by such Person or of any interest in any shares of equity securities beneficially owned by such Person. The terms “</w:t>
      </w:r>
      <w:r>
        <w:rPr>
          <w:rFonts w:ascii="Times New Roman" w:hAnsi="Times New Roman"/>
          <w:sz w:val="20"/>
          <w:u w:val="single"/>
        </w:rPr>
        <w:t>Transfers</w:t>
      </w:r>
      <w:r>
        <w:rPr>
          <w:rFonts w:ascii="Times New Roman" w:hAnsi="Times New Roman"/>
          <w:sz w:val="20"/>
        </w:rPr>
        <w:t>” and “</w:t>
      </w:r>
      <w:r>
        <w:rPr>
          <w:rFonts w:ascii="Times New Roman" w:hAnsi="Times New Roman"/>
          <w:sz w:val="20"/>
          <w:u w:val="single"/>
        </w:rPr>
        <w:t>Transferred</w:t>
      </w:r>
      <w:r>
        <w:rPr>
          <w:rFonts w:ascii="Times New Roman" w:hAnsi="Times New Roman"/>
          <w:sz w:val="20"/>
        </w:rPr>
        <w:t xml:space="preserve">” shall have correlative meanings. </w:t>
      </w:r>
    </w:p>
    <w:p>
      <w:pPr>
        <w:pStyle w:val="TextBody"/>
        <w:bidi w:val="0"/>
        <w:spacing w:before="240" w:after="0"/>
        <w:jc w:val="left"/>
        <w:rPr/>
      </w:pPr>
      <w:r>
        <w:rPr/>
        <w:t>“</w:t>
      </w:r>
      <w:r>
        <w:rPr>
          <w:rFonts w:ascii="Times New Roman" w:hAnsi="Times New Roman"/>
          <w:sz w:val="20"/>
          <w:u w:val="single"/>
        </w:rPr>
        <w:t>Transferor</w:t>
      </w:r>
      <w:r>
        <w:rPr>
          <w:rFonts w:ascii="Times New Roman" w:hAnsi="Times New Roman"/>
          <w:sz w:val="20"/>
        </w:rPr>
        <w:t>” means a Person that Transfers or proposes to Transfer; and “</w:t>
      </w:r>
      <w:r>
        <w:rPr>
          <w:rFonts w:ascii="Times New Roman" w:hAnsi="Times New Roman"/>
          <w:sz w:val="20"/>
          <w:u w:val="single"/>
        </w:rPr>
        <w:t>Transferee</w:t>
      </w:r>
      <w:r>
        <w:rPr>
          <w:rFonts w:ascii="Times New Roman" w:hAnsi="Times New Roman"/>
          <w:sz w:val="20"/>
        </w:rPr>
        <w:t xml:space="preserve">” means a Person to whom a Transfer is made or is proposed to be made. </w:t>
      </w:r>
    </w:p>
    <w:p>
      <w:pPr>
        <w:pStyle w:val="TextBody"/>
        <w:bidi w:val="0"/>
        <w:spacing w:before="240" w:after="0"/>
        <w:jc w:val="left"/>
        <w:rPr/>
      </w:pPr>
      <w:r>
        <w:rPr/>
        <w:t>“</w:t>
      </w:r>
      <w:r>
        <w:rPr>
          <w:rFonts w:ascii="Times New Roman" w:hAnsi="Times New Roman"/>
          <w:sz w:val="20"/>
          <w:u w:val="single"/>
        </w:rPr>
        <w:t>Underwritten Offering</w:t>
      </w:r>
      <w:r>
        <w:rPr>
          <w:rFonts w:ascii="Times New Roman" w:hAnsi="Times New Roman"/>
          <w:sz w:val="20"/>
        </w:rPr>
        <w:t xml:space="preserve">” means a sale of securities of the Company, in an amount no less than the Registrable Amount, to an underwriter or underwriters for reoffering to the public.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Lock-Up; Transfers; Volume Limitations; Secondary Offerings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Lock-Up Period; Tranche Releases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Other than Permitted Transfers, no Seller Party shall Transfer any Lock-Up Shares during the period beginning on the Closing Date and ending on the twenty-four (24) month anniversary of the Closing (the “</w:t>
      </w:r>
      <w:r>
        <w:rPr>
          <w:rFonts w:ascii="Times New Roman" w:hAnsi="Times New Roman"/>
          <w:sz w:val="20"/>
          <w:u w:val="single"/>
        </w:rPr>
        <w:t>Lock-Up Period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one-third (1/3) of the Lock-Up Shares shall be released from the lock-up restrictions on the twelve (12) month anniversary of the Closing, (ii) one-third (1/3) of the Lock-Up Shares shall be released from the lock-up restrictions on the eighteen (18) month anniversary of the Closing and (iii) one-third (1/3) of the Lock-Up Shares shall be released from the lock-up restrictions on the twenty-four (24) month anniversary of the Closing. The release of any tranche shall not affect the restrictions applicable to any other tranche.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Permitted Transfer</w:t>
      </w:r>
      <w:r>
        <w:rPr>
          <w:rFonts w:ascii="Times New Roman" w:hAnsi="Times New Roman"/>
          <w:sz w:val="20"/>
        </w:rPr>
        <w:t xml:space="preserve">” means, in each case so long as such Transfer is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 a Transfer of shares of Common Stock to a Permitted Transferee, so long as such Permitted Transferee, to the extent it has not already done so, executes a customary joinder to this Agreement, in form and substance reasonably acceptable to the Company, in which such Permitted Transferee agrees to be a “Seller Party”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Transfers in connection with (A) any Merger Transaction, Sale Transaction or third party tender or exchange offer involving the Common Stock that has been approved by the Board (and, for the avoidance of doubt, if the applicable Seller Party does Transfer Lock-Up Shares to a third party in connection with such tender or exchange offer, the restrictions set forth in this </w:t>
      </w:r>
      <w:r>
        <w:rPr>
          <w:rFonts w:ascii="Times New Roman" w:hAnsi="Times New Roman"/>
          <w:sz w:val="20"/>
          <w:u w:val="single"/>
        </w:rPr>
        <w:t>Section 2</w:t>
      </w:r>
      <w:r>
        <w:rPr>
          <w:rFonts w:ascii="Times New Roman" w:hAnsi="Times New Roman"/>
          <w:sz w:val="20"/>
        </w:rPr>
        <w:t xml:space="preserve"> shall not apply to such third party with respect to such shares) or (B) any tender or exchange offer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Transfers that have been approved in writing by the Board (and, for the avoidance of doubt, if the applicable Seller Party does Transfer Lock-Up Shares to a third party with the Board’s written approval, the restrictions set forth in this </w:t>
      </w:r>
      <w:r>
        <w:rPr>
          <w:rFonts w:ascii="Times New Roman" w:hAnsi="Times New Roman"/>
          <w:sz w:val="20"/>
          <w:u w:val="single"/>
        </w:rPr>
        <w:t>Section 2</w:t>
      </w:r>
      <w:r>
        <w:rPr>
          <w:rFonts w:ascii="Times New Roman" w:hAnsi="Times New Roman"/>
          <w:sz w:val="20"/>
        </w:rPr>
        <w:t xml:space="preserve"> shall not apply to such third party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(iv) Transfers in connection with bona fide pledges to (or deposits with) nationally recognized financial institutions as collateral for margin loans or other credit facilities; </w:t>
      </w:r>
      <w:r>
        <w:rPr>
          <w:rFonts w:ascii="Times New Roman" w:hAnsi="Times New Roman"/>
          <w:sz w:val="20"/>
          <w:u w:val="single"/>
        </w:rPr>
        <w:t>provided</w:t>
      </w:r>
      <w:r>
        <w:rPr>
          <w:rFonts w:ascii="Times New Roman" w:hAnsi="Times New Roman"/>
          <w:sz w:val="20"/>
        </w:rPr>
        <w:t xml:space="preserve"> that (A) the Transferor continues to exercise voting control over such pledged shares of Common Stock at all times prior to any pledgee taking ownership of the relevant Lock-Up Shares and (B) as a condition to any pledgee’s ability to take ownership of the relevant Lock-Up Shares, such pledgee shall execute a customary joinder to this Agreement, in form and substance reasonably acceptable to the Company, in which such pledgee agrees to be a “Seller Party”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(v) Transfers pursuant to inheritance, estate planning or charitable purposes; </w:t>
      </w:r>
      <w:r>
        <w:rPr>
          <w:rFonts w:ascii="Times New Roman" w:hAnsi="Times New Roman"/>
          <w:sz w:val="20"/>
          <w:u w:val="single"/>
        </w:rPr>
        <w:t>provided</w:t>
      </w:r>
      <w:r>
        <w:rPr>
          <w:rFonts w:ascii="Times New Roman" w:hAnsi="Times New Roman"/>
          <w:sz w:val="20"/>
        </w:rPr>
        <w:t xml:space="preserve"> that as a condition to such Transfer, the Transferee (A) executes a customary joinder to this Agreement, in form and substance reasonably acceptable to the Company, in which such Transferee agrees to be a “Seller Party” for all purposes of this Agreement or (B) in the case of a charitable Transfer, irrevocably waives all rights of such Transferee as a “Seller Party” for all purposes of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(vi) Transfers pursuant to any order of a court or regulatory body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Volume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After the applicable release date for any tranche of Lock-Up Shares, any sale of shares released from the lock-up effected through open-market transactions on Nasdaq or any other securities exchange or automated quotation system (including sales effected through a broker on an agency basis) shall be subject to the following volume limitations: no Seller Party may sell, in any single trading day, more than ten percent (10%) of the average daily trading volume of Common Stock on Nasdaq over the trailing twenty (20) trading-day period preceding such sale. Notwithstanding the foregoing, the volume limitations set forth in this Section 2.2 shall not apply to any Transfer made pursuant to (u) a bona fide, broadly distributed underwritten public offering, (v) any shelf takedown (including any underwritten shelf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takedown) pursuant to Section 4.3, (w) any block trade (whether or not underwritten), bought deal, overnight marketed offering or accelerated bookbuilt offering, (x) any privately negotiated transaction or off-market sale not effected through an exchange or automated quotation system, (y) any sale to a single purchaser or a limited number of institutional or accredited investors in a negotiated transaction, or (z) any Transfer to a Permitted Transferee. During the Lock-Up Period, no Seller Party shall engage in any hedging, short sale or derivative transaction relating to any Lock-Up Shares. </w:t>
      </w:r>
    </w:p>
    <w:p>
      <w:pPr>
        <w:pStyle w:val="TextBody"/>
        <w:bidi w:val="0"/>
        <w:spacing w:before="240" w:after="0"/>
        <w:jc w:val="left"/>
        <w:rPr>
          <w:rFonts w:ascii="Times New Roman" w:hAnsi="Times New Roman"/>
          <w:sz w:val="20"/>
        </w:rPr>
      </w:pPr>
      <w:r>
        <w:rPr>
          <w:rFonts w:ascii="Times New Roman" w:hAnsi="Times New Roman"/>
          <w:sz w:val="20"/>
        </w:rPr>
        <w:t>If, at any time following the date of this Agreement and for so long as the Seller Parties maintain beneficial ownership of at least ten percent (10%) of the Company’s issued and outstanding Common Stock, the Company grants, agrees to grant or becomes obligated to grant to any other stockholder (or group of affiliated stockholders) that holds, or will hold upon consummation of any issuance, ten percent (10%) or more of the Company’s issued and outstanding Common Stock any registration rights, transfer rights, volume limitation terms or other resale or disposition rights that are, taken as a whole, more favorable to such stockholder than the comparable rights applicable to the Seller Parties under this Agreement (including, without limitation, by reason of a higher percentage of average daily trading volume, a shorter duration of volume limitations, fewer transfer restrictions, more favorable registration rights, or the absence of such limitations or restrictions entirely) (such more favorable terms, the “</w:t>
      </w:r>
      <w:r>
        <w:rPr>
          <w:rFonts w:ascii="Times New Roman" w:hAnsi="Times New Roman"/>
          <w:sz w:val="20"/>
          <w:u w:val="single"/>
        </w:rPr>
        <w:t>More Favorable Terms</w:t>
      </w:r>
      <w:r>
        <w:rPr>
          <w:rFonts w:ascii="Times New Roman" w:hAnsi="Times New Roman"/>
          <w:sz w:val="20"/>
        </w:rPr>
        <w:t xml:space="preserve">”), then (i) the Company shall promptly (and in any event within five (5) Business Days of the execution of any agreement containing such More Favorable Terms) provide the Seller Representative with written notice thereof, together with a copy of the applicable agreement (or relevant excerpts thereof) and such other information as is reasonably necessary to enable the Seller Representative to evaluate whether such terms constitute More Favorable Terms; and (ii) the Seller Parties shall automatically and without further action be entitled to the benefit of such More Favorable Terms, effective as of the date on which such More Favorable Terms become effective for such other stockholder, and this Agreement shall be deemed amended accordingly. Notwithstanding the foregoing automatic adjustment, the Seller Representative, on behalf of all Seller Parties, may elect by written notice to the Company delivered within ten (10) Business Days following receipt of such Company notice to decline the benefit of such More Favorable Terms and retain the terms otherwise applicable under this Agreement (but without prejudice to the Seller Parties’ rights under this Section 2.2 with respect to any subsequent agreement). For the avoidance of doubt, (A) this provision shall apply to any grant of rights to any stockholder, whether in connection with any merger, acquisition, business combination, equity financing, private placement or similar transaction or otherwise, (B) any automatic amendment pursuant to this provision shall apply on a prospective basis only and shall not give rise to any claim by the Seller Parties in respect of any sales made prior to the effective date of such amendment, and (C) the Company’s failure to provide the notice required by clause (i) shall not affect the Seller Parties’ entitlement to the benefit of the More Favorable Terms, which shall be effective as of the date such More Favorable Terms become effective for such other stockholder.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Forced Participation in Secondary Offerings.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have the right to require the Seller Parties to participate in any Company-led secondary offering of Common Stock to reduce the Seller Parties’ aggregate ownership to 19.9% of the Company’s issued and outstanding Common Stock, </w:t>
      </w:r>
      <w:r>
        <w:rPr>
          <w:rFonts w:ascii="Times New Roman" w:hAnsi="Times New Roman"/>
          <w:sz w:val="20"/>
          <w:u w:val="single"/>
        </w:rPr>
        <w:t>provided</w:t>
      </w:r>
      <w:r>
        <w:rPr>
          <w:rFonts w:ascii="Times New Roman" w:hAnsi="Times New Roman"/>
          <w:sz w:val="20"/>
        </w:rPr>
        <w:t xml:space="preserve"> that (i) the Seller Parties’ aggregate ownership is at or above 20% of the Company’s issued and outstanding equity at such time and (ii) the offering price per share is at or above 105% of the Reference Price. The Seller Parties shall participate on a reasonable and sufficient basis and in accordance with the customary terms of the applicable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Early Release of Lock-Up.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lock-up restrictions, locked-up shares may be released early from the lock-up restrictions if (i) the Sellers wish to sell such shares, (ii) the Board, in its sole discretion, determines that such sale would not have a negative impact on the market price of Common Stock and (iii) the Company’s brokers confirm that such sale would not have a negative impact on the market price. In addition, the lock-up shall automatically terminate with respect to all Lock-Up Shares if the closing price of Common Stock exceeds 200% of the Reference Price for more than fifteen (15) consecutive trading days.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Rule 144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Closing and continuing until the date that is twenty-four (24) months following the expiration of the Lock-Up Period, the Company covenants and agrees to (i) comply with the reporting requirements of Rule 144(c)(1) under the Securities Act, (ii) timely file all reports required to be filed by the Company under Sections 13 or 15(d) of the Exchange Act, (iii) provide a letter confirming compliance with the foregoing clauses (i) and (ii) at the reasonable request of any Seller, (iv) maintain the listing of the Common Stock on Nasdaq or another national securities exchange (as defined in Section 6 of the Securities Exchange Act), and not take any action that would reasonably be expected to result in the delisting of the Common Stock from such exchange; </w:t>
      </w:r>
      <w:r>
        <w:rPr>
          <w:rFonts w:ascii="Times New Roman" w:hAnsi="Times New Roman"/>
          <w:sz w:val="20"/>
          <w:u w:val="single"/>
        </w:rPr>
        <w:t>provided</w:t>
      </w:r>
      <w:r>
        <w:rPr>
          <w:rFonts w:ascii="Times New Roman" w:hAnsi="Times New Roman"/>
          <w:sz w:val="20"/>
        </w:rPr>
        <w:t xml:space="preserve"> that (A) the Company may transfer the listing of the Common Stock from Nasdaq to another national securities exchange so long as such transfer would not adversely affect the ability of the Seller Parties to sell Lock-Up Shares pursuant to Rule 144 under the Securities Act and (B) the Company may maintain a dual listing of the Common Stock on more than one national securities exchange so long as at least one such exchange is a national securities exchange on which sales of Common Stock may be effected in compliance with Rule 144 under the Securities Act, (v) promptly following the written request of any Seller (and in any event within five (5) Business Days of such request), instruct its transfer agent to remove any restrictive legends from the certificates (or book-entry positions) representing shares of Common Stock held by such Seller to the extent that (A) the applicable lock-up restrictions have expired with respect to such shares and (B) such Seller certifies to the Company in writing that such shares are eligible for resale pursuant to Rule 144 (or have been sold pursuant to an effective registration statement under the Securities Act), and (vi) cause its counsel to deliver any legal opinions required by the transfer agent in connection therewith. All fees and expenses incurred in connection with the removal of such legends, including transfer agent fees and fees for legal opinions, shall be borne by the Company. The Company shall, prior to the Closing, pre-clear the legend removal process with its transfer agent and outside counsel so as to ensure that legend removal requests can be processed promptly following the expiration of the applicable Lock-Up Period. The Company shall cooperate with, and take such customary actions as may reasonably be requested by, any Seller in connection with resales of Lock-Up Shares pursuant to Rule 144, including providing any customary certifications or notices to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Securities Restrictions;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Securities Restrictions; Legends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Seller acknowledges that the Lock-Up Shares have not been registered under the Securities Act and as such the Lock-Up Shares may not be transferred except pursuant to an effective Registration Statement under the Securities Act or pursuant to an exemption from registration under the Securities Act. Each Seller agrees that it will not, and will cause its Affiliates not to, make any Transfer at any time if such action would or would be likely to (i) constitute a violation of any securities Laws of any applicable jurisdiction or a breach of the conditions to any exemption from registration of the Lock-Up Shares under any such Laws or (ii) cause the Company to become subject to the registration requirements of the U.S. Investment Company Act of 1940.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certificate representing the Lock-Up Shares, or other instrument (including a statement issued by the registrar in connection with a book-entry system) representing Lock-Up Shares, shall (unless otherwise permitted by the provisions of </w:t>
      </w:r>
      <w:r>
        <w:rPr>
          <w:rFonts w:ascii="Times New Roman" w:hAnsi="Times New Roman"/>
          <w:sz w:val="20"/>
          <w:u w:val="single"/>
        </w:rPr>
        <w:t>Section 3.1(d)</w:t>
      </w:r>
      <w:r>
        <w:rPr>
          <w:rFonts w:ascii="Times New Roman" w:hAnsi="Times New Roman"/>
          <w:sz w:val="20"/>
        </w:rPr>
        <w:t xml:space="preserve"> below) be stamped or otherwise imprinted with a legend in substantially the following form: </w:t>
      </w:r>
    </w:p>
    <w:p>
      <w:pPr>
        <w:pStyle w:val="TextBody"/>
        <w:bidi w:val="0"/>
        <w:spacing w:before="240" w:after="0"/>
        <w:jc w:val="left"/>
        <w:rPr/>
      </w:pPr>
      <w:r>
        <w:rPr/>
        <w:t>“</w:t>
      </w:r>
      <w:r>
        <w:rPr>
          <w:rFonts w:ascii="Times New Roman" w:hAnsi="Times New Roman"/>
          <w:b/>
          <w:sz w:val="20"/>
        </w:rPr>
        <w:t>THE SHARES OF COMMON STOCK REPRESENTED HEREBY HAVE NOT BEEN REGISTERED UNDER THE SECURITIES ACT OF 1933, AS AMENDED (THE “</w:t>
      </w:r>
      <w:r>
        <w:rPr>
          <w:rFonts w:ascii="Times New Roman" w:hAnsi="Times New Roman"/>
          <w:b/>
          <w:sz w:val="20"/>
          <w:u w:val="single"/>
        </w:rPr>
        <w:t>SECURITIES ACT</w:t>
      </w:r>
      <w:r>
        <w:rPr>
          <w:rFonts w:ascii="Times New Roman" w:hAnsi="Times New Roman"/>
          <w:b/>
          <w:sz w:val="20"/>
        </w:rPr>
        <w:t xml:space="preserve">”), WITH THE UNITED STATES SECURITIES AND EXCHANGE COMMISSION OR THE SECURITIES COMMISSION OF ANY STATE OR UNDER ANY OTHER SECURITIES LAWS AND, ACCORDINGLY, MAY NOT BE SOLD, TRANSFERRED, OFFERED FOR SALE, PLEDGED, HYPOTHECATED, ASSIGNED OR OTHERWISE DISPOSED OF IN THE ABSENCE OF (I) AN EFFECTIVE REGISTRATION OF THE SHARES UNDER THE SECURITIES ACT AND OTHER APPLICABLE SECURITIES LAWS OR (II) AN OPINION OF COUNSEL, IN SUCH FORM AND BY SUCH COUNSEL REASONABLY SATISFACTORY TO DRILLING TOOLS INTERNATIONAL CORPORATION AND ITS COUNSEL, THAT SUCH SALE, TRANSFER, OFFER, HYPOTHECATION, ASSIGNMENT OR OTHER DISPOSITION IS EXEMPT FROM REGISTRATION UNDER THE SECURITIES ACT AND ANY OTHER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(c) Each certificate or other instrument evidencing the securities issued upon the transfer of any Lock-Up Shares shall bear the legend set forth above in </w:t>
      </w:r>
      <w:r>
        <w:rPr>
          <w:rFonts w:ascii="Times New Roman" w:hAnsi="Times New Roman"/>
          <w:sz w:val="20"/>
          <w:u w:val="single"/>
        </w:rPr>
        <w:t>Section 3.1(b)</w:t>
      </w:r>
      <w:r>
        <w:rPr>
          <w:rFonts w:ascii="Times New Roman" w:hAnsi="Times New Roman"/>
          <w:sz w:val="20"/>
        </w:rPr>
        <w:t xml:space="preserve"> unless (i) in such opinion of counsel to the Company, registration of any future transfer is not required by the applicable provisions of the Securities Act or (ii) the Company shall have waived the requirement of such legends. </w:t>
      </w:r>
    </w:p>
    <w:p>
      <w:pPr>
        <w:pStyle w:val="TextBody"/>
        <w:bidi w:val="0"/>
        <w:spacing w:before="240" w:after="0"/>
        <w:jc w:val="left"/>
        <w:rPr>
          <w:rFonts w:ascii="Times New Roman" w:hAnsi="Times New Roman"/>
          <w:sz w:val="20"/>
        </w:rPr>
      </w:pPr>
      <w:r>
        <w:rPr>
          <w:rFonts w:ascii="Times New Roman" w:hAnsi="Times New Roman"/>
          <w:sz w:val="20"/>
        </w:rPr>
        <w:t xml:space="preserve">(d) When (i) any Lock-Up Shares are sold or otherwise Transferred pursuant to an effective Registration Statement under the Securities Act or (ii) a Seller Party has transferred or intends to transfer such shares pursuant to Rule 144, such Seller Party shall be entitled to receive from the Company, without expense to such Seller Party and within five (5) Business Days of such Seller Party’s written request, a new certificate or other instrument (including a statement issued by the registrar in connection with a book-entry system) representing shares of Common Stock not bearing the restrictive legend set forth above in </w:t>
      </w:r>
      <w:r>
        <w:rPr>
          <w:rFonts w:ascii="Times New Roman" w:hAnsi="Times New Roman"/>
          <w:sz w:val="20"/>
          <w:u w:val="single"/>
        </w:rPr>
        <w:t>Section 3.1(b)</w:t>
      </w:r>
      <w:r>
        <w:rPr>
          <w:rFonts w:ascii="Times New Roman" w:hAnsi="Times New Roman"/>
          <w:sz w:val="20"/>
        </w:rPr>
        <w:t xml:space="preserve">. The Company shall cooperate with and direct its transfer agent to facilitate the timely removal of such legends. </w:t>
      </w:r>
    </w:p>
    <w:p>
      <w:pPr>
        <w:pStyle w:val="TextBody"/>
        <w:bidi w:val="0"/>
        <w:spacing w:before="240" w:after="0"/>
        <w:jc w:val="left"/>
        <w:rPr>
          <w:rFonts w:ascii="Times New Roman" w:hAnsi="Times New Roman"/>
          <w:sz w:val="20"/>
        </w:rPr>
      </w:pPr>
      <w:r>
        <w:rPr>
          <w:rFonts w:ascii="Times New Roman" w:hAnsi="Times New Roman"/>
          <w:sz w:val="20"/>
        </w:rPr>
        <w:t xml:space="preserve">(e) Each certificate representing Lock-Up Shares, or other instrument (including a statement issued by the registrar in connection with a book-entry system) representing Lock-Up Shares, shall during the Lock-Up Period be stamped or otherwise imprinted with a legend in substantially the following form: </w:t>
      </w:r>
    </w:p>
    <w:p>
      <w:pPr>
        <w:pStyle w:val="TextBody"/>
        <w:bidi w:val="0"/>
        <w:spacing w:before="240" w:after="0"/>
        <w:jc w:val="left"/>
        <w:rPr/>
      </w:pPr>
      <w:r>
        <w:rPr/>
        <w:t>“</w:t>
      </w:r>
      <w:r>
        <w:rPr>
          <w:rFonts w:ascii="Times New Roman" w:hAnsi="Times New Roman"/>
          <w:b/>
          <w:sz w:val="20"/>
        </w:rPr>
        <w:t>THE SHARES OF COMMON STOCK REPRESENTED HEREBY ARE SUBJECT TO A LOCK-UP PURSUANT TO A LOCK-UP AND INVESTOR RIGHTS AGREEMENT DATED AS OF OCTOBER 8, 2026 (THE “</w:t>
      </w:r>
      <w:r>
        <w:rPr>
          <w:rFonts w:ascii="Times New Roman" w:hAnsi="Times New Roman"/>
          <w:b/>
          <w:sz w:val="20"/>
          <w:u w:val="single"/>
        </w:rPr>
        <w:t>LOCK-UP AND INVESTOR RIGHTS AGREEMENT</w:t>
      </w:r>
      <w:r>
        <w:rPr>
          <w:rFonts w:ascii="Times New Roman" w:hAnsi="Times New Roman"/>
          <w:b/>
          <w:sz w:val="20"/>
        </w:rPr>
        <w:t>”), BY AND AMONG DRILLING TOOLS INTERNATIONAL CORPORATION (THE “COMPANY”) AND THE SELLERS PARTY THERETO (COLLECTIVELY, THE “</w:t>
      </w:r>
      <w:r>
        <w:rPr>
          <w:rFonts w:ascii="Times New Roman" w:hAnsi="Times New Roman"/>
          <w:b/>
          <w:sz w:val="20"/>
          <w:u w:val="single"/>
        </w:rPr>
        <w:t>SELLERS</w:t>
      </w:r>
      <w:r>
        <w:rPr>
          <w:rFonts w:ascii="Times New Roman" w:hAnsi="Times New Roman"/>
          <w:b/>
          <w:sz w:val="20"/>
        </w:rPr>
        <w:t xml:space="preserve">”), THAT RESTRICTS ANY SALE, TRANSFER, ASSIGNMENT, PLEDGE, ENCUMBRANCE OR OTHER DISPOSITION OF THESE SECURITIES OR ANY INTEREST THEREIN,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WITH THE PRIOR WRITTEN CONSENT OF DRILLING TOOLS INTERNATIONAL CORPORATION OR OTHERWISE IN ACCORDANCE WITH THE TERMS OF THE LOCK-UP AND INVESTOR RIGHTS AGREEMENT. A COPY OF THE LOCK-UP AND INVESTOR RIGHTS AGREEMENT MAY BE OBTAINED UPON WRITTEN REQUEST FROM THE SECRETARY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 At each applicable release date set forth in </w:t>
      </w:r>
      <w:r>
        <w:rPr>
          <w:rFonts w:ascii="Times New Roman" w:hAnsi="Times New Roman"/>
          <w:sz w:val="20"/>
          <w:u w:val="single"/>
        </w:rPr>
        <w:t>Section 2.1(a)</w:t>
      </w:r>
      <w:r>
        <w:rPr>
          <w:rFonts w:ascii="Times New Roman" w:hAnsi="Times New Roman"/>
          <w:sz w:val="20"/>
        </w:rPr>
        <w:t xml:space="preserve">, the Seller Representative shall be entitled, on behalf of all then-applicable Seller Parties, from the Company, without expense and within five (5) Business Days following such release date, to receive a new certificate or other instrument (including a statement issued by the registrar in connection with a book-entry system) representing the applicable tranche of shares of Common Stock not bearing the restrictive legend set forth above in </w:t>
      </w:r>
      <w:r>
        <w:rPr>
          <w:rFonts w:ascii="Times New Roman" w:hAnsi="Times New Roman"/>
          <w:sz w:val="20"/>
          <w:u w:val="single"/>
        </w:rPr>
        <w:t>Section 3.1(e)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Demand Registrations.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soon as practicable after the Closing, but in any event within thirty (30) days following the Closing, subject to the terms and conditions hereof, (x) solely during any period that the Company is then ineligible under applicable Law to register Registrable Securities on Form S-3 pursuant to Section 4.3 or (y) following the expiration of the Company’s obligation to keep the Shelf Registration Statement continuously effective pursuant to Section 4.3(b), but only if there is no Shelf Registration Statement then in effect, the Holder or Holders of a majority of the Registrable Securities shall be entitled to make an unlimited number of written requests of the Company (each, a “</w:t>
      </w:r>
      <w:r>
        <w:rPr>
          <w:rFonts w:ascii="Times New Roman" w:hAnsi="Times New Roman"/>
          <w:sz w:val="20"/>
          <w:u w:val="single"/>
        </w:rPr>
        <w:t>Demand</w:t>
      </w:r>
      <w:r>
        <w:rPr>
          <w:rFonts w:ascii="Times New Roman" w:hAnsi="Times New Roman"/>
          <w:sz w:val="20"/>
        </w:rPr>
        <w:t>”) for registration under the Securities Act of an amount of Registrable Securities then held by such Holder or Holders that equals or is greater than the Registrable Amount (a “</w:t>
      </w:r>
      <w:r>
        <w:rPr>
          <w:rFonts w:ascii="Times New Roman" w:hAnsi="Times New Roman"/>
          <w:sz w:val="20"/>
          <w:u w:val="single"/>
        </w:rPr>
        <w:t>Demand Registration</w:t>
      </w:r>
      <w:r>
        <w:rPr>
          <w:rFonts w:ascii="Times New Roman" w:hAnsi="Times New Roman"/>
          <w:sz w:val="20"/>
        </w:rPr>
        <w:t xml:space="preserve">”); provided that the Holders collectively shall not be entitled to make more than two (2) Demands during any twelve (12) month period. Thereupon the Company will, subject to the terms of this Agreement, use its commercially reasonable efforts to effect the registration as promptly as practicable under the Securities Act of: </w:t>
      </w:r>
    </w:p>
    <w:p>
      <w:pPr>
        <w:pStyle w:val="TextBody"/>
        <w:bidi w:val="0"/>
        <w:spacing w:before="240" w:after="0"/>
        <w:jc w:val="left"/>
        <w:rPr>
          <w:rFonts w:ascii="Times New Roman" w:hAnsi="Times New Roman"/>
          <w:sz w:val="20"/>
        </w:rPr>
      </w:pPr>
      <w:r>
        <w:rPr>
          <w:rFonts w:ascii="Times New Roman" w:hAnsi="Times New Roman"/>
          <w:sz w:val="20"/>
        </w:rPr>
        <w:t xml:space="preserve">(i) the Registrable Securities which the Company has been so requested to register by the Holders for disposition in accordance with the intended method of disposition stated in such Demand; and </w:t>
      </w:r>
    </w:p>
    <w:p>
      <w:pPr>
        <w:pStyle w:val="TextBody"/>
        <w:bidi w:val="0"/>
        <w:spacing w:before="240" w:after="0"/>
        <w:jc w:val="left"/>
        <w:rPr>
          <w:rFonts w:ascii="Times New Roman" w:hAnsi="Times New Roman"/>
          <w:sz w:val="20"/>
        </w:rPr>
      </w:pPr>
      <w:r>
        <w:rPr>
          <w:rFonts w:ascii="Times New Roman" w:hAnsi="Times New Roman"/>
          <w:sz w:val="20"/>
        </w:rPr>
        <w:t xml:space="preserve">(ii) all shares of Common Stock which the Company may elect to register in connection with any offering of Registrable Securities pursuant to this Section 4.1; </w:t>
      </w:r>
    </w:p>
    <w:p>
      <w:pPr>
        <w:pStyle w:val="TextBody"/>
        <w:bidi w:val="0"/>
        <w:spacing w:before="240" w:after="0"/>
        <w:jc w:val="left"/>
        <w:rPr>
          <w:rFonts w:ascii="Times New Roman" w:hAnsi="Times New Roman"/>
          <w:sz w:val="20"/>
        </w:rPr>
      </w:pPr>
      <w:r>
        <w:rPr>
          <w:rFonts w:ascii="Times New Roman" w:hAnsi="Times New Roman"/>
          <w:sz w:val="20"/>
        </w:rPr>
        <w:t xml:space="preserve">but, in each case, subject to Section 4.1(f), and to the extent necessary to permit the orderly disposition (in accordance with the intended methods thereof) of the Registrable Securities and the additional shares of Common Stock, if any, to be so registered; provided, that the Company may use a Registration Statement on Form S-3 if the Company would qualify to use such form within thirty (30) days after the date on which the Demand Registration is given and the Company shall not be required to file such Registration Statement until it is so qualified. </w:t>
      </w:r>
    </w:p>
    <w:p>
      <w:pPr>
        <w:pStyle w:val="TextBody"/>
        <w:bidi w:val="0"/>
        <w:spacing w:before="240" w:after="0"/>
        <w:jc w:val="left"/>
        <w:rPr>
          <w:rFonts w:ascii="Times New Roman" w:hAnsi="Times New Roman"/>
          <w:sz w:val="20"/>
        </w:rPr>
      </w:pPr>
      <w:r>
        <w:rPr>
          <w:rFonts w:ascii="Times New Roman" w:hAnsi="Times New Roman"/>
          <w:sz w:val="20"/>
        </w:rPr>
        <w:t xml:space="preserve">(b) A Demand shall specify: (i) the number of Registrable Securities requested to be registered in such Demand Registration, (ii) the intended method of disposition in connection with such Demand Registration, to the extent then known, including whether such Demand Registration will be an Underwritten Offering, (iii) the intended timing of disposition in connection with such Demand Registration and (iv) the estimated gross proceeds of such Demand Registration, which may not be less than the Registrable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 Demand Registration shall not be deemed to have been effected and shall not count as a Demand Registration (i) unless a Registration Statement with respect thereto has become effective and has remained effective for a period of at least ninety (90) days or such shorter period in which all Registrable Securities included in such Demand Registration have actually been sold thereunder or have ceased being Registrable Securities (provided, that such period shall be extended for a period of time equal to the period any Holder of Registrable Securities refrains from selling any securities included in such Registration Statement at the request of the Company or the lead managing underwriter(s) pursuant to the provisions of this Agreement) or (ii) if, after it has become effective, such Demand Registration becomes subject, prior to ninety (90) days after effectiveness, to any stop order, injunction or other order or requirement of the SEC or other Governmental Authority such that no sales are possible thereunder for a period of ten (10) consecutive days or more, other than by reason of any act or omission by any Holder. </w:t>
      </w:r>
    </w:p>
    <w:p>
      <w:pPr>
        <w:pStyle w:val="TextBody"/>
        <w:bidi w:val="0"/>
        <w:spacing w:before="240" w:after="0"/>
        <w:jc w:val="left"/>
        <w:rPr>
          <w:rFonts w:ascii="Times New Roman" w:hAnsi="Times New Roman"/>
          <w:sz w:val="20"/>
        </w:rPr>
      </w:pPr>
      <w:r>
        <w:rPr>
          <w:rFonts w:ascii="Times New Roman" w:hAnsi="Times New Roman"/>
          <w:sz w:val="20"/>
        </w:rPr>
        <w:t xml:space="preserve">(d) Demand Registrations shall be on such appropriate registration form of the SEC as shall be reasonably selected by the Company and reasonably acceptable to each Holder.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not be obligated to (i) subject to Section 4.1(c), maintain the effectiveness of a Registration Statement under the Securities Act filed pursuant to a Demand Registration for a period longer than ninety (90) days or (ii) effect any Demand Registration (A) within six (6) months of a “firm commitment” Underwritten Offering in which the Holders were offered “piggyback” rights pursuant to Section 4.2 (subject to Section 4.2(b)) and at least 75% of the number of Registrable Securities requested by the Holders to be included in such Demand Registration were included and sold, (B) within three (3) months of the completion of any other Demand Registration (including any Underwritten Offering pursuant to any Shelf Registration Statement), (C) if, in the Company’s reasonable judgment, it is not feasible for the Company to proceed with the Demand Registration because of the unavailability of audited or other required financial statements or other required information; provided, that the Company shall use its commercially reasonable efforts to obtain such financial statements or information as promptly as practicable or (D) for an amount that is less than the Registrable Amount. </w:t>
      </w:r>
    </w:p>
    <w:p>
      <w:pPr>
        <w:pStyle w:val="TextBody"/>
        <w:bidi w:val="0"/>
        <w:spacing w:before="240" w:after="0"/>
        <w:jc w:val="left"/>
        <w:rPr>
          <w:rFonts w:ascii="Times New Roman" w:hAnsi="Times New Roman"/>
          <w:sz w:val="20"/>
        </w:rPr>
      </w:pPr>
      <w:r>
        <w:rPr>
          <w:rFonts w:ascii="Times New Roman" w:hAnsi="Times New Roman"/>
          <w:sz w:val="20"/>
        </w:rPr>
        <w:t xml:space="preserve">(f) If, in connection with a Demand Registration that involves an Underwritten Offering, the lead managing underwriter(s) advise(s) the Company that, in its (their) good faith opinion, the inclusion of all of the securities sought to be registered in connection with such Demand Registration would adversely affect the price, timing or distribution of the securities offered, the market for the securities offered or the success of such Demand Registration, then the Company shall include in such Registration Statement only such securities as the Company is advised by such lead managing underwriter(s) can be sold without such an adverse effect as follows and in the following order of priority: (i) first, up to the number of Registrable Securities requested to be included in such Demand Registration by the Holders, which, in the opinion of the lead managing underwriter(s), can be sold without such an effect; (ii) second, securities the Company proposes to sell; and (iii) third, all other securities of the Company duly requested to be included in such Registration Statement, pro rata on the basis of the amount of such other securities requested to be included or such other allocation method determined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(g) Any time that a Demand Registration involves an Underwritten Offering, the Holder or Holders of a majority of the Registrable Securities to be sold in such Underwritten Offering shall select the investment banker(s) and manager(s) that will serve as managing underwriter(s) (including which such managing underwriter(s) will serve as lead or co-lead) and underwriter(s) with respect to the offering of such Registrable Securities; provided, that such investment banker(s) and manager(s) shall be acceptable to the Company (such acceptance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Any Holder may, by written notice to the Company, withdraw its Registrable Securities from a Demand Registration at any time prior to the effectiveness of the applicable Registration Statement. Upon receipt of notice from a Holder to such effect, or if such withdrawal shall reduce the number of Registrable Securities sought to be included in such Demand Registration below the Registrable Amount, the Company shall cease all efforts to seek effectiveness of the applicable Registration Statement, unless the Company intends to effect a primary offering of securities or a Piggyback Registration pursuant to such Registration Statement. In any such event, such Demand Registration shall count as a Demand Registration for purposes of the limitations set forth in Section 4.1(a); provided, however, that a Demand Registration shall not count as a Demand Registration for purposes of such limitations if such withdrawal was made as a result of (i) a suspension of the use of the applicable Registration Statement by the Company pursuant to Section 4.7(b), (ii) the Company’s deferral of such Demand Registration on account of an Adverse Disclosure or any other event described in Section 4.7(b), (iii) any material adverse change in the business, financial condition or prospects of the Company that was not known to the Holders at the time of the applicable Demand, or (iv) any stop order, injunction or other order or requirement of the SEC or other Governmental Authority with respect to the applicable Registration Statement that was not caused by any act or omission of any Holder.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Piggyback Registrations.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and after the Closing, subject to the terms and conditions hereof, whenever the Company proposes to register any Common Stock under the Securities Act (other than a registration by the Company (i) on Form S-4 or any successor form thereto (or similar form that relates to a transaction subject to Rule 145 under the Securities Act or any successor rule thereto), (ii) on Form S-8 or any successor form thereto (or other registration solely relating to an offering or sale to employees or directors of the Company pursuant to any employee stock plan or other employee benefit arrangement), (iii) on a Shelf Registration Statement, (iv) in connection with any dividend or distribution reinvestment or similar plan, (v) incidental to an issuance of debt securities under Rule 144A or (vi) pursuant to Section 4.1) (such registration other than those referred to in the immediately preceding parenthetical, a “</w:t>
      </w:r>
      <w:r>
        <w:rPr>
          <w:rFonts w:ascii="Times New Roman" w:hAnsi="Times New Roman"/>
          <w:sz w:val="20"/>
          <w:u w:val="single"/>
        </w:rPr>
        <w:t>Piggyback Registration</w:t>
      </w:r>
      <w:r>
        <w:rPr>
          <w:rFonts w:ascii="Times New Roman" w:hAnsi="Times New Roman"/>
          <w:sz w:val="20"/>
        </w:rPr>
        <w:t>”), whether for its own account or for the account of others, the Company shall give each Holder prompt written notice thereof (but not less than fifteen (15) Business Days prior to the filing by the Company with the SEC of any Registration Statement with respect thereto). Such notice (a “</w:t>
      </w:r>
      <w:r>
        <w:rPr>
          <w:rFonts w:ascii="Times New Roman" w:hAnsi="Times New Roman"/>
          <w:sz w:val="20"/>
          <w:u w:val="single"/>
        </w:rPr>
        <w:t>Piggyback Notice</w:t>
      </w:r>
      <w:r>
        <w:rPr>
          <w:rFonts w:ascii="Times New Roman" w:hAnsi="Times New Roman"/>
          <w:sz w:val="20"/>
        </w:rPr>
        <w:t xml:space="preserve">”) shall specify the number of shares of Common Stock proposed to be registered, the proposed date of filing of such Registration Statement with the SEC, the proposed means of distribution, the proposed managing underwriter(s) (if any) and a good faith estimate by the Company of the proposed minimum offering price of such shares of Common Stock, in each case to the extent then known. Subject to Section 4.2(b), the Company shall include in each such Piggyback Registration all Registrable Securities held by the Holders with respect to which the Company has received a written request (which written request shall specify the number of Registrable Securities requested to be disposed of by each Holder) for inclusion therein within ten (10) Business Days after such Piggyback Notice is received by each Holder. </w:t>
      </w:r>
    </w:p>
    <w:p>
      <w:pPr>
        <w:pStyle w:val="TextBody"/>
        <w:bidi w:val="0"/>
        <w:spacing w:before="240" w:after="0"/>
        <w:jc w:val="left"/>
        <w:rPr>
          <w:rFonts w:ascii="Times New Roman" w:hAnsi="Times New Roman"/>
          <w:sz w:val="20"/>
        </w:rPr>
      </w:pPr>
      <w:r>
        <w:rPr>
          <w:rFonts w:ascii="Times New Roman" w:hAnsi="Times New Roman"/>
          <w:sz w:val="20"/>
        </w:rPr>
        <w:t>(b) If, in connection with a Piggyback Registration that involves an Underwritten Offering, the lead managing underwriter(s) advises the Company that, in its opinion, the inclusion of all the shares of Common Stock sought to be included in such Piggyback Registration by (i) the Company, (ii) other Persons who have sought to have shares of Common Stock registered in such Piggyback Registration pursuant to rights to demand (other than pursuant to so-called “piggyback” or other incidental or participation registration rights) such registration (such Persons being “</w:t>
      </w:r>
      <w:r>
        <w:rPr>
          <w:rFonts w:ascii="Times New Roman" w:hAnsi="Times New Roman"/>
          <w:sz w:val="20"/>
          <w:u w:val="single"/>
        </w:rPr>
        <w:t>Other Demanding Sellers</w:t>
      </w:r>
      <w:r>
        <w:rPr>
          <w:rFonts w:ascii="Times New Roman" w:hAnsi="Times New Roman"/>
          <w:sz w:val="20"/>
        </w:rPr>
        <w:t>”), (iii) the Holders and (iv) any other proposed sellers of shares of Common Stock (such Persons being “</w:t>
      </w:r>
      <w:r>
        <w:rPr>
          <w:rFonts w:ascii="Times New Roman" w:hAnsi="Times New Roman"/>
          <w:sz w:val="20"/>
          <w:u w:val="single"/>
        </w:rPr>
        <w:t>Other Proposed Sellers</w:t>
      </w:r>
      <w:r>
        <w:rPr>
          <w:rFonts w:ascii="Times New Roman" w:hAnsi="Times New Roman"/>
          <w:sz w:val="20"/>
        </w:rPr>
        <w:t xml:space="preserve">”), as the case may be, would adversely affect the price, timing or distribution of the securities offered, the market for the securities offered or the success of such Piggyback Registration, then the Company shall include in the Registration Statement applicable to such Piggyback Registration only such shares of Common Stock as the Company is so advised by such lead managing underwriter(s) can be sold without such an effect, as follows and in the following order of priority: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the Piggyback Registration relates to an offering for the Company’s own account, then (A) first, the shares of Common Stock to be sold by the Company, (B) second, the Registrable Securities of the Holders and shares of Common Stock sought to be registered by Other Demanding Sellers, pro rata on the basis of the number of Registrable Securities proposed to be sold by the Holders and the number of shares of Common Stock proposed to be sold by such Other Demanding Sellers, and (C) third, shares of Common Stock sought to be registered by Other Proposed Sellers; or </w:t>
      </w:r>
    </w:p>
    <w:p>
      <w:pPr>
        <w:pStyle w:val="TextBody"/>
        <w:bidi w:val="0"/>
        <w:spacing w:before="240" w:after="0"/>
        <w:jc w:val="left"/>
        <w:rPr>
          <w:rFonts w:ascii="Times New Roman" w:hAnsi="Times New Roman"/>
          <w:sz w:val="20"/>
        </w:rPr>
      </w:pPr>
      <w:r>
        <w:rPr>
          <w:rFonts w:ascii="Times New Roman" w:hAnsi="Times New Roman"/>
          <w:sz w:val="20"/>
        </w:rPr>
        <w:t xml:space="preserve">(ii) if the Piggyback Registration relates to an offering other than for the Company’s own account, then (A) first, the Registrable Securities of the Holders and shares of Common Stock sought to be registered by the Other Demanding Sellers and any Other Proposed Sellers, pro rata on the basis of the number of shares of Common Stock proposed to be sold by the Holders and the number of shares of Common Stock proposed to be sold by such Other Demanding Sellers and Other Proposed Sellers, and (B) second, the shares of Common Stock to be sold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any Underwritten Offering under this Section 4.2, the Company shall not be required to include the Registrable Securities of any Holder in the Underwritten Offering unless such Holder accepts the terms of the underwriting as agreed upon between the Company and the lead managing underwriter(s), which shall be selected in good faith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after giving written notice of its intention to register any shares of Common Stock as set forth in this Section 4.2, the Company shall determine for any reason not to register such shares of Common Stock, the Company may, at its election, give written notice of such determination to each Holder and thereupon shall be relieved of its obligation to register any Registrable Securities in connection with such particular withdrawn or abandoned Piggyback Registration.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Shelf 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use its commercially reasonable efforts to prepare and file, as soon as reasonably practicable within thirty (30) days following the Closing, a Registration Statement covering the sale or distribution from time to time by any Holder, on a delayed or continuous basis pursuant to Rule 415 of the Securities Act, of all of the Registrable Securities of such Holder on Form S-3 (except if the Company is not then eligible to register for resale the Registrable Securities on Form S-3, in which case such registration shall be on another appropriate form and shall provide for the registration of such Registrable Securities for resale by each Holder in accordance with any reasonable method of distribution elected by such Holder) (the “</w:t>
      </w:r>
      <w:r>
        <w:rPr>
          <w:rFonts w:ascii="Times New Roman" w:hAnsi="Times New Roman"/>
          <w:sz w:val="20"/>
          <w:u w:val="single"/>
        </w:rPr>
        <w:t>Shelf Registration Statement</w:t>
      </w:r>
      <w:r>
        <w:rPr>
          <w:rFonts w:ascii="Times New Roman" w:hAnsi="Times New Roman"/>
          <w:sz w:val="20"/>
        </w:rPr>
        <w:t xml:space="preserve">”) and shall further use its commercially reasonable efforts to cause such Shelf Registration Statement to be declared effective by the SEC as soon as reasonably practicable after the filing thereof (it being agreed that the Shelf Registration Statement shall be an automatic shelf registration statement that shall become effective upon filing with the SEC pursuant to Rule 462(e) if Rule 462(e) is then available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4.3(c), the Company will use its commercially reasonable efforts to keep the Shelf Registration Statement continuously effective under the Securities Act until such time as all Registrable Securities covered by the Shelf Registration Statement have been sold or otherwise cease to be Registrable Securities. The Company shall supplement and amend any Shelf Registration Statement if required by the Securities Act or the rules, regulations or instructions applicable to the registration form used by the Company for such Shelf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At any time that a Shelf Registration Statement is effective, if any Holder delivers a notice to the Company (a “</w:t>
      </w:r>
      <w:r>
        <w:rPr>
          <w:rFonts w:ascii="Times New Roman" w:hAnsi="Times New Roman"/>
          <w:sz w:val="20"/>
          <w:u w:val="single"/>
        </w:rPr>
        <w:t>Take-Down Notice</w:t>
      </w:r>
      <w:r>
        <w:rPr>
          <w:rFonts w:ascii="Times New Roman" w:hAnsi="Times New Roman"/>
          <w:sz w:val="20"/>
        </w:rPr>
        <w:t>”) stating that it intends to sell all or part of its Registrable Securities included by it on the Shelf Registration Statement in an Underwritten Offering (a “</w:t>
      </w:r>
      <w:r>
        <w:rPr>
          <w:rFonts w:ascii="Times New Roman" w:hAnsi="Times New Roman"/>
          <w:sz w:val="20"/>
          <w:u w:val="single"/>
        </w:rPr>
        <w:t>Shelf Offering</w:t>
      </w:r>
      <w:r>
        <w:rPr>
          <w:rFonts w:ascii="Times New Roman" w:hAnsi="Times New Roman"/>
          <w:sz w:val="20"/>
        </w:rPr>
        <w:t xml:space="preserve">”), then the Company shall promptly amend or supplement the Shelf Registration Statement as may be necessary in order to enable such Registrable Securities to be distributed pursuant to the Shelf Offering; </w:t>
      </w:r>
      <w:r>
        <w:rPr>
          <w:rFonts w:ascii="Times New Roman" w:hAnsi="Times New Roman"/>
          <w:sz w:val="20"/>
          <w:u w:val="single"/>
        </w:rPr>
        <w:t>provided</w:t>
      </w:r>
      <w:r>
        <w:rPr>
          <w:rFonts w:ascii="Times New Roman" w:hAnsi="Times New Roman"/>
          <w:sz w:val="20"/>
        </w:rPr>
        <w:t xml:space="preserve"> that the Company shall not be obligated to effect more than two (2) Shelf Offerings during any calendar year or to effect any Shelf Offering for less than the Registrable Amount. </w:t>
      </w:r>
    </w:p>
    <w:p>
      <w:pPr>
        <w:pStyle w:val="TextBody"/>
        <w:bidi w:val="0"/>
        <w:spacing w:before="240" w:after="0"/>
        <w:jc w:val="left"/>
        <w:rPr>
          <w:rFonts w:ascii="Times New Roman" w:hAnsi="Times New Roman"/>
          <w:sz w:val="20"/>
        </w:rPr>
      </w:pPr>
      <w:r>
        <w:rPr>
          <w:rFonts w:ascii="Times New Roman" w:hAnsi="Times New Roman"/>
          <w:sz w:val="20"/>
        </w:rPr>
        <w:t xml:space="preserve">(d) In connection with any Shelf Offering, if the lead managing underwriter(s) advises the Company and each Holder participating in such Shelf Offering that, in its opinion, the inclusion of all of the securities sought to be sold in connection with such Shelf Offering would adversely affect the price, timing or distribution of the securities offered, the market for the securities offered or the success of such Shelf Offering, then there shall be included in such Shelf Offering only such securities as the lead managing underwriter(s) advises can be sold without such adverse effect, and such number of Registrable Securities shall be allocated in the same manner as described in Section 4.1(f). Except as otherwise expressly specified in this Section 4.3, any Shelf Offering shall be subject to the same requirements, limitations and other provisions of this Section 4 as would be applicable to a Demand Registration (i.e., as if such Shelf Offering were a Demand Registration), including Section 4.1(e)(ii), Section 4.1(g) and Section 4.1(h). </w:t>
      </w:r>
    </w:p>
    <w:p>
      <w:pPr>
        <w:pStyle w:val="TextBody"/>
        <w:bidi w:val="0"/>
        <w:spacing w:before="240" w:after="0"/>
        <w:jc w:val="left"/>
        <w:rPr>
          <w:rFonts w:ascii="Times New Roman" w:hAnsi="Times New Roman"/>
          <w:sz w:val="20"/>
        </w:rPr>
      </w:pPr>
      <w:r>
        <w:rPr>
          <w:rFonts w:ascii="Times New Roman" w:hAnsi="Times New Roman"/>
          <w:sz w:val="20"/>
        </w:rPr>
        <w:t xml:space="preserve">(e) If any of the Registrable Securities is to be sold in a Shelf Offering initiated by a Holder, the Holder or Holders of a majority of the Registrable Securities to be sold in such Shelf Offering shall select the investment banker(s) and manager(s) that will serve as managing underwriter(s) (including which such managing underwriter(s) will serve as lead or co-lead) and underwriter(s) with respect to the offering of such Registrable Securities; provided, that such investment banker(s) and manager(s) shall be acceptable to the Company (such acceptance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(f) If a Person entitled to the benefits of this Agreement becomes a Holder of Registrable Securities after a Shelf Registration Statement becomes effective under the Securities Act, the Company shall, as promptly as is reasonably practicable following delivery of written notice to the Company of such Person becoming a Holder and requesting for its name to be included as a selling securityholder in the prospectus related to the Shelf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if required and permitted by applicable Law, file with the SEC a supplement to the related prospectus or a post-effective amendment to the Shelf Registration Statement so that such Holder is named as a selling securityholder in the Shelf Registration Statement and the related prospectus in such a manner as to permit such Holder to deliver a prospectus to purchasers of the Registrable Securities in accordance with applicable Law; provided, however, that the Company shall not be required to file more than one post-effective amendment or a supplement to the related prospectus for such purpose in any 30-day period; and </w:t>
      </w:r>
    </w:p>
    <w:p>
      <w:pPr>
        <w:pStyle w:val="TextBody"/>
        <w:bidi w:val="0"/>
        <w:spacing w:before="240" w:after="0"/>
        <w:jc w:val="left"/>
        <w:rPr>
          <w:rFonts w:ascii="Times New Roman" w:hAnsi="Times New Roman"/>
          <w:sz w:val="20"/>
        </w:rPr>
      </w:pPr>
      <w:r>
        <w:rPr>
          <w:rFonts w:ascii="Times New Roman" w:hAnsi="Times New Roman"/>
          <w:sz w:val="20"/>
        </w:rPr>
        <w:t xml:space="preserve">(ii) if, pursuant to the foregoing clause (i), the Company shall have filed a post-effective amendment to the Shelf Registration Statement that is not automatically effective, use its commercially reasonable efforts to cause such post-effective amendment to become effective under the Securities Act as promptly as is reasonably practicable and notify such Holder as promptly as is reasonably practicable after the effectiveness under the Securities Act of any post-effective amendment filed pursuant to this clause (ii).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Holdback Agreements.</w:t>
      </w:r>
      <w:r>
        <w:rPr>
          <w:rFonts w:ascii="Times New Roman" w:hAnsi="Times New Roman"/>
          <w:sz w:val="20"/>
        </w:rPr>
        <w:t xml:space="preserve"> In connection with any Underwritten Offering, each Holder that elects to participate in the Underwritten Offering pursuant to the terms of this Agreement agrees that it shall not Transfer any shares of Common Stock or other equity securities of the Company (other than those included in such offering pursuant to this Agreement), without the prior written consent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60-day period beginning on the date of pricing of such offering or such shorter period during which the Company agrees not to conduct an underwritten primary offering of Common Stock, except in the event the underwriters managing the offering otherwise agree by written consent. Each Holder agrees to execute a customary lock-up agreement in favor of the underwriters to such effect (in each case on substantially the same terms and conditions as all such Holders).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and whenever the Company is required to use commercially reasonable efforts to effect the registration of any Registrable Securities under the Securities Act as provided in Section 4.1 or Section 4.3, the Company shall as promptly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(i) prepare and file with the SEC a Registration Statement to effect such registration in accordance with the intended method or methods of distribution of such securities and thereafter use commercially reasonable efforts to cause such Registration Statement to become and remain effective pursuant to the terms of this Section 4; provided, however, that the Company may discontinue any registration of its securities which are not Registrable Securities at any time prior to the effective date of the Registration Statement relating thereto; provided, further, that before filing such Registration Statement or any amendments thereto, the Company will furnish to each Holder, counsel to each Holder and the lead managing underwriter(s), if any, copies of all such documents proposed to be filed, which documents will be subject to the review and reasonable comment of the Holders and such counsel, and other documents reasonably requested by any Holder or such counsel, including any comment letter from the SEC, and, if requested by any Holder or such counsel, provide such counsel reasonable opportunity to participate in the preparation of such Registration Statement and each prospectus included therein and such other opportunities to conduct a reasonable investigation within the meaning of the Securities Act, including reasonable access to the Company’s books and records, officers, accountants and other advisors; provided, that the Company shall not have any obligation to modify any information if the Company reasonably expects that so doing would cause (A) the Registration Statement to contain an untrue statement of a material fact or omit to state any material fact required to be stated therein or necessary to make the statements therein not misleading or (B) the prospectus to contain an untrue statement of a material fact or to omit to state a material fact necessary in order to make the statements made,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(ii) prepare and file with the SEC such amendments and supplements to such Registration Statement and the prospectus used in connection therewith as may be necessary to keep such Registration Statement effective pursuant to the terms of this Section 4, and comply with the provisions of the Securities Act with respect to the disposition of all securities covered by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(iii) if requested by the lead managing underwriter(s), if any, or the Holder of any Registrable Securities to be sold in an Underwritten Offering, as promptly as reasonably practicable, include in a prospectus supplement or post-effective amendment such information as the lead managing underwriter(s), if any, and such Holder may reasonably request in order to permit the intended method of distribution of such securities and make all required filings of such prospectus supplement or such post-effective amendment as soon as reasonably practicable after the Company has received such request; provided, however, that the Company shall not be required to take any actions under this Section 4.5(a)(iii) that are not, in the opinion of counsel for the Company, in compliance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furnish to each Holder and each underwriter, if any, of the securities being sold such number of conformed copies of such Registration Statement and of each amendment and supplement thereto, such number of copies of the prospectus contained in such Registration Statement (including each preliminary prospectus and any summary prospectus) and each free writing prospectus (as defined in Rule 405 of the Securities Act) (a “</w:t>
      </w:r>
      <w:r>
        <w:rPr>
          <w:rFonts w:ascii="Times New Roman" w:hAnsi="Times New Roman"/>
          <w:sz w:val="20"/>
          <w:u w:val="single"/>
        </w:rPr>
        <w:t>Free Writing Prospectus</w:t>
      </w:r>
      <w:r>
        <w:rPr>
          <w:rFonts w:ascii="Times New Roman" w:hAnsi="Times New Roman"/>
          <w:sz w:val="20"/>
        </w:rPr>
        <w:t xml:space="preserve">”) utilized in connection therewith and any other prospectus filed under Rule 424 under the Securities Act, in conformity with the requirements of the Securities Act, and such other documents as any Holder or the underwriter(s), if any, may reasonably request in order to facilitate the public sale or other disposition of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(v) use commercially reasonable efforts to register or qualify or cooperate with each Holder, the underwriter(s), if any, and their respective counsel in connection with the registration or qualification (or exemption from such registration or qualification) of the Registrable Securities covered by such Registration Statement under such other securities laws or “blue sky” laws of such jurisdictions as any Holder and any underwriter of the securities being sold shall reasonably request, and to keep each such registration or qualification (or exemption therefrom) effective during the period such Registration Statement is required to be kept effective and take any other action which may be necessary to enable the Holders and underwriter(s) to consummate the disposition in such jurisdictions of the Registrable Securities, except that the Company shall not for any such purpose be required to (A) qualify generally to do business as a foreign corporation in any jurisdiction wherein it would not but for the requirements of this clause (v) be obligated to be so qualified, (B) subject itself to taxation in any such jurisdiction or (C) file a general consent to service of process in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(vi) use commercially reasonable efforts to cause such Registrable Securities to be listed on each securities exchange on which similar securities issued by the Company are then listed; </w:t>
      </w:r>
    </w:p>
    <w:p>
      <w:pPr>
        <w:pStyle w:val="TextBody"/>
        <w:bidi w:val="0"/>
        <w:spacing w:before="240" w:after="0"/>
        <w:jc w:val="left"/>
        <w:rPr>
          <w:rFonts w:ascii="Times New Roman" w:hAnsi="Times New Roman"/>
          <w:sz w:val="20"/>
        </w:rPr>
      </w:pPr>
      <w:r>
        <w:rPr>
          <w:rFonts w:ascii="Times New Roman" w:hAnsi="Times New Roman"/>
          <w:sz w:val="20"/>
        </w:rPr>
        <w:t xml:space="preserve">(vii) use commercially reasonable efforts to provide and cause to be maintained a transfer agent and registrar for all Registrable Securities covered by such Registration Statement from and after a date not later than the effective date of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(viii) enter into such agreements (including an underwriting agreement in form, scope and substance as is customary in underwritten offerings) and use its commercially reasonable efforts to take all such other actions reasonably requested by the Holders of a majority of the Registrable Securities being sold in connection therewith (including those reasonably requested by the lead managing underwriter(s), if any) to expedite or facilitate the disposition of such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(ix) in connection with an Underwritten Offering, use commercially reasonable efforts to obtain for each Holder and underwriter(s), if any, (A) opinions of counsel for the Company, covering the legal matters customarily covered in opinions requested of legal counsel to issuers in underwritten secondary offerings and (B) “comfort” letters and updates thereof (or, in the case of any such Person which does not satisfy the conditions for receipt of a “comfort” letter specified in AS 6101 published by the Public Company Accounting Oversight Board (PCAOB), an “agreed upon procedures” letter) signed by the independent public accountants who have certified the Company’s financial statements and, to the extent required, any other financial statements included in such Registration Statement, covering the matters customarily covered in “comfort” letters in connection with underwritten offerings;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 make available for inspection by each Holder, any underwriter participating in any disposition pursuant to any Registration Statement, and any attorney, accountant or other agent or representative retained in connection with such offering by any Holder or underwriter (collectively, the “</w:t>
      </w:r>
      <w:r>
        <w:rPr>
          <w:rFonts w:ascii="Times New Roman" w:hAnsi="Times New Roman"/>
          <w:sz w:val="20"/>
          <w:u w:val="single"/>
        </w:rPr>
        <w:t>Inspectors</w:t>
      </w:r>
      <w:r>
        <w:rPr>
          <w:rFonts w:ascii="Times New Roman" w:hAnsi="Times New Roman"/>
          <w:sz w:val="20"/>
        </w:rPr>
        <w:t>”), financial and other records, pertinent corporate documents and instruments of the Company and other relevant information of the Company (collectively, the “</w:t>
      </w:r>
      <w:r>
        <w:rPr>
          <w:rFonts w:ascii="Times New Roman" w:hAnsi="Times New Roman"/>
          <w:sz w:val="20"/>
          <w:u w:val="single"/>
        </w:rPr>
        <w:t>Records</w:t>
      </w:r>
      <w:r>
        <w:rPr>
          <w:rFonts w:ascii="Times New Roman" w:hAnsi="Times New Roman"/>
          <w:sz w:val="20"/>
        </w:rPr>
        <w:t xml:space="preserve">”), as shall be reasonably necessary to enable them to exercise their due diligence responsibility; provided, however, that the Company shall not be required to provide any information under this clause (x) if (A) the Company believes, after consultation with counsel for the Company, that to do so would cause the Company to forfeit an attorney-client or other applicable privilege that was applicable to such information or (B) if either (1) the Company has requested and been granted from the SEC confidential treatment of such information contained in any filing with the SEC or documents provided supplementally or otherwise or (2) the Company reasonably determines in good faith that such Records are confidential and so notifies the Inspectors in writing; unless, prior to furnishing any such information with respect to clause (1) or (2), each Holder enters into, and causes each of its Inspectors to enter into, a confidentiality agreement on terms and conditions reasonably acceptable to the Company; provided, further, that each Holder agrees that it will, upon learning that disclosure of such Records is sought in a court of competent jurisdiction or by another Governmental Authority, give notice to the Company and allow the Company, at its expense, to undertake appropriate action seeking to prevent disclosure of the Records deemed confidential; </w:t>
      </w:r>
    </w:p>
    <w:p>
      <w:pPr>
        <w:pStyle w:val="TextBody"/>
        <w:bidi w:val="0"/>
        <w:spacing w:before="240" w:after="0"/>
        <w:jc w:val="left"/>
        <w:rPr>
          <w:rFonts w:ascii="Times New Roman" w:hAnsi="Times New Roman"/>
          <w:sz w:val="20"/>
        </w:rPr>
      </w:pPr>
      <w:r>
        <w:rPr>
          <w:rFonts w:ascii="Times New Roman" w:hAnsi="Times New Roman"/>
          <w:sz w:val="20"/>
        </w:rPr>
        <w:t xml:space="preserve">(xi) as promptly as practicable notify each Holder and the underwriter(s), if any, of the following events: (A) the filing of the Registration Statement, any amendment thereto, the prospectus or any prospectus supplement related thereto or post-effective amendment to the Registration Statement or any Free Writing Prospectus utilized in connection therewith, and, with respect to the Registration Statement or any post-effective amendment thereto, when the same has become effective; (B) any request by the SEC or any other Governmental Authority for amendments or supplements to the Registration Statement or the prospectus or for additional information; (C) the issuance by the SEC of any stop order suspending the effectiveness of the Registration Statement or the initiation of any proceedings by any Person for that purpose; (D) the receipt by the Company of any notification with respect to the suspension of the qualification of any Registrable Securities for sale under the securities or “blue sky” laws of any jurisdiction or the initiation or threat of any proceeding for such purpose; (E) if at any time the representations and warranties of the Company contained in any underwriting agreement contemplated by Section 4.5(a)(viii) cease to be true and correct in any material respect; and (F) upon becoming aware of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and, at the request of any Holder, promptly prepare and furnish to such Holder a reasonable number of copies of a supplement to or an amendment of such Registration Statement or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use commercially reasonable efforts to obtain the withdrawal of any order suspending the effectiveness of such Registration Statement, or the lifting of any suspension of the qualification (or exemption from qualification) of any of the Registrable Securities for sale in any jurisdiction at the earliest reasonably practicable date, except that the Company shall not for any such purpose be required to (A) qualify generally to do business as a foreign corporation in any jurisdiction wherein it would not but for the requirements of this clause (xii) be obligated to be so qualified, (B) subject itself to taxation in any such jurisdiction or (C) file a general consent to service of process in any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(xiii) cooperate with each Holder and the lead managing underwriter(s) to facilitate the timely preparation and delivery of certificates (which shall not bear any restrictive legends unless required under applicable Law) representing securities sold under any Registration Statement, and enable such securities to be in such denominations and registered in such names as the lead managing underwriter(s) or any Holder may request and keep available and make available to the Company’s transfer agent prior to the effectiveness of such Registration Statement a supply of such certificates; </w:t>
      </w:r>
    </w:p>
    <w:p>
      <w:pPr>
        <w:pStyle w:val="TextBody"/>
        <w:bidi w:val="0"/>
        <w:spacing w:before="240" w:after="0"/>
        <w:jc w:val="left"/>
        <w:rPr>
          <w:rFonts w:ascii="Times New Roman" w:hAnsi="Times New Roman"/>
          <w:sz w:val="20"/>
        </w:rPr>
      </w:pPr>
      <w:r>
        <w:rPr>
          <w:rFonts w:ascii="Times New Roman" w:hAnsi="Times New Roman"/>
          <w:sz w:val="20"/>
        </w:rPr>
        <w:t xml:space="preserve">(xiv) cooperate with each Holder and each underwriter or agent participating in the disposition of any Registrable Securities and their respective counsel in connection with any filings required to be made with FINRA; and </w:t>
      </w:r>
    </w:p>
    <w:p>
      <w:pPr>
        <w:pStyle w:val="TextBody"/>
        <w:bidi w:val="0"/>
        <w:spacing w:before="240" w:after="0"/>
        <w:jc w:val="left"/>
        <w:rPr>
          <w:rFonts w:ascii="Times New Roman" w:hAnsi="Times New Roman"/>
          <w:sz w:val="20"/>
        </w:rPr>
      </w:pPr>
      <w:r>
        <w:rPr>
          <w:rFonts w:ascii="Times New Roman" w:hAnsi="Times New Roman"/>
          <w:sz w:val="20"/>
        </w:rPr>
        <w:t xml:space="preserve">(xv) have appropriate officers of the Company prepare and make presentations at a reasonable and customary number of “road shows” and before analysts and rating agencies, as the case may be, and other information meetings reasonably organized by the underwriter(s) and otherwise use its commercially reasonable efforts to cooperate as reasonably requested by any Holder and the underwriter(s) in the offering, marketing or selling of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require each Holder and each underwriter, if any, to furnish the Company in writing such information regarding such Holder or underwriter and the distribution of such Registrable Securities as the Company may from time to time reasonably request in writing to complete or amend the information required by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Each Holder shall as promptly as practicable notify in writing the Company and the underwriter(s), if any, with respect to any registered offering of Registrable Securities if at any time the representations and warranties of such Holder contained in any underwriting agreement cease to be true and correct in any material respect and upon becoming aware of the happening of any event that makes any statement made in such Registration Statement or related prospectus or any document incorporated or deemed to be incorporated therein by reference, to the extent based on information provided by such Holder,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in each case to the extent based on information provided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(d) Each Holder agrees that upon receipt of any notice from the Company of the happening of any event of the kind described in clauses (B), (C), (D), (E) and (F) of Section 4.5(a)(xi), such Holder shall forthwith discontinue its disposition of Registrable Securities pursuant to the applicable Registration Statement and prospectus relating thereto until it receives copies of the supplemented or amended prospectus contemplated by Section 4.5(a)(xi), or until it is advised in writing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the use of the applicable prospectus may be resumed, and has received copies of any additional or supplemental filings that are incorporated or deemed to be incorporated by reference in such prospectus; provided, however, that the Company shall extend the time periods under Section 4.1(c) with respect to the length of time that the effectiveness of a Registration Statement must be maintained by the amount of time such Holder is required to discontinue disposition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Registration Expenses</w:t>
      </w:r>
      <w:r>
        <w:rPr>
          <w:rFonts w:ascii="Times New Roman" w:hAnsi="Times New Roman"/>
          <w:sz w:val="20"/>
        </w:rPr>
        <w:t xml:space="preserve">. All fees and expenses incident to the Company’s performance of its obligations under this Section 4, including (a) all registration and filing fees, including all fees and expenses of compliance with securities and “blue sky” laws and all fees and expenses associated with filings required to be made with FINRA (including, if applicable, the fees and expenses of any “qualified independent underwriter” as such term is defined in FINRA Rule 5121), (b) all printing (including expenses of printing certificates for the Registrable Securities in a form eligible for deposit with the Depository Trust Company and of printing prospectuses if the printing of prospectuses is requested by any Holder) and copying expenses, (c) all messenger, telephone and delivery expenses, (d) all fees and expenses of the Company’s independent certified public accountants and counsel (including with respect to “comfort” letters and opinions) and (e) expenses of the Company incurred in connection with any “road show”, shall be borne solely by the Company whether or not any Registration Statement is filed or becomes effective. Each Holder shall pay (i) all underwriters’, brokers’ or dealers’ discounts or commissions and transfer taxes, if any, relating to the sale of such Holder’s Registrable Securities pursuant to any registration and (ii) the legal fees and expenses of its counsel.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Registration 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 less than five (5) Business Days before the expected filing date of each Registration Statement pursuant to this Agreement, the Company shall notify each Holder, if such Holder has timely provided the requisite notice hereunder entitling it to register Registrable Securities in such Registration Statement, of the information, documents and instruments from such Holder that the Company or any underwriter reasonably requests in connection with such Registration Statement, including a questionnaire, custody agreement, power of attorney, lock-up letter and underwriting agreement (the “</w:t>
      </w:r>
      <w:r>
        <w:rPr>
          <w:rFonts w:ascii="Times New Roman" w:hAnsi="Times New Roman"/>
          <w:sz w:val="20"/>
          <w:u w:val="single"/>
        </w:rPr>
        <w:t>Requested Information</w:t>
      </w:r>
      <w:r>
        <w:rPr>
          <w:rFonts w:ascii="Times New Roman" w:hAnsi="Times New Roman"/>
          <w:sz w:val="20"/>
        </w:rPr>
        <w:t xml:space="preserve">”). If the Company has not received, on or before the second (2nd) Business Day before the expected filing date, the Requested Information from any Holder, the Company may file the Registration Statement without including Registrable Securities of such Holder. The failure to so include in any Registration Statement the Registrable Securities of a Holder (with regard to that Registration Statement) shall not result in any liability on the part of the Company to such Holder.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Section 4 to the contrary, the Company shall be entitled on up to two (2) occasions in any twelve (12) month period, for a period of time not to exceed sixty (60) days in the aggregate in any twelve (12) month period to (x) defer any registration of Registrable Securities and shall have the right not to file and not to cause the effectiveness of any registration covering any Registrable Securities, (y) suspend the use of any prospectus and Registration Statement covering any Registrable Securities and (z) require the Holders to suspend any offerings or sales of Registrable Securities pursuant to a Registration Statement, if the Company delivers to each Holder a certificate signed by an executive officer certifying that such registration and offering would (i) require the Company to make an Adverse Disclosure or (ii) materially interfere with any bona fide material financing, acquisition, disposition or other similar transaction involving the Company or any of its Subsidiaries then under consideration. Such certificate shall contain a statement of the reasons for such suspension and an approximation of the anticipated length of such suspension. Each Holder shall keep the information contained in such certificate confidential.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 other provision of this Section 4, no Holder shall sell, transfer or otherwise dispose of any Registrable Securities pursuant to any Registration Statement, Demand Registration, Piggyback Registration, Shelf Registration Statement, Shelf Offering or other offering or sale effected pursuant to this Section 4 unless and until such Registrable Securities have been released from the lock-up restrictions in accordance with Section 2.1(a) (including, for the avoidance of doubt, the tranche release schedule set forth therein) or Section 2.4. For the avoidance of doubt, any Underwritten Offering, Shelf Offering or other sale of Registrable Securities pursuant to this Section 4 shall be subject to and limited by the lock-up restrictions and tranche release schedule applicable to such Registrable Securities under Section 2.1, and no provision of this Section 4 shall be construed to permit the sale of any Lock-Up Shares prior to the applicable release date for such shares under Section 2.1(a) (unless such shares are no longer subject to the lock-up restrictions pursuant to Section 2.4). Each Holder shall be responsible for ensuring that any sale of Registrable Securities complies with the lock-up restrictions and tranche release schedule set forth in Section 2.1 (unless such Registrable Securities are no longer subject to the lock-up restrictions pursuant to Section 2.4), and the Company shall have no liability to any Holder for any delay in effecting any registration or offering to the extent such delay results from the application of the lock-up restrictions or tranche release schedule.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Registration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to the fullest extent permitted by applicable Law, each Holder and its Affiliates and their respective current and former officers, directors, employees, accountants, attorneys and agents and each Person who controls (within the meaning of Section 15 of the Securities Act and Section 20 of the Securities Exchange Act) such Holder or such other indemnified Person and the current and former officers, directors, employees, accountants, attorneys and agents of each such controlling Person (collectively, the “</w:t>
      </w:r>
      <w:r>
        <w:rPr>
          <w:rFonts w:ascii="Times New Roman" w:hAnsi="Times New Roman"/>
          <w:sz w:val="20"/>
          <w:u w:val="single"/>
        </w:rPr>
        <w:t>Company Indemnified Parties</w:t>
      </w:r>
      <w:r>
        <w:rPr>
          <w:rFonts w:ascii="Times New Roman" w:hAnsi="Times New Roman"/>
          <w:sz w:val="20"/>
        </w:rPr>
        <w:t xml:space="preserve">”) from and against all Losses, as incurred, arising out of or resulting from any untrue statement (or alleged untrue statement) of a material fact contained in any Registration Statement, prospectus or preliminary prospectus or Free Writing Prospectus filed pursuant to this Agreement or any amendment or supplement thereto or any omission (or alleged omission) of a material fact required to be stated therein or necessary to make the statements therein, in light of the circumstances under which they were made, not misleading and (without limitation of the preceding portions of this Section 4.8(a)) will reimburse each Company Indemnified Party for any reasonable and documented legal and any other expenses reasonably incurred in connection with investigating and defending or settling any such claim, Loss, damage, liability or action, except in each case insofar as the same are caused by any information furnished to the Company by any other party expressly for use therein. </w:t>
      </w:r>
    </w:p>
    <w:p>
      <w:pPr>
        <w:pStyle w:val="TextBody"/>
        <w:bidi w:val="0"/>
        <w:spacing w:before="240" w:after="0"/>
        <w:jc w:val="left"/>
        <w:rPr>
          <w:rFonts w:ascii="Times New Roman" w:hAnsi="Times New Roman"/>
          <w:sz w:val="20"/>
        </w:rPr>
      </w:pPr>
      <w:r>
        <w:rPr>
          <w:rFonts w:ascii="Times New Roman" w:hAnsi="Times New Roman"/>
          <w:sz w:val="20"/>
        </w:rPr>
        <w:t>(b) To the fullest extent permitted by applicable Law, each Holder will, if Registrable Securities held by such Holder are included in securities as to which registration is being effected, indemnify and hold harmless the Company and its Affiliates and their respective current and former officers, directors, employees, accountants, attorneys and agents and each Person who controls (within the meaning of Section 15 of the Securities Act and Section 20 of the Securities Exchange Act) the Company or such other indemnified Person and the current and former officers, directors, employees, accountants, attorneys and agents of each such controlling Person (collectively, the “</w:t>
      </w:r>
      <w:r>
        <w:rPr>
          <w:rFonts w:ascii="Times New Roman" w:hAnsi="Times New Roman"/>
          <w:sz w:val="20"/>
          <w:u w:val="single"/>
        </w:rPr>
        <w:t>Holder Indemnified Parties</w:t>
      </w:r>
      <w:r>
        <w:rPr>
          <w:rFonts w:ascii="Times New Roman" w:hAnsi="Times New Roman"/>
          <w:sz w:val="20"/>
        </w:rPr>
        <w:t xml:space="preserve">”), from and against all Losses, as incurred, arising out of or resulting from any untrue statement (or alleged untrue statement) of a material fact contained in any Registration Statement, prospectus or preliminary prospectus or Free Writing Prospectus filed pursuant to this Agreement or any amendment or supplement thereto or any omission (or alleged omission) of a material fact required to be stated therein or necessary to make the statements therein, in light of the circumstances under which they were made, not misleading, and (without limitation of the preceding portions of this Section 4.8(b)) will reimburse each Holder Indemnified Party for any reasonable and documented legal and any other expenses reasonably incurred in connection with investigating and defending or settling any such claim, Loss, damage, liability or action, in each case to the extent, but only to the extent, that such untrue statement or omission is made in such Registration Statement, prospectus or preliminary prospectus or Free Writing Prospectus or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reliance upon and in conformity with information furnished to the Company by the Holder expressly for inclusion in such Registration Statement, prospectus or preliminary prospectus or Free Writing Prospectus or any amendment or supplement thereto; provided, however, that in no event shall any indemnity under this Section 4.8(b) payable by any Holder exceed an amount equal to the net proceeds received by such Holder in respect of the Registrable Securities sold pursuant to the relevant Registration Statement. The indemnity agreement contained in this Section 4.8(b) shall not apply to amounts paid in settlement of any loss, claim, damage, liability or action if such settlement is effected without the prior written consent of the applicable Holder (which consent shall not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 xml:space="preserve">(c) Any Person entitled to indemnification hereunder shall give prompt written notice to the indemnifying party of any claim with respect to which it seeks indemnification; provided, however, that the failure to give such notice shall not release the indemnifying party from its obligation, except to the extent that the indemnifying party has been actually and materially prejudiced by such failure to provide such notice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(d) In any case in which an action is brought against any indemnified party under this Section 4.8, the indemnifying party will be entitled to participate therein, and, to the extent that it may wish, to assume the defense thereof, with counsel reasonably satisfactory to such indemnified party, and after notice from the indemnifying party to such indemnified party of its election to so assume the defense thereof and acknowledging the obligations of the indemnifying party with respect to such proceeding,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other than reasonable costs of investigation, supervision and monitoring (unless (i) such indemnified party (based upon advice of its counsel) reasonably objects to such assumption on the grounds that there may be defenses available to it which are different from or in addition to the defenses available to such indemnifying party and, as a result, a conflict of interest exists or (ii) the indemnifying party shall have failed within a reasonable period of time to assume such defense and the indemnified party is or would reasonably be expected to be materially prejudiced by such delay, in either event the indemnified party shall be promptly reimbursed by the indemnifying party for the reasonable expenses incurred in connection with retaining one separate legal counsel (for all indemnified parties in connection therewith)). Notwithstanding any such assumption by an indemnifying party, the indemnified party shall have the right to employ separate counsel in any such matter and participate in the defense thereof, but the fees and expenses of such counsel shall be at the expense of such indemnified party except as provided in the previous sentence. An indemnifying party shall not be liable for any settlement of an action or claim effected without its consent. No matter shall be settled by an indemnifying party without the consent of the indemnified party (which consent shall not be unreasonably withheld, conditioned or delayed), unless such settlement (x) includes as an unconditional term thereof the giving by the claimant or plaintiff to such indemnified party of a release from all liability in respect to such claim or litigation, (y) does not include any statement as to or any admission of fault, culpability or a failure to act by or on behalf of any indemnified party and (z) does not involve any injunctive or equitable relief that would be binding on the indemnified party or any payment that is not covered by the indemnification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(e) The indemnification provided for under this Agreement shall survive the Transfer of the Registrable Securities and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If recovery is not available under the foregoing indemnification provisions for any reason or reasons other than as specified therein, any Person who would otherwise be entitled to indemnification by the terms thereof shall nevertheless be entitled to contribution with respect to any Losses with respect to which such Person would be entitled to such indemnification but for such reason or reasons, in such proportion as is appropriate to reflect the relative fault of the indemnifying party, on the one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such indemnified party, on the other hand, in connection with the actions, statements or omissions that resulted in such Losses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the Persons’ relative knowledge and access to information concerning the matter with respect to which the claim was asserted, the opportunity to correct and prevent any statement or omission, and other equitable considerations appropriate under the circumstances. It is hereby agreed that it would not necessarily be equitable if the amount of such contribution were determined by pro rata or per capita allocation. No Person guilty of fraudulent misrepresentation (within the meaning of Section 11(f) of the Securities Act) shall be entitled to contribution from any Person who was not found guilty of such fraudulent misrepresentation. Notwithstanding the foregoing, in no event shall any contribution payable by any Holder under this Section 4.8(f) exceed an amount equal to the net proceeds received by such Holder in respect of the Registrable Securities sold pursuant to the Registration Statement giving rise to such obligation to contribute.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Board Rights; Observer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Designation Rights</w:t>
      </w:r>
      <w:r>
        <w:rPr>
          <w:rFonts w:ascii="Times New Roman" w:hAnsi="Times New Roman"/>
          <w:sz w:val="20"/>
        </w:rPr>
        <w:t xml:space="preserve">. Subject in all respects to </w:t>
      </w:r>
      <w:r>
        <w:rPr>
          <w:rFonts w:ascii="Times New Roman" w:hAnsi="Times New Roman"/>
          <w:sz w:val="20"/>
          <w:u w:val="single"/>
        </w:rPr>
        <w:t>Sections 5.2</w:t>
      </w:r>
      <w:r>
        <w:rPr>
          <w:rFonts w:ascii="Times New Roman" w:hAnsi="Times New Roman"/>
          <w:sz w:val="20"/>
        </w:rPr>
        <w:t xml:space="preserve"> and 5.3: </w:t>
      </w:r>
    </w:p>
    <w:p>
      <w:pPr>
        <w:pStyle w:val="TextBody"/>
        <w:bidi w:val="0"/>
        <w:spacing w:before="240" w:after="0"/>
        <w:jc w:val="left"/>
        <w:rPr>
          <w:rFonts w:ascii="Times New Roman" w:hAnsi="Times New Roman"/>
          <w:sz w:val="20"/>
        </w:rPr>
      </w:pPr>
      <w:r>
        <w:rPr>
          <w:rFonts w:ascii="Times New Roman" w:hAnsi="Times New Roman"/>
          <w:sz w:val="20"/>
        </w:rPr>
        <w:t>(a) For so long as the Seller Parties collectively beneficially own at least fifteen percent (15%) of the Company’s issued and outstanding Common Stock as of the Closing, the Seller Representative shall have the right, on behalf of all Sellers, to designate one individual for nomination to the Board (the “</w:t>
      </w:r>
      <w:r>
        <w:rPr>
          <w:rFonts w:ascii="Times New Roman" w:hAnsi="Times New Roman"/>
          <w:sz w:val="20"/>
          <w:u w:val="single"/>
        </w:rPr>
        <w:t>Seller Designee</w:t>
      </w:r>
      <w:r>
        <w:rPr>
          <w:rFonts w:ascii="Times New Roman" w:hAnsi="Times New Roman"/>
          <w:sz w:val="20"/>
        </w:rPr>
        <w:t>”); provided that the Seller Representative must exercise such right to designate a Seller Designee by delivering written notice to the Company no later than the twelve (12) month anniversary of the Closing, and if the Seller Representative has not exercised such right by such date, the right to designate a Seller Designee shall automatically and irrevocably lapse and the Seller Representative shall instead have the right, on behalf of all Sellers, to designate one non-voting observer to the Board (the “Seller Observer”), subject to the ownership thresholds set forth herein. If, at any time, the Seller Parties collectively beneficially own less than fifteen percent (15%) but at least ten percent (10%) of the Company’s issued and outstanding Common Stock as of the Closing, the Seller Representative’s right to designate a Seller Designee (if not already lapsed) shall automatically cease and the Seller Representative shall instead have the right, on behalf of all Sellers, to designate one non-voting observer to the Board (the “</w:t>
      </w:r>
      <w:r>
        <w:rPr>
          <w:rFonts w:ascii="Times New Roman" w:hAnsi="Times New Roman"/>
          <w:sz w:val="20"/>
          <w:u w:val="single"/>
        </w:rPr>
        <w:t>Seller Observer</w:t>
      </w:r>
      <w:r>
        <w:rPr>
          <w:rFonts w:ascii="Times New Roman" w:hAnsi="Times New Roman"/>
          <w:sz w:val="20"/>
        </w:rPr>
        <w:t xml:space="preserve">”). The Seller Representative shall notify the Company in writing of any designation of a Seller Designee or a Seller Observer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(b) If the Seller Representative elects a Seller Designee pursuant to </w:t>
      </w:r>
      <w:r>
        <w:rPr>
          <w:rFonts w:ascii="Times New Roman" w:hAnsi="Times New Roman"/>
          <w:sz w:val="20"/>
          <w:u w:val="single"/>
        </w:rPr>
        <w:t>Section 5.1(a)</w:t>
      </w:r>
      <w:r>
        <w:rPr>
          <w:rFonts w:ascii="Times New Roman" w:hAnsi="Times New Roman"/>
          <w:sz w:val="20"/>
        </w:rPr>
        <w:t xml:space="preserve">, the Company shall, to the fullest extent permitted by applicable Law, include the Seller Designee in the slate of nominees recommended by the Board for election at each applicable meeting of the Company’s stockholders and shall nominate and recommend the Seller Designee for election as a director and solicit proxies or consents in favor thereof and shall otherwise support the Seller Designee’s election in a manner consistent with the Company’s support for other Board nominees, subject to the Seller Designee satisfying the qualifications and eligibility requirements applicable to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If the Seller Representative elects a Seller Observer pursuant to </w:t>
      </w:r>
      <w:r>
        <w:rPr>
          <w:rFonts w:ascii="Times New Roman" w:hAnsi="Times New Roman"/>
          <w:sz w:val="20"/>
          <w:u w:val="single"/>
        </w:rPr>
        <w:t>Section 5.1(a)</w:t>
      </w:r>
      <w:r>
        <w:rPr>
          <w:rFonts w:ascii="Times New Roman" w:hAnsi="Times New Roman"/>
          <w:sz w:val="20"/>
        </w:rPr>
        <w:t xml:space="preserve">, the Company shall (a) provide the Seller Observer with notice of all Board meetings at the same time and in the same manner as notice is provided to directors, (b) provide the Seller Observer with copies of all materials distributed to directors in connection with such meetings (including agendas, presentations and written consents) at the same time as such materials are distributed to directors, and (c) permit the Seller Observer to attend and participate in discussions at such meetings in a non-voting observer capacity without the right to vote. Notwithstanding the foregoing, (x) the Seller Observer shall not participate in any meeting or portion thereof or receive any materials (i) if the Seller Observer has recused himself or herself because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he or she is reasonably likely to have a conflict of interest with respect to the subject matter of the meeting or any portion thereof or pursuant to Section 5.5(c),</w:t>
      </w:r>
      <w:r>
        <w:rPr>
          <w:rFonts w:ascii="Times New Roman" w:hAnsi="Times New Roman"/>
          <w:sz w:val="20"/>
          <w:u w:val="single"/>
        </w:rPr>
        <w:t xml:space="preserve"> 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any such exclusion shall only apply to such portion of such material or meeting which would be required to avoid such conflict of interest, (ii) to the extent that the Seller Observer’s attendance or receipt of such materials is reasonably likely to adversely affect the existence of legal privilege, </w:t>
      </w:r>
      <w:r>
        <w:rPr>
          <w:rFonts w:ascii="Times New Roman" w:hAnsi="Times New Roman"/>
          <w:sz w:val="20"/>
          <w:u w:val="single"/>
        </w:rPr>
        <w:t>provided, however,</w:t>
      </w:r>
      <w:r>
        <w:rPr>
          <w:rFonts w:ascii="Times New Roman" w:hAnsi="Times New Roman"/>
          <w:sz w:val="20"/>
        </w:rPr>
        <w:t xml:space="preserve"> that any such exclusion shall apply only to such portion of the material or such portion of the meeting which would be required to preserve such privilege, (iii) to the extent that the Seller Observer’s attendance or receipt of such materials would not be permitted pursuant to confidentiality agreements with third parties or under applicable Law, provided, however, that the Company uses commercially reasonable efforts to obtain any consents or waivers from the relevant third parties such that the relevant materials may be disclosed or provide the Seller Observer with redacted copies of documents containing such materials, (iv) with respect to any executive session of the Board or any committee thereof, (v) to the extent that such meeting or materials relate to information that the Company reasonably determines constitutes competitively sensitive information,</w:t>
      </w:r>
      <w:r>
        <w:rPr>
          <w:rFonts w:ascii="Times New Roman" w:hAnsi="Times New Roman"/>
          <w:sz w:val="20"/>
          <w:u w:val="single"/>
        </w:rPr>
        <w:t xml:space="preserve"> 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any such exclusion shall only apply to such portion of such material or meeting which would be required to avoid disclosure of such competitively sensitive information, (vi) to the extent that the Company reasonably determines that restricting the Seller Observer’s access to MNPI is necessary or advisable to comply with applicable securities Laws (including Regulation FD promulgated under the Securities Exchange Act) or the Company’s insider-trading policies, provided, however, that any such exclusion shall only apply to such portion of such material or meeting which would be required to comply with such applicable securities Laws or insider-trading policies, or (vii) to the extent that disclosure of such information to the Seller Observer would, in the Company’s reasonable determination, constitute a selective disclosure in violation of Regulation FD promulgated under the Securities Exchange Act, provided, however, that any such exclusion shall only apply to such portion of such material or meeting which would be required to avoid such selective disclosure; and (y) the Board (or any committee thereof) may meet in executive session without the Seller Observer present at any time. </w:t>
      </w:r>
    </w:p>
    <w:p>
      <w:pPr>
        <w:pStyle w:val="TextBody"/>
        <w:bidi w:val="0"/>
        <w:spacing w:before="240" w:after="0"/>
        <w:jc w:val="left"/>
        <w:rPr>
          <w:rFonts w:ascii="Times New Roman" w:hAnsi="Times New Roman"/>
          <w:sz w:val="20"/>
        </w:rPr>
      </w:pPr>
      <w:r>
        <w:rPr>
          <w:rFonts w:ascii="Times New Roman" w:hAnsi="Times New Roman"/>
          <w:sz w:val="20"/>
        </w:rPr>
        <w:t>The Seller Observer and each Seller Party shall (A) maintain the confidentiality of all information received by the Seller Observer in such capacity (including any information subject to the exclusions set forth in this Section 5.1(c)) (such information, “</w:t>
      </w:r>
      <w:r>
        <w:rPr>
          <w:rFonts w:ascii="Times New Roman" w:hAnsi="Times New Roman"/>
          <w:sz w:val="20"/>
          <w:u w:val="single"/>
        </w:rPr>
        <w:t>Observer Confidential Information</w:t>
      </w:r>
      <w:r>
        <w:rPr>
          <w:rFonts w:ascii="Times New Roman" w:hAnsi="Times New Roman"/>
          <w:sz w:val="20"/>
        </w:rPr>
        <w:t xml:space="preserve">”) and shall not disclose any such information to any Person other than Representatives of the Seller Parties who have a need to know such information for (i) the purpose of monitoring the Seller Parties’ investment in the Company, (ii) the exercise of the Seller Parties’ rights under this Agreement or the Share Purchase Agreement, (iii) compliance with applicable legal, regulatory or reporting obligations, or (iv) obtaining legal, accounting, tax or financial advice in connection with the foregoing, and the Seller Observer and the Seller Parties shall use commercially reasonable efforts to ensure that any permitted recipient to whom Observer Confidential Information is disclosed is informed of the confidential nature of such information, (B) comply with the Company’s insider-trading policies and all other policies generally applicable to members of the Board as in effect from time to time (copies of which shall be provided to the Seller Observer promptly following designation and upon any material amendment thereto), and (C) not use any MNPI received by the Seller Observer for any purpose other than monitoring the Seller Parties’ investment in the Company, exercising the Seller Parties’ rights under this Agreement or the Share Purchase Agreement, complying with applicable legal, regulatory or reporting obligations, or obtaining legal, accounting, tax or financial advice in connection with the foregoing, including, for the avoidance of doubt, not using any such MNPI for trading in securities of the Company or any other Person or for any commercial, competitive or other purpose unrelated to the foregoing. The confidentiality and use restrictions set forth in this Section 5.1(c) shall survive the termination of the Seller Observer’s service in such capacity and the termination of this Agreement. Notwithstanding the foregoing, Observer Confidential Information shall not include information that (A) is or becomes generally available to the public other than as a result of a disclosure by a Seller Observer or any Seller Party in breach of this Section 5.1(c), (B) was already known to the Seller Observer or the Seller Parties on a non-confidential basis prior to being furnished by or on behalf of the Company, (C) becomes available to the Seller Observer or the Seller Parties on a non-confidential basis from a source other than the Company or its Representatives, provided that such source is not known by the receiving party to be bound by a confidentiality obligation to the Company with respect thereto, or (D) is independently developed by the Seller Observer or the Seller Parties without reference to or use of any Observer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Seller Representative shall exercise all designation rights under this </w:t>
      </w:r>
      <w:r>
        <w:rPr>
          <w:rFonts w:ascii="Times New Roman" w:hAnsi="Times New Roman"/>
          <w:sz w:val="20"/>
          <w:u w:val="single"/>
        </w:rPr>
        <w:t>Section 5</w:t>
      </w:r>
      <w:r>
        <w:rPr>
          <w:rFonts w:ascii="Times New Roman" w:hAnsi="Times New Roman"/>
          <w:sz w:val="20"/>
        </w:rPr>
        <w:t xml:space="preserve"> on behalf of all Sellers. No Seller shall separately exercise any right to designate a Seller Designee or Seller Observer, and any designation made by the Seller Representative in accordance with this Agreement shall be binding on all Sellers. </w:t>
      </w:r>
    </w:p>
    <w:p>
      <w:pPr>
        <w:pStyle w:val="TextBody"/>
        <w:bidi w:val="0"/>
        <w:spacing w:before="240" w:after="0"/>
        <w:jc w:val="left"/>
        <w:rPr>
          <w:rFonts w:ascii="Times New Roman" w:hAnsi="Times New Roman"/>
          <w:sz w:val="20"/>
        </w:rPr>
      </w:pPr>
      <w:r>
        <w:rPr>
          <w:rFonts w:ascii="Times New Roman" w:hAnsi="Times New Roman"/>
          <w:sz w:val="20"/>
        </w:rPr>
        <w:t xml:space="preserve">(e) The designation rights under this </w:t>
      </w:r>
      <w:r>
        <w:rPr>
          <w:rFonts w:ascii="Times New Roman" w:hAnsi="Times New Roman"/>
          <w:sz w:val="20"/>
          <w:u w:val="single"/>
        </w:rPr>
        <w:t>Section 5</w:t>
      </w:r>
      <w:r>
        <w:rPr>
          <w:rFonts w:ascii="Times New Roman" w:hAnsi="Times New Roman"/>
          <w:sz w:val="20"/>
        </w:rPr>
        <w:t xml:space="preserve"> may not be assigned without the prior written consent of the Company, in whole or in part, by operation of Law or otherwise, and any such assignment shall be null and void, other than pursuant to a transfer by all Seller Parties of all their Lock-Up Shares to a single Permitted Transferee, in which case such Permitted Transferee shall be entitled to exercise such rights.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Removal</w:t>
      </w:r>
      <w:r>
        <w:rPr>
          <w:rFonts w:ascii="Times New Roman" w:hAnsi="Times New Roman"/>
          <w:sz w:val="20"/>
        </w:rPr>
        <w:t xml:space="preserve">. No Seller Designee or Seller Observer shall be removed by the Company without the prior written consent of the Seller Representative, other than for cause or as otherwise required by applicable Law; provided, that the foregoing shall not limit or restrict the operation of the fall-away provisions set forth in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Fall-Away.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First Fall-Away Event</w:t>
      </w:r>
      <w:r>
        <w:rPr>
          <w:rFonts w:ascii="Times New Roman" w:hAnsi="Times New Roman"/>
          <w:sz w:val="20"/>
        </w:rPr>
        <w:t>. If, at any time following the Closing, the Seller Parties collectively own less than 15% of the Company’s issued and outstanding Common Stock as of the Closing (the “</w:t>
      </w:r>
      <w:r>
        <w:rPr>
          <w:rFonts w:ascii="Times New Roman" w:hAnsi="Times New Roman"/>
          <w:sz w:val="20"/>
          <w:u w:val="single"/>
        </w:rPr>
        <w:t>First Fall-Away Event</w:t>
      </w:r>
      <w:r>
        <w:rPr>
          <w:rFonts w:ascii="Times New Roman" w:hAnsi="Times New Roman"/>
          <w:sz w:val="20"/>
        </w:rPr>
        <w:t xml:space="preserve">”), then, automatically and without any further action by any party, (i) if the Seller Parties have elected a Seller Designee pursuant to </w:t>
      </w:r>
      <w:r>
        <w:rPr>
          <w:rFonts w:ascii="Times New Roman" w:hAnsi="Times New Roman"/>
          <w:sz w:val="20"/>
          <w:u w:val="single"/>
        </w:rPr>
        <w:t>Section 5.1(a)</w:t>
      </w:r>
      <w:r>
        <w:rPr>
          <w:rFonts w:ascii="Times New Roman" w:hAnsi="Times New Roman"/>
          <w:sz w:val="20"/>
        </w:rPr>
        <w:t xml:space="preserve">, such Seller Designee shall cease to be entitled to serve as a director and shall automatically become the Seller Observer for purposes of this </w:t>
      </w:r>
      <w:r>
        <w:rPr>
          <w:rFonts w:ascii="Times New Roman" w:hAnsi="Times New Roman"/>
          <w:sz w:val="20"/>
          <w:u w:val="single"/>
        </w:rPr>
        <w:t>Section 5</w:t>
      </w:r>
      <w:r>
        <w:rPr>
          <w:rFonts w:ascii="Times New Roman" w:hAnsi="Times New Roman"/>
          <w:sz w:val="20"/>
        </w:rPr>
        <w:t xml:space="preserve">, with the same rights and obligations applicable to a Seller Observer under </w:t>
      </w:r>
      <w:r>
        <w:rPr>
          <w:rFonts w:ascii="Times New Roman" w:hAnsi="Times New Roman"/>
          <w:sz w:val="20"/>
          <w:u w:val="single"/>
        </w:rPr>
        <w:t>Section 5.1(c)</w:t>
      </w:r>
      <w:r>
        <w:rPr>
          <w:rFonts w:ascii="Times New Roman" w:hAnsi="Times New Roman"/>
          <w:sz w:val="20"/>
        </w:rPr>
        <w:t xml:space="preserve">, and no separate designation or election by the Seller Representative shall be required. Upon the occurrence of the First Fall-Away Event, the Seller Representative shall cause the Seller Designee, if any, to deliver any applicable resignation letter reasonably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Second Fall-Away Event</w:t>
      </w:r>
      <w:r>
        <w:rPr>
          <w:rFonts w:ascii="Times New Roman" w:hAnsi="Times New Roman"/>
          <w:sz w:val="20"/>
        </w:rPr>
        <w:t>. If, at any time following the Closing, the Seller Parties collectively own less than 10% of the Company’s issued and outstanding Common Stock as of the Closing (the “</w:t>
      </w:r>
      <w:r>
        <w:rPr>
          <w:rFonts w:ascii="Times New Roman" w:hAnsi="Times New Roman"/>
          <w:sz w:val="20"/>
          <w:u w:val="single"/>
        </w:rPr>
        <w:t>Second Fall-Away Event</w:t>
      </w:r>
      <w:r>
        <w:rPr>
          <w:rFonts w:ascii="Times New Roman" w:hAnsi="Times New Roman"/>
          <w:sz w:val="20"/>
        </w:rPr>
        <w:t xml:space="preserve">”), then, automatically and without any further action by any party, all rights of the Seller Parties under this </w:t>
      </w:r>
      <w:r>
        <w:rPr>
          <w:rFonts w:ascii="Times New Roman" w:hAnsi="Times New Roman"/>
          <w:sz w:val="20"/>
          <w:u w:val="single"/>
        </w:rPr>
        <w:t>Section 5</w:t>
      </w:r>
      <w:r>
        <w:rPr>
          <w:rFonts w:ascii="Times New Roman" w:hAnsi="Times New Roman"/>
          <w:sz w:val="20"/>
        </w:rPr>
        <w:t xml:space="preserve"> shall immediately and permanently terminate, including the right of the Seller Observer, if any, to receive notice of, attend or observe any meeting of the Board or any committee thereof or to receive any materials distributed to the directors. Upon the occurrence of a Second Fall-Away Event, the Seller Observer, if any, shall immediately cease to serve in such capacity, and the Seller Representative shall promptly cause any applicable resignation or termination documentation to be delivered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Indemnification; Exculpation; Directors and Officers Insurance; Fees and Expenses</w:t>
      </w:r>
      <w:r>
        <w:rPr>
          <w:rFonts w:ascii="Times New Roman" w:hAnsi="Times New Roman"/>
          <w:sz w:val="20"/>
        </w:rPr>
        <w:t xml:space="preserve">. The Company shall add the Seller Designee, if any, as a beneficiary to the Company’s directors’ and officers’ liability insurance policy effective from the date the Seller Designee, if any, is appointed and shall provide all other contractual, insurance and other director liability indemnification or exculpation coverages and rights provided to other members of the Board. The Company shall enter into an indemnification agreement with the Seller Designee, if any, that is on the same form as the indemnification agreements it has entered into with other members of the Board. The Seller Designee, if any, shall be entitled to reimbursement of expenses incurred in such capacity on the same basis as the Company provides such reimbursement to the other members of its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Conditions</w:t>
      </w:r>
      <w:r>
        <w:rPr>
          <w:rFonts w:ascii="Times New Roman" w:hAnsi="Times New Roman"/>
          <w:sz w:val="20"/>
        </w:rPr>
        <w:t xml:space="preserve">. As a condition to the appointment of any Seller Observer or Seller Designee, as applicable (and nomination for election as a director of the Company pursuant to this </w:t>
      </w:r>
      <w:r>
        <w:rPr>
          <w:rFonts w:ascii="Times New Roman" w:hAnsi="Times New Roman"/>
          <w:sz w:val="20"/>
          <w:u w:val="single"/>
        </w:rPr>
        <w:t>Section 5</w:t>
      </w:r>
      <w:r>
        <w:rPr>
          <w:rFonts w:ascii="Times New Roman" w:hAnsi="Times New Roman"/>
          <w:sz w:val="20"/>
        </w:rPr>
        <w:t xml:space="preserve"> in the case of a Seller Designee), the Seller Representative agrees and acknowledges that the Company will require: </w:t>
      </w:r>
    </w:p>
    <w:p>
      <w:pPr>
        <w:pStyle w:val="TextBody"/>
        <w:bidi w:val="0"/>
        <w:spacing w:before="240" w:after="0"/>
        <w:jc w:val="left"/>
        <w:rPr>
          <w:rFonts w:ascii="Times New Roman" w:hAnsi="Times New Roman"/>
          <w:sz w:val="20"/>
        </w:rPr>
      </w:pPr>
      <w:r>
        <w:rPr>
          <w:rFonts w:ascii="Times New Roman" w:hAnsi="Times New Roman"/>
          <w:sz w:val="20"/>
        </w:rPr>
        <w:t xml:space="preserve">(a) any such Seller Designee to provide to the Company all information reasonably requested by the Company that is required to be or is customarily disclosed for directors, candidates for directors and their respective Affiliates and representatives in a proxy statement or other filing in accordance with applicable Law or any stock exchange rules or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(b) any such Seller Observer or Seller Designee to provide to the Company all information reasonably requested by the Company in connection with assessing eligibility, independence and other criteria applicable to directors or satisfying compliance and legal or regulatory obligations; </w:t>
      </w:r>
    </w:p>
    <w:p>
      <w:pPr>
        <w:pStyle w:val="TextBody"/>
        <w:bidi w:val="0"/>
        <w:spacing w:before="240" w:after="0"/>
        <w:jc w:val="left"/>
        <w:rPr>
          <w:rFonts w:ascii="Times New Roman" w:hAnsi="Times New Roman"/>
          <w:sz w:val="20"/>
        </w:rPr>
      </w:pPr>
      <w:r>
        <w:rPr>
          <w:rFonts w:ascii="Times New Roman" w:hAnsi="Times New Roman"/>
          <w:sz w:val="20"/>
        </w:rPr>
        <w:t xml:space="preserve">(c) any such Seller Observer or Seller Designee to provide to the Company an undertaking in writing by such Seller Observer or Seller Designee to agree to recuse himself or herself from any deliberations or discussions of the Board to the extent such deliberations or discussions relate to any dispute, claim or indemnification matter between the Company and any Seller Party arising under or in connection with the Share Purchase Agreement or the other Transaction Documents (as defined in the Share Purchase Agreement), in each case solely where such deliberations or discussions would reasonably be expected to give rise to an actual conflict of interest between such Seller Observer or Seller Designee and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(d) any such Seller Observer to provide to the Company an executed letter agreement confirming that the Seller Observer has no fiduciary duties to the Company in such capacity and undertaking to abide by customary confidentiality, insider-trading and other obligations in connection with the role as an observer to the Board, consistent with the Company’s policies and procedures generally applicable to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Other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Information Rights</w:t>
      </w:r>
      <w:r>
        <w:rPr>
          <w:rFonts w:ascii="Times New Roman" w:hAnsi="Times New Roman"/>
          <w:sz w:val="20"/>
        </w:rPr>
        <w:t>. Following the Closing and continuing until the twelve (12) month anniversary of the Closing (and, for the avoidance of doubt, for so long as the Seller Parties collectively own at least 10% of the Company’s issued and outstanding Common Stock as of the Closing during such period), the Company shall provide to the Seller Representative, concurrently with the delivery or distribution thereof to the Board, copies of all information, documents and materials provided to the Board (including all Board packs, presentations, reports, financial statements, management accounts, budgets, forecasts and any other materials distributed to the directors of the Company in connection with meetings of the Board or any committee thereof or by way of written consent) (collectively, “</w:t>
      </w:r>
      <w:r>
        <w:rPr>
          <w:rFonts w:ascii="Times New Roman" w:hAnsi="Times New Roman"/>
          <w:sz w:val="20"/>
          <w:u w:val="single"/>
        </w:rPr>
        <w:t>Section 6.1 Information</w:t>
      </w:r>
      <w:r>
        <w:rPr>
          <w:rFonts w:ascii="Times New Roman" w:hAnsi="Times New Roman"/>
          <w:sz w:val="20"/>
        </w:rPr>
        <w:t xml:space="preserve">”), in each case in the same form and at the same time as such information, documents and materials are provided to the directors of the Company. Notwithstanding the foregoing, the Seller Representative may, on behalf of all Seller Parties, elect to cease receiving such information by delivering written notice to the Company, in which case the Company’s obligations under this Section 6.1 shall be suspended until the Seller Representative notifies the Company in writing for the provision of such information to be resumed.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Seller Party acknowledges and agrees that Section 6.1 Information may include MNPI concerning the Company and its securities. Each Seller Party covenants and agrees that it shall not, and shall use commercially reasonable efforts to cause its Affiliates and Representatives not to (solely to the extent a Seller Party has shared any Section 6.1 Information with its Affiliates or Representatives), (i) purchase or sell any securities of the Company (or any derivative instruments relating thereto) while in possession of MNPI received pursuant to this Section 6.1, (ii) disclose any MNPI to any Person in a manner that would constitute a selective disclosure in violation of Regulation FD, (iii) “tip” any Person by disclosing MNPI for the purpose of enabling such Person to purchase or sell securities of the Company, or (iv) use any MNPI received pursuant to this Section 6.1 for any purpose other than monitoring the Seller Parties’ investment in the Company, exercising the Seller Parties’ rights under this Agreement or the Share Purchase Agreement, complying with applicable legal, regulatory or reporting obligations, or obtaining legal, accounting, tax or financial advice in connection with the foregoing. For the avoidance of doubt, nothing in this Section 6.1 shall be construed to relieve any Seller Party, the Seller Observer, the Seller Designee or any of their respective Affiliates or Representatives of any obligation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Each Seller Party acknowledges and agrees that all Section 6.1 Information constitutes confidential and proprietary information of the Company (“</w:t>
      </w:r>
      <w:r>
        <w:rPr>
          <w:rFonts w:ascii="Times New Roman" w:hAnsi="Times New Roman"/>
          <w:sz w:val="20"/>
          <w:u w:val="single"/>
        </w:rPr>
        <w:t>Section 6.1 Confidential Information</w:t>
      </w:r>
      <w:r>
        <w:rPr>
          <w:rFonts w:ascii="Times New Roman" w:hAnsi="Times New Roman"/>
          <w:sz w:val="20"/>
        </w:rPr>
        <w:t>”); provided, however that Section 6.1 Confidential Information shall not include information that (A) is or becomes generally available to the public other than as a result of a disclosure by any Seller Party in breach of this Section 6.1, (B) was already known to the Seller Parties on a non-confidential basis prior to being furnished by or on behalf of the Company, (C) becomes available to the Seller Parties on a non-confidential basis from a source other than the Company or its Representatives, provided that such source is not known by the receiving party to be bound by a confidentiality obligation to the Company with respect thereto, or (D) is independently developed by the Seller Parties without reference to or use of any Confidential Information. Each Seller Party shall, and shall use commercially reasonable efforts to cause its Affiliates and Representatives to (solely to the extent a Seller Party has shared any Section 6.1 Information with its Affiliates or Representatives), (i) maintain the confidentiality of all Section 6.1 Confidential Information and not disclose any Section 6.1 Confidential Information to any Person, except as expressly permitted by this Section 6.1, (ii) use Section 6.1 Confidential Information solely for the purpose of monitoring the Seller Parties’ investment in the Company, exercising the Seller Parties’ rights under this Agreement or the Share Purchase Agreement, complying with applicable legal, regulatory or reporting obligations, or obtaining legal, accounting, tax or financial advice in connection with the foregoing, and not for any other purpose whatsoever, including any commercial, competitive or trading purpose, and (iii) protect Section 6.1 Confidential Information using the same degree of care (but no less than a reasonable degree of care) that such Seller Party uses to protect its own confidential information of like kind. Notwithstanding the foregoing, a Seller Party may disclose Section 6.1 Confidential Information (A) to its Affiliates and its and their respective directors, officers, employees, attorneys, accountants, consultants and other advisors (collectively, “</w:t>
      </w:r>
      <w:r>
        <w:rPr>
          <w:rFonts w:ascii="Times New Roman" w:hAnsi="Times New Roman"/>
          <w:sz w:val="20"/>
          <w:u w:val="single"/>
        </w:rPr>
        <w:t>Permitted Recipients</w:t>
      </w:r>
      <w:r>
        <w:rPr>
          <w:rFonts w:ascii="Times New Roman" w:hAnsi="Times New Roman"/>
          <w:sz w:val="20"/>
        </w:rPr>
        <w:t xml:space="preserve">”) who have a need to know such Section 6.1 Confidential Information for the purpose of monitoring the Seller Parties’ investment in the Company, exercising the Seller Parties’ rights under this Agreement or the Share Purchase Agreement, complying with applicable legal, regulatory or reporting obligations, or obtaining legal, accounting, tax or financial advice in connection with the foregoing, </w:t>
      </w:r>
      <w:r>
        <w:rPr>
          <w:rFonts w:ascii="Times New Roman" w:hAnsi="Times New Roman"/>
          <w:sz w:val="20"/>
          <w:u w:val="single"/>
        </w:rPr>
        <w:t>provided</w:t>
      </w:r>
      <w:r>
        <w:rPr>
          <w:rFonts w:ascii="Times New Roman" w:hAnsi="Times New Roman"/>
          <w:sz w:val="20"/>
        </w:rPr>
        <w:t xml:space="preserve"> that such Seller Party shall be responsible for any breach of the confidentiality obligations set forth in this Section 6.1 by any such Permitted Recipient, and (B) to the extent required by applicable Law, regulation, legal process or the rules of any securities exchange on which such Seller Party’s (or its Affiliate’s) securities are listed; </w:t>
      </w:r>
      <w:r>
        <w:rPr>
          <w:rFonts w:ascii="Times New Roman" w:hAnsi="Times New Roman"/>
          <w:sz w:val="20"/>
          <w:u w:val="single"/>
        </w:rPr>
        <w:t>provided</w:t>
      </w:r>
      <w:r>
        <w:rPr>
          <w:rFonts w:ascii="Times New Roman" w:hAnsi="Times New Roman"/>
          <w:sz w:val="20"/>
        </w:rPr>
        <w:t xml:space="preserve"> that, to the extent legally permissible and reasonably practicable, such Seller Party shall use commercially reasonable efforts to (x) provide the Company with prompt written notice of such requirement so that the Company may seek a protective order or other appropriate remedy and (y) cooperate with the Company, at the Company’s sole cost and expense, in seeking such protective order or other remedy. If such protective order or other remedy is not obtained, such Seller Party shall disclose only that portion of the Section 6.1 Confidential Information that, in the opinion of its legal counsel, is legally required to be disclosed and shall use commercially reasonable efforts to obtain assurances that confidential treatment will be accorded to such disclosed Section 6.1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Seller Parties shall use commercially reasonable efforts to ensure that any Permitted Recipient to whom Section 6.1 Confidential Information is disclosed is informed of the confidential nature of such information. Each Seller Party shall be liable for any breach of the confidentiality obligations set forth in this Section 6.1 by any of its Affiliates or Permitted Recipients. The confidentiality and non-use obligations set forth in this Section 6.1 shall survive the termination of the information rights set forth herein and the termination of this Agreement for a period of two (2) years following such termination; </w:t>
      </w:r>
      <w:r>
        <w:rPr>
          <w:rFonts w:ascii="Times New Roman" w:hAnsi="Times New Roman"/>
          <w:sz w:val="20"/>
          <w:u w:val="single"/>
        </w:rPr>
        <w:t>provided</w:t>
      </w:r>
      <w:r>
        <w:rPr>
          <w:rFonts w:ascii="Times New Roman" w:hAnsi="Times New Roman"/>
          <w:sz w:val="20"/>
        </w:rPr>
        <w:t xml:space="preserve"> that Section 6.1 Confidential Information that constitutes a trade secret under applicable Law shall remain subject to the confidentiality obligations set forth herein for so long as such information remains a trade secret.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 xml:space="preserve">Participation Rights. </w:t>
      </w:r>
      <w:r>
        <w:rPr>
          <w:rFonts w:ascii="Times New Roman" w:hAnsi="Times New Roman"/>
          <w:sz w:val="20"/>
        </w:rPr>
        <w:t>For so long as the Seller Parties collectively beneficially own at least ten percent (10%) of the Company’s issued and outstanding Common Stock (determined as of the Closing, but adjusted to reflect any Transfers by any Seller Party other than Permitted Transfers to another Seller Party or Permitted Transferee), the Seller Parties shall have the right (but not the obligation) to participate in any issuance by the Company of (i) shares of Common Stock, (ii) securities convertible into or exercisable or exchangeable for Common Stock, or (iii) options, warrants or other rights to acquire Common Stock (collectively, “</w:t>
      </w:r>
      <w:r>
        <w:rPr>
          <w:rFonts w:ascii="Times New Roman" w:hAnsi="Times New Roman"/>
          <w:sz w:val="20"/>
          <w:u w:val="single"/>
        </w:rPr>
        <w:t>New Securities</w:t>
      </w:r>
      <w:r>
        <w:rPr>
          <w:rFonts w:ascii="Times New Roman" w:hAnsi="Times New Roman"/>
          <w:sz w:val="20"/>
        </w:rPr>
        <w:t>”), to the extent necessary to maintain (but not exceed) the Seller Parties’ then-current percentage ownership of the Company’s issued and outstanding Common Stock on a fully-diluted, as-converted basis (such right, the “</w:t>
      </w:r>
      <w:r>
        <w:rPr>
          <w:rFonts w:ascii="Times New Roman" w:hAnsi="Times New Roman"/>
          <w:sz w:val="20"/>
          <w:u w:val="single"/>
        </w:rPr>
        <w:t>Participation Right</w:t>
      </w:r>
      <w:r>
        <w:rPr>
          <w:rFonts w:ascii="Times New Roman" w:hAnsi="Times New Roman"/>
          <w:sz w:val="20"/>
        </w:rPr>
        <w:t xml:space="preserve">”). For the avoidance of doubt, (A) the Participation Right is a right, not an obligation, and no Seller Party shall be required to exercise the Participation Right or to purchase any New Securities, and (B) the Seller Parties shall not be entitled to acquire New Securities pursuant to this Section 6.2 to the extent that such acquisition would result in the Seller Parties holding a greater percentage ownership of the Company’s issued and outstanding Common Stock (on a fully-diluted, as-converted basis) than that held by the Seller Parties immediately prior to such issuance. The Participation Right shall terminate automatically upon the first date on which the Seller Parties collectively beneficially own less than ten percent (10%) of the Company’s issued and outstanding Common Stock (as adjusted pursuant to this Section 6.2), and upon such termination, the Seller Parties shall have no further rights under this Section 6.2. </w:t>
      </w:r>
    </w:p>
    <w:p>
      <w:pPr>
        <w:pStyle w:val="TextBody"/>
        <w:bidi w:val="0"/>
        <w:spacing w:before="240" w:after="0"/>
        <w:jc w:val="left"/>
        <w:rPr>
          <w:rFonts w:ascii="Times New Roman" w:hAnsi="Times New Roman"/>
          <w:sz w:val="20"/>
        </w:rPr>
      </w:pPr>
      <w:r>
        <w:rPr>
          <w:rFonts w:ascii="Times New Roman" w:hAnsi="Times New Roman"/>
          <w:sz w:val="20"/>
        </w:rPr>
        <w:t>The Company shall provide the Seller Representative with written notice (a “</w:t>
      </w:r>
      <w:r>
        <w:rPr>
          <w:rFonts w:ascii="Times New Roman" w:hAnsi="Times New Roman"/>
          <w:sz w:val="20"/>
          <w:u w:val="single"/>
        </w:rPr>
        <w:t>Participation Notice</w:t>
      </w:r>
      <w:r>
        <w:rPr>
          <w:rFonts w:ascii="Times New Roman" w:hAnsi="Times New Roman"/>
          <w:sz w:val="20"/>
        </w:rPr>
        <w:t xml:space="preserve">”) of any proposed issuance of New Securities (other than any Excluded Issuance) at least ten (10) Business Days prior to the anticipated closing date of such issuance (or, in the case of an underwritten public offering registered under the Securities Act, at least five (5) Business Days prior to the anticipated pricing date, or such shorter period as is consistent with the bookbuilding timeline, but in no event less than two (2) Business Days). Each Participation Notice shall set forth (i) the type and number of New Securities proposed to be issued, (ii) the price per share or unit (or, if not yet determined, the anticipated price range or pricing methodology), (iii) the anticipated closing date, (iv) the identity of any proposed purchasers (to the extent known), (v) the maximum number of New Securities that the Seller Parties may purchase pursuant to the Participation Right (calculated based on the Seller Parties’ then-current percentage ownership), and (vi) such other material terms and conditions of the proposed issuance as are reasonably necessary to enable the Seller Representative to make an informed decision with respect to the exercise of the Participation Right. In the case of an underwritten public offering registered under the Securities Act, notice shall be deemed given to the Seller Representative if the proposed issuance is specifically discussed at a meeting of the Board at which the Seller Designee or Seller Observer, if any, is present for such discussion.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Seller Representative, on behalf of all Seller Parties, shall have ten (10) Business Days following receipt of the Participation Notice (or, in the case of an underwritten public offering, such shorter period as is consistent with the bookbuilding timeline, but in no event less than two (2) Business Days) to elect to exercise the Participation Right by delivering written notice to the Company (an “</w:t>
      </w:r>
      <w:r>
        <w:rPr>
          <w:rFonts w:ascii="Times New Roman" w:hAnsi="Times New Roman"/>
          <w:sz w:val="20"/>
          <w:u w:val="single"/>
        </w:rPr>
        <w:t>Exercise Notice</w:t>
      </w:r>
      <w:r>
        <w:rPr>
          <w:rFonts w:ascii="Times New Roman" w:hAnsi="Times New Roman"/>
          <w:sz w:val="20"/>
        </w:rPr>
        <w:t xml:space="preserve">”) specifying the number of New Securities that the Seller Parties elect to acquire, which number shall not exceed the maximum number set forth in the Participation Notice. If the Seller Representative does not deliver an Exercise Notice within the applicable period, the Seller Parties shall be deemed to have waived the Participation Right with respect to such issuance (but without prejudice to the Seller Parties’ Participation Right with respect to any subsequent issuance). The Seller Parties may elect to exercise the Participation Right in whole or in part with respect to any issuance, and a partial exercise or waiver with respect to any issuance shall not affect the Seller Parties’ Participation Right with respect to any subsequent issuance. </w:t>
      </w:r>
    </w:p>
    <w:p>
      <w:pPr>
        <w:pStyle w:val="TextBody"/>
        <w:bidi w:val="0"/>
        <w:spacing w:before="240" w:after="0"/>
        <w:jc w:val="left"/>
        <w:rPr>
          <w:rFonts w:ascii="Times New Roman" w:hAnsi="Times New Roman"/>
          <w:sz w:val="20"/>
        </w:rPr>
      </w:pPr>
      <w:r>
        <w:rPr>
          <w:rFonts w:ascii="Times New Roman" w:hAnsi="Times New Roman"/>
          <w:sz w:val="20"/>
        </w:rPr>
        <w:t xml:space="preserve">If the Seller Parties timely deliver an Exercise Notice, the Company shall permit the Seller Parties to purchase the number of New Securities specified in the Exercise Notice on the same terms and conditions (including price per share or unit) as applicable to the other purchasers of New Securities in such issuance. The Seller Parties shall pay the aggregate purchase price for such New Securities in immediately available funds at the closing of such purchase. The closing of any purchase by the Seller Parties pursuant to this Section 6.2 shall occur concurrently with, or as promptly as practicable following (and in any event within five (5) Business Days of), the closing of the issuance giving rise to such Participation Right. If the terms of the proposed issuance are modified in any material respect after delivery of the Participation Notice (including any change in the price per share or unit of more than five percent (5%)), the Company shall deliver an amended Participation Notice to the Seller Representative, and the Seller Representative shall have five (5) Business Days following receipt of such amended notice to modify or withdraw the Exercise Notice. </w:t>
      </w:r>
    </w:p>
    <w:p>
      <w:pPr>
        <w:pStyle w:val="TextBody"/>
        <w:bidi w:val="0"/>
        <w:spacing w:before="240" w:after="0"/>
        <w:jc w:val="left"/>
        <w:rPr>
          <w:rFonts w:ascii="Times New Roman" w:hAnsi="Times New Roman"/>
          <w:sz w:val="20"/>
        </w:rPr>
      </w:pPr>
      <w:r>
        <w:rPr>
          <w:rFonts w:ascii="Times New Roman" w:hAnsi="Times New Roman"/>
          <w:sz w:val="20"/>
        </w:rPr>
        <w:t>Notwithstanding the foregoing, the Participation Right shall not apply to any “</w:t>
      </w:r>
      <w:r>
        <w:rPr>
          <w:rFonts w:ascii="Times New Roman" w:hAnsi="Times New Roman"/>
          <w:sz w:val="20"/>
          <w:u w:val="single"/>
        </w:rPr>
        <w:t>Excluded Issuance</w:t>
      </w:r>
      <w:r>
        <w:rPr>
          <w:rFonts w:ascii="Times New Roman" w:hAnsi="Times New Roman"/>
          <w:sz w:val="20"/>
        </w:rPr>
        <w:t xml:space="preserve">,” which means any issuance of (a) shares of Common Stock or equity awards issued or issuable to directors, officers, employees, consultants or other service providers of the Company or any of its Subsidiaries pursuant to any equity incentive plan or compensation arrangement approved by the Board, (b) shares of Common Stock issued upon conversion, exchange or exercise of any convertible securities, options, warrants or other rights outstanding as of the Closing or issued in compliance with this Section 6.2, (c) shares of Common Stock issued in connection with any stock split, stock dividend, stock combination, recapitalization or similar transaction, (d) shares of Common Stock or other securities issued as consideration in connection with any bona fide acquisition, merger, consolidation or similar business combination transaction approved by the Board, or (e) shares of Common Stock or other securities issued in connection with any joint venture, strategic alliance, licensing arrangement or similar commercial transaction approved by the Board, where the primary purpose of such issuance is not to raise capital. The Participation Right shall not apply to any issuance of New Securities to the extent that the exercise of such right by the Seller Parties would require the prior approval of the Company’s stockholders under applicable Nasdaq listing rules or applicable Law, unless and until such stockholder approval has been obtained (and the Company shall use commercially reasonable efforts to obtain such stockholder approval if requested by the Seller Representative). The Participation Right is personal to the Seller Parties and may not be assigned or transferred to any Person other than a Permitted Transferee who has executed a joinder to this Agreement in accordance with Section 2.1(b)(i) and who agrees to be bound by all of the terms and conditions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Standstill.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Seller and each Seller Party agrees that, for so long as the Seller Parties collectively own at least 15% of the Company’s issued and outstanding Common Stock, without the prior written approval of the Board, neither such Seller nor such Seller Party will, directly or indirectly, and each will cause its controlled Affiliates, including any other Seller Parties acting at its direction or on its behalf, not to: </w:t>
      </w:r>
    </w:p>
    <w:p>
      <w:pPr>
        <w:pStyle w:val="TextBody"/>
        <w:bidi w:val="0"/>
        <w:spacing w:before="240" w:after="0"/>
        <w:jc w:val="left"/>
        <w:rPr>
          <w:rFonts w:ascii="Times New Roman" w:hAnsi="Times New Roman"/>
          <w:sz w:val="20"/>
        </w:rPr>
      </w:pPr>
      <w:r>
        <w:rPr>
          <w:rFonts w:ascii="Times New Roman" w:hAnsi="Times New Roman"/>
          <w:sz w:val="20"/>
        </w:rPr>
        <w:t xml:space="preserve">(a) acquire, offer or seek to acquire, agree to acquire or make a proposal to acquire, any equity securities or direct or indirect rights to acquire any equity securities of the Company, any securities convertible into or exchangeable for any such equity securities, any options or other derivative securities, solely to the extent that, after giving effect to such acquisition, the Seller Parties would beneficially own, in the aggregate, more than 35.0% of the Company’s issued and outstanding Common Stock (which calculation shall include the notional or other number of shares of Common Stock specified in the documentation for any Contract designed to produce economic benefits and risks corresponding substantially to ownership of shares of Common Stock); provided that no Seller Party shall be deemed to have breached this Section 7(a) solely as a result of any increase in the percentage of Common Stock beneficially owned by the Seller Parties resulting from any repurchase, redemption or other reduction in the number of outstanding shares of Common Stock by the Company or any other action taken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make, or knowingly encourage or participate in any “solicitation” of “proxies” (whether or not relating to the election or removal of directors), as such terms are used in the rules of the SEC, to vote, or knowingly seek to advise or influence any Person with respect to the voting of, any voting securities of the Company, or call or seek to call a meeting of the Company’s stockholders or initiate any stockholder proposal for action by the Company’s stockholders, or seek election to or to place a representative on the Board (other than the Seller Designee in accordance with Section 5.1) or seek the removal of any director from the Board; </w:t>
      </w:r>
    </w:p>
    <w:p>
      <w:pPr>
        <w:pStyle w:val="TextBody"/>
        <w:bidi w:val="0"/>
        <w:spacing w:before="240" w:after="0"/>
        <w:jc w:val="left"/>
        <w:rPr>
          <w:rFonts w:ascii="Times New Roman" w:hAnsi="Times New Roman"/>
          <w:sz w:val="20"/>
        </w:rPr>
      </w:pPr>
      <w:r>
        <w:rPr>
          <w:rFonts w:ascii="Times New Roman" w:hAnsi="Times New Roman"/>
          <w:sz w:val="20"/>
        </w:rPr>
        <w:t xml:space="preserve">(c) make any public announcement with respect to, or publicly offer, seek, propose or indicate an interest in (in each case with or without conditions), any merger, consolidation, business combination, tender or exchange offer, recapitalization, reorganization or purchase of a material portion of the assets, properties or securities of the Company or any Subsidiary of the Company, or any other extraordinary transaction involving the Company or any Subsidiary of the Company or any of their respective securities, or enter into discussions, negotiations, arrangements, understandings, or agreements (whether written or oral) with any other Person (excluding, for the avoidance of doubt, any Seller Parties)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otherwise act, alone or in concert with others, to seek to control or influence the management, Board, or the policies of the Company, other than in the Seller Designee’s capacity, if any, as a director; </w:t>
      </w:r>
    </w:p>
    <w:p>
      <w:pPr>
        <w:pStyle w:val="TextBody"/>
        <w:bidi w:val="0"/>
        <w:spacing w:before="240" w:after="0"/>
        <w:jc w:val="left"/>
        <w:rPr>
          <w:rFonts w:ascii="Times New Roman" w:hAnsi="Times New Roman"/>
          <w:sz w:val="20"/>
        </w:rPr>
      </w:pPr>
      <w:r>
        <w:rPr>
          <w:rFonts w:ascii="Times New Roman" w:hAnsi="Times New Roman"/>
          <w:sz w:val="20"/>
        </w:rPr>
        <w:t xml:space="preserve">(e) make any public proposal or publicly disclose any intention, plan or arrangement inconsistent with any of the foregoing prohibited actions; </w:t>
      </w:r>
    </w:p>
    <w:p>
      <w:pPr>
        <w:pStyle w:val="TextBody"/>
        <w:bidi w:val="0"/>
        <w:spacing w:before="240" w:after="0"/>
        <w:jc w:val="left"/>
        <w:rPr>
          <w:rFonts w:ascii="Times New Roman" w:hAnsi="Times New Roman"/>
          <w:sz w:val="20"/>
        </w:rPr>
      </w:pPr>
      <w:r>
        <w:rPr>
          <w:rFonts w:ascii="Times New Roman" w:hAnsi="Times New Roman"/>
          <w:sz w:val="20"/>
        </w:rPr>
        <w:t xml:space="preserve">(f) advise or knowingly assist, knowingly encourage, or direct any Person to do, or to advise, assist, knowingly encourage or direct any other Person to do, any of the foregoing prohibited actions; </w:t>
      </w:r>
    </w:p>
    <w:p>
      <w:pPr>
        <w:pStyle w:val="TextBody"/>
        <w:bidi w:val="0"/>
        <w:spacing w:before="240" w:after="0"/>
        <w:jc w:val="left"/>
        <w:rPr>
          <w:rFonts w:ascii="Times New Roman" w:hAnsi="Times New Roman"/>
          <w:sz w:val="20"/>
        </w:rPr>
      </w:pPr>
      <w:r>
        <w:rPr>
          <w:rFonts w:ascii="Times New Roman" w:hAnsi="Times New Roman"/>
          <w:sz w:val="20"/>
        </w:rPr>
        <w:t xml:space="preserve">(g) take any action that would require the Company to make a public announcement under applicable Law regarding the possibility of a transaction or any of the events described in or actions prohibited by this Section 7; </w:t>
      </w:r>
    </w:p>
    <w:p>
      <w:pPr>
        <w:pStyle w:val="TextBody"/>
        <w:bidi w:val="0"/>
        <w:spacing w:before="240" w:after="0"/>
        <w:jc w:val="left"/>
        <w:rPr>
          <w:rFonts w:ascii="Times New Roman" w:hAnsi="Times New Roman"/>
          <w:sz w:val="20"/>
        </w:rPr>
      </w:pPr>
      <w:r>
        <w:rPr>
          <w:rFonts w:ascii="Times New Roman" w:hAnsi="Times New Roman"/>
          <w:sz w:val="20"/>
        </w:rPr>
        <w:t xml:space="preserve">(h) deposit any Common Stock and any other securities of the Company entitled to vote at any general meeting of the Company in a voting trust or similar Contract (unless such securities remain subject to the restrictions set forth in this Agreement) or subject any such securities to any voting agreement, pooling arrangement or similar arrangement or Contract, or grant any proxy with respect to any such voting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enter into any agreements, arrangements or understandings with any third party (excluding, for the avoidance of doubt, any Seller Parties or any Permitted Transferees) with respect to any of the foregoing prohibited actions, including forming, joining or in any way participating in a Group with any such third party in connection with any of the foregoing prohibited actions; or </w:t>
      </w:r>
    </w:p>
    <w:p>
      <w:pPr>
        <w:pStyle w:val="TextBody"/>
        <w:bidi w:val="0"/>
        <w:spacing w:before="240" w:after="0"/>
        <w:jc w:val="left"/>
        <w:rPr>
          <w:rFonts w:ascii="Times New Roman" w:hAnsi="Times New Roman"/>
          <w:sz w:val="20"/>
        </w:rPr>
      </w:pPr>
      <w:r>
        <w:rPr>
          <w:rFonts w:ascii="Times New Roman" w:hAnsi="Times New Roman"/>
          <w:sz w:val="20"/>
        </w:rPr>
        <w:t xml:space="preserve">(j) publicly request the Company or any of its Representatives, directly or indirectly, to amend or waive any provision of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7</w:t>
      </w:r>
      <w:r>
        <w:rPr>
          <w:rFonts w:ascii="Times New Roman" w:hAnsi="Times New Roman"/>
          <w:sz w:val="20"/>
        </w:rPr>
        <w:t xml:space="preserve"> or elsewhere in this Agreement will limit the Sellers’ or Seller Parties’ ability, as applicable, to (A) vote, Transfer (subject to </w:t>
      </w:r>
      <w:r>
        <w:rPr>
          <w:rFonts w:ascii="Times New Roman" w:hAnsi="Times New Roman"/>
          <w:sz w:val="20"/>
          <w:u w:val="single"/>
        </w:rPr>
        <w:t>Section 2</w:t>
      </w:r>
      <w:r>
        <w:rPr>
          <w:rFonts w:ascii="Times New Roman" w:hAnsi="Times New Roman"/>
          <w:sz w:val="20"/>
        </w:rPr>
        <w:t xml:space="preserve">) or otherwise exercise rights hereunder or under their Common Stock, (B) designate a Seller Designee or Seller Observer and permit any Seller Designee to deliberate, vote or otherwise exercise legal duties or otherwise act in the capacity as a member of the Board, (C) privately make, submit and discuss with the Company and/or the Board any proposal or matter intended to be made, submitted or discussed on a non-publicly disclosed or announced basis and not reasonably expected to require public disclosure, provided that such proposal or discussion does not relate to any amendment or waiver of any provision of this Section 7, (D) privately communicate with the Company and/or Board regarding any matter that does not relate to any of the actions prohibited by Sections 7(a) through 7(h), (E) make any disclosure required under </w:t>
      </w:r>
      <w:r>
        <w:rPr>
          <w:rFonts w:ascii="Times New Roman" w:hAnsi="Times New Roman"/>
          <w:sz w:val="20"/>
          <w:u w:val="single"/>
        </w:rPr>
        <w:t>Section</w:t>
      </w:r>
      <w:r>
        <w:rPr>
          <w:rFonts w:ascii="Times New Roman" w:hAnsi="Times New Roman"/>
          <w:sz w:val="20"/>
        </w:rPr>
        <w:t xml:space="preserve"> 13(d) of the Securities Exchange Act or any other applicable Law, or (F)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in this Section 7 shall be of no further force and effect upon: (i) any Person (other than any Seller Party or any Affiliate thereof) becoming the beneficial owner of 50% or more of the issued and outstanding Common Stock; (ii) any Person (other than any Seller Party or any Affiliate thereof) acquiring 50% or more of the consolidated assets of the Company and its Subsidiaries; (iii) the commencement of a tender or exchange offer that has been recommended to stockholders of the Company by the Board and that, if consummated, would result in any Person (other than any Seller Party or any Affiliate thereof) becoming the beneficial owner of 50% or more of the issued and outstanding Common Stock; (iv) the Company entering into a definitive agreement providing for any transaction that, if consummated, would result in any of the events described in clauses (i), (ii) or (iii).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Governing Law; Jurisdiction.</w:t>
      </w:r>
      <w:r>
        <w:rPr>
          <w:rFonts w:ascii="Times New Roman" w:hAnsi="Times New Roman"/>
          <w:sz w:val="20"/>
        </w:rPr>
        <w:t xml:space="preserve"> This Agreement shall be governed by and construed in accordance with the laws of England and Wales. Each of the Parties hereto irrevocably agrees that the courts of England and Wales shall have exclusive jurisdiction to settle any dispute or claim arising out of or in connection with this Agreement or its subject matter or formation (including non-contractual disputes or claims). Each Party irrevocably waives any objection to the venue of any legal process on the basis that the process has been brought in an inconvenient forum. Each of the Parties hereto agrees that all Actions arising out of or relating to this Agreement shall be heard and determined exclusively in the courts of England and Wales. Consistent with the preceding sentence, each of the Parties hereby (a) submits to the exclusive jurisdiction of the courts of England and Wales for the purpose of any Action arising out of or relating to this Agreement brought by any Party, (b) irrevocably waives, and agrees not to assert by way of motion, defence, or otherwise, in any such Action, any claim that it is not subject personally to the jurisdiction of the above-named courts, that the Action is brought in an inconvenient forum, that the venue of the Action is improper or that this Agreement or the transactions contemplated by this Agreement may not be enforced in or by any of the above-named courts, and (c) agrees that service of process may, to the fullest extent permitted by law, be made on such Party in accordance with applicable rules of the courts of England and Wales or by any other method permitted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Amendment</w:t>
      </w:r>
      <w:r>
        <w:rPr>
          <w:rFonts w:ascii="Times New Roman" w:hAnsi="Times New Roman"/>
          <w:sz w:val="20"/>
        </w:rPr>
        <w:t xml:space="preserve">. No provision of this Agreement may be amended, supplemented or modified except by a written instrument signed by the Company and the Seller Representative acting on behalf of all Sellers, and any such amendment, supplement or modification shall be binding on all of the Seller Parties. No provision of this Agreement may be waived except by a written instrument signed by (i) the Company, in the event the waiver is to be effective against the Company or (ii) the Seller Representative acting on behalf of the Sellers, in the event the waiver is to be effective against the Sellers and the other Seller Parties, and any such waiver shall be binding on all of the Seller Parties.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Termination</w:t>
      </w:r>
      <w:r>
        <w:rPr>
          <w:rFonts w:ascii="Times New Roman" w:hAnsi="Times New Roman"/>
          <w:sz w:val="20"/>
        </w:rPr>
        <w:t xml:space="preserve">. This Agreement will be effective as of the date hereof and shall automatically terminate upon the occurrence of the Second Fall-Away Event; provided, however, that (a) the provisions contained in Section 4 of this Agreement, except Section 4.8, shall survive so long as there are, and shall automatically terminate when there are no longer, any Registrable Securities outstanding, (b) the indemnity and contribution provisions contained in Section 4.8 and the provisions of this Section 8 shall survive any termination of this Agreement, and (c) the definitions set forth in Section 1 and the interpretive provisions set forth in Section 8.15 shall survive any termination of this Agreement to the extent necessary to give effect to any surviving provisions. The termination of this Agreement shall not relieve any Party from any liability for the breach of any obligations set forth in this Agreement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Notices</w:t>
      </w:r>
      <w:r>
        <w:rPr>
          <w:rFonts w:ascii="Times New Roman" w:hAnsi="Times New Roman"/>
          <w:sz w:val="20"/>
        </w:rPr>
        <w:t xml:space="preserve">. All notices, requests and other communications to any Party hereunder shall be in writing and shall be deemed given if delivered personally, emailed (which is confirmed) or sent by overnight courier (providing proof of delivery) to the Parties at the following addresses: </w:t>
      </w:r>
    </w:p>
    <w:p>
      <w:pPr>
        <w:pStyle w:val="TextBody"/>
        <w:bidi w:val="0"/>
        <w:spacing w:before="240" w:after="0"/>
        <w:jc w:val="left"/>
        <w:rPr>
          <w:rFonts w:ascii="Times New Roman" w:hAnsi="Times New Roman"/>
          <w:sz w:val="20"/>
        </w:rPr>
      </w:pPr>
      <w:r>
        <w:rPr>
          <w:rFonts w:ascii="Times New Roman" w:hAnsi="Times New Roman"/>
          <w:sz w:val="20"/>
        </w:rPr>
        <w:t xml:space="preserve">(a) If to the Company, to it at: </w:t>
      </w:r>
    </w:p>
    <w:p>
      <w:pPr>
        <w:pStyle w:val="TextBody"/>
        <w:bidi w:val="0"/>
        <w:spacing w:before="240" w:after="0"/>
        <w:jc w:val="left"/>
        <w:rPr>
          <w:rFonts w:ascii="Times New Roman" w:hAnsi="Times New Roman"/>
          <w:sz w:val="20"/>
        </w:rPr>
      </w:pPr>
      <w:r>
        <w:rPr>
          <w:rFonts w:ascii="Times New Roman" w:hAnsi="Times New Roman"/>
          <w:sz w:val="20"/>
        </w:rPr>
        <w:t xml:space="preserve">Drilling Tools International Corporation </w:t>
      </w:r>
    </w:p>
    <w:p>
      <w:pPr>
        <w:pStyle w:val="TextBody"/>
        <w:bidi w:val="0"/>
        <w:spacing w:before="0" w:after="0"/>
        <w:jc w:val="left"/>
        <w:rPr>
          <w:rFonts w:ascii="Times New Roman" w:hAnsi="Times New Roman"/>
          <w:sz w:val="20"/>
        </w:rPr>
      </w:pPr>
      <w:r>
        <w:rPr>
          <w:rFonts w:ascii="Times New Roman" w:hAnsi="Times New Roman"/>
          <w:sz w:val="20"/>
        </w:rPr>
        <w:t xml:space="preserve">10370 Richmond Ave., #1000 </w:t>
      </w:r>
    </w:p>
    <w:p>
      <w:pPr>
        <w:pStyle w:val="TextBody"/>
        <w:bidi w:val="0"/>
        <w:spacing w:before="0" w:after="0"/>
        <w:jc w:val="left"/>
        <w:rPr>
          <w:rFonts w:ascii="Times New Roman" w:hAnsi="Times New Roman"/>
          <w:sz w:val="20"/>
        </w:rPr>
      </w:pPr>
      <w:r>
        <w:rPr>
          <w:rFonts w:ascii="Times New Roman" w:hAnsi="Times New Roman"/>
          <w:sz w:val="20"/>
        </w:rPr>
        <w:t xml:space="preserve">Houston, TX 77042 </w:t>
      </w:r>
    </w:p>
    <w:p>
      <w:pPr>
        <w:pStyle w:val="TextBody"/>
        <w:bidi w:val="0"/>
        <w:spacing w:before="0" w:after="0"/>
        <w:jc w:val="left"/>
        <w:rPr>
          <w:rFonts w:ascii="Times New Roman" w:hAnsi="Times New Roman"/>
          <w:sz w:val="20"/>
        </w:rPr>
      </w:pPr>
      <w:r>
        <w:rPr>
          <w:rFonts w:ascii="Times New Roman" w:hAnsi="Times New Roman"/>
          <w:sz w:val="20"/>
        </w:rPr>
        <w:t xml:space="preserve">Attn: David R. Johnson,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David.Johnson@drillingtools.com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Winston Taylor LLP </w:t>
      </w:r>
    </w:p>
    <w:p>
      <w:pPr>
        <w:pStyle w:val="TextBody"/>
        <w:bidi w:val="0"/>
        <w:spacing w:before="0" w:after="0"/>
        <w:jc w:val="left"/>
        <w:rPr>
          <w:rFonts w:ascii="Times New Roman" w:hAnsi="Times New Roman"/>
          <w:sz w:val="20"/>
        </w:rPr>
      </w:pPr>
      <w:r>
        <w:rPr>
          <w:rFonts w:ascii="Times New Roman" w:hAnsi="Times New Roman"/>
          <w:sz w:val="20"/>
        </w:rPr>
        <w:t xml:space="preserve">800 Capitol Street, Suite 2400 </w:t>
      </w:r>
    </w:p>
    <w:p>
      <w:pPr>
        <w:pStyle w:val="TextBody"/>
        <w:bidi w:val="0"/>
        <w:spacing w:before="0" w:after="0"/>
        <w:jc w:val="left"/>
        <w:rPr>
          <w:rFonts w:ascii="Times New Roman" w:hAnsi="Times New Roman"/>
          <w:sz w:val="20"/>
        </w:rPr>
      </w:pPr>
      <w:r>
        <w:rPr>
          <w:rFonts w:ascii="Times New Roman" w:hAnsi="Times New Roman"/>
          <w:sz w:val="20"/>
        </w:rPr>
        <w:t xml:space="preserve">Houston, TX 77002 </w:t>
      </w:r>
    </w:p>
    <w:p>
      <w:pPr>
        <w:pStyle w:val="TextBody"/>
        <w:bidi w:val="0"/>
        <w:spacing w:before="0" w:after="0"/>
        <w:jc w:val="left"/>
        <w:rPr>
          <w:rFonts w:ascii="Times New Roman" w:hAnsi="Times New Roman"/>
          <w:sz w:val="20"/>
        </w:rPr>
      </w:pPr>
      <w:r>
        <w:rPr>
          <w:rFonts w:ascii="Times New Roman" w:hAnsi="Times New Roman"/>
          <w:sz w:val="20"/>
        </w:rPr>
        <w:t xml:space="preserve">Attn: Michael J. Blankenship </w:t>
      </w:r>
    </w:p>
    <w:p>
      <w:pPr>
        <w:pStyle w:val="TextBody"/>
        <w:bidi w:val="0"/>
        <w:spacing w:before="0" w:after="0"/>
        <w:jc w:val="left"/>
        <w:rPr>
          <w:rFonts w:ascii="Times New Roman" w:hAnsi="Times New Roman"/>
          <w:sz w:val="20"/>
        </w:rPr>
      </w:pPr>
      <w:r>
        <w:rPr>
          <w:rFonts w:ascii="Times New Roman" w:hAnsi="Times New Roman"/>
          <w:sz w:val="20"/>
        </w:rPr>
        <w:t xml:space="preserve">Email: mike.blankenship@winstontaylor.com </w:t>
      </w:r>
    </w:p>
    <w:p>
      <w:pPr>
        <w:pStyle w:val="TextBody"/>
        <w:bidi w:val="0"/>
        <w:spacing w:before="240" w:after="0"/>
        <w:jc w:val="left"/>
        <w:rPr>
          <w:rFonts w:ascii="Times New Roman" w:hAnsi="Times New Roman"/>
          <w:sz w:val="20"/>
        </w:rPr>
      </w:pPr>
      <w:r>
        <w:rPr>
          <w:rFonts w:ascii="Times New Roman" w:hAnsi="Times New Roman"/>
          <w:sz w:val="20"/>
        </w:rPr>
        <w:t xml:space="preserve">(b) If to the Seller Representative, on behalf of the Sellers, to: </w:t>
      </w:r>
    </w:p>
    <w:p>
      <w:pPr>
        <w:pStyle w:val="TextBody"/>
        <w:bidi w:val="0"/>
        <w:spacing w:before="240" w:after="0"/>
        <w:jc w:val="left"/>
        <w:rPr>
          <w:rFonts w:ascii="Times New Roman" w:hAnsi="Times New Roman"/>
          <w:sz w:val="20"/>
        </w:rPr>
      </w:pPr>
      <w:r>
        <w:rPr>
          <w:rFonts w:ascii="Times New Roman" w:hAnsi="Times New Roman"/>
          <w:sz w:val="20"/>
        </w:rPr>
        <w:t xml:space="preserve">Jack William Loggie </w:t>
      </w:r>
    </w:p>
    <w:p>
      <w:pPr>
        <w:pStyle w:val="TextBody"/>
        <w:bidi w:val="0"/>
        <w:spacing w:before="0" w:after="0"/>
        <w:jc w:val="left"/>
        <w:rPr>
          <w:rFonts w:ascii="Times New Roman" w:hAnsi="Times New Roman"/>
          <w:sz w:val="20"/>
        </w:rPr>
      </w:pPr>
      <w:r>
        <w:rPr>
          <w:rFonts w:ascii="Times New Roman" w:hAnsi="Times New Roman"/>
          <w:sz w:val="20"/>
        </w:rPr>
        <w:t xml:space="preserve">100 Union Street </w:t>
      </w:r>
    </w:p>
    <w:p>
      <w:pPr>
        <w:pStyle w:val="TextBody"/>
        <w:bidi w:val="0"/>
        <w:spacing w:before="0" w:after="0"/>
        <w:jc w:val="left"/>
        <w:rPr>
          <w:rFonts w:ascii="Times New Roman" w:hAnsi="Times New Roman"/>
          <w:sz w:val="20"/>
        </w:rPr>
      </w:pPr>
      <w:r>
        <w:rPr>
          <w:rFonts w:ascii="Times New Roman" w:hAnsi="Times New Roman"/>
          <w:sz w:val="20"/>
        </w:rPr>
        <w:t xml:space="preserve">Aberdeen, Aberdeenshire </w:t>
      </w:r>
    </w:p>
    <w:p>
      <w:pPr>
        <w:pStyle w:val="TextBody"/>
        <w:bidi w:val="0"/>
        <w:spacing w:before="240" w:after="0"/>
        <w:jc w:val="left"/>
        <w:rPr>
          <w:rFonts w:ascii="Times New Roman" w:hAnsi="Times New Roman"/>
          <w:sz w:val="20"/>
        </w:rPr>
      </w:pPr>
      <w:r>
        <w:rPr>
          <w:rFonts w:ascii="Times New Roman" w:hAnsi="Times New Roman"/>
          <w:sz w:val="20"/>
        </w:rPr>
        <w:t xml:space="preserve">AB10 1QR </w:t>
      </w:r>
    </w:p>
    <w:p>
      <w:pPr>
        <w:pStyle w:val="TextBody"/>
        <w:bidi w:val="0"/>
        <w:spacing w:before="240" w:after="0"/>
        <w:jc w:val="left"/>
        <w:rPr>
          <w:rFonts w:ascii="Times New Roman" w:hAnsi="Times New Roman"/>
          <w:sz w:val="20"/>
        </w:rPr>
      </w:pPr>
      <w:r>
        <w:rPr>
          <w:rFonts w:ascii="Times New Roman" w:hAnsi="Times New Roman"/>
          <w:sz w:val="20"/>
        </w:rPr>
        <w:t xml:space="preserve">United Kingdom </w:t>
      </w:r>
    </w:p>
    <w:p>
      <w:pPr>
        <w:pStyle w:val="TextBody"/>
        <w:bidi w:val="0"/>
        <w:spacing w:before="0" w:after="0"/>
        <w:jc w:val="left"/>
        <w:rPr>
          <w:rFonts w:ascii="Times New Roman" w:hAnsi="Times New Roman"/>
          <w:sz w:val="20"/>
        </w:rPr>
      </w:pPr>
      <w:r>
        <w:rPr>
          <w:rFonts w:ascii="Times New Roman" w:hAnsi="Times New Roman"/>
          <w:sz w:val="20"/>
        </w:rPr>
        <w:t xml:space="preserve">Attn: Jack William Loggie </w:t>
      </w:r>
    </w:p>
    <w:p>
      <w:pPr>
        <w:pStyle w:val="TextBody"/>
        <w:bidi w:val="0"/>
        <w:spacing w:before="0" w:after="0"/>
        <w:jc w:val="left"/>
        <w:rPr>
          <w:rFonts w:ascii="Times New Roman" w:hAnsi="Times New Roman"/>
          <w:sz w:val="20"/>
        </w:rPr>
      </w:pPr>
      <w:r>
        <w:rPr>
          <w:rFonts w:ascii="Times New Roman" w:hAnsi="Times New Roman"/>
          <w:sz w:val="20"/>
        </w:rPr>
        <w:t xml:space="preserve">Email: Jack.Loggie@saltire-energy.com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Pinsent Masons LLP </w:t>
      </w:r>
    </w:p>
    <w:p>
      <w:pPr>
        <w:pStyle w:val="TextBody"/>
        <w:bidi w:val="0"/>
        <w:spacing w:before="0" w:after="0"/>
        <w:jc w:val="left"/>
        <w:rPr>
          <w:rFonts w:ascii="Times New Roman" w:hAnsi="Times New Roman"/>
          <w:sz w:val="20"/>
        </w:rPr>
      </w:pPr>
      <w:r>
        <w:rPr>
          <w:rFonts w:ascii="Times New Roman" w:hAnsi="Times New Roman"/>
          <w:sz w:val="20"/>
        </w:rPr>
        <w:t xml:space="preserve">120 Bothwell Street </w:t>
      </w:r>
    </w:p>
    <w:p>
      <w:pPr>
        <w:pStyle w:val="TextBody"/>
        <w:bidi w:val="0"/>
        <w:spacing w:before="0" w:after="0"/>
        <w:jc w:val="left"/>
        <w:rPr>
          <w:rFonts w:ascii="Times New Roman" w:hAnsi="Times New Roman"/>
          <w:sz w:val="20"/>
        </w:rPr>
      </w:pPr>
      <w:r>
        <w:rPr>
          <w:rFonts w:ascii="Times New Roman" w:hAnsi="Times New Roman"/>
          <w:sz w:val="20"/>
        </w:rPr>
        <w:t xml:space="preserve">Glasgow, G2 7JS </w:t>
      </w:r>
    </w:p>
    <w:p>
      <w:pPr>
        <w:pStyle w:val="TextBody"/>
        <w:bidi w:val="0"/>
        <w:spacing w:before="0" w:after="0"/>
        <w:jc w:val="left"/>
        <w:rPr>
          <w:rFonts w:ascii="Times New Roman" w:hAnsi="Times New Roman"/>
          <w:sz w:val="20"/>
        </w:rPr>
      </w:pPr>
      <w:r>
        <w:rPr>
          <w:rFonts w:ascii="Times New Roman" w:hAnsi="Times New Roman"/>
          <w:sz w:val="20"/>
        </w:rPr>
        <w:t xml:space="preserve">Attn: Brian Thumath </w:t>
      </w:r>
    </w:p>
    <w:p>
      <w:pPr>
        <w:pStyle w:val="TextBody"/>
        <w:bidi w:val="0"/>
        <w:spacing w:before="0" w:after="0"/>
        <w:jc w:val="left"/>
        <w:rPr>
          <w:rFonts w:ascii="Times New Roman" w:hAnsi="Times New Roman"/>
          <w:sz w:val="20"/>
        </w:rPr>
      </w:pPr>
      <w:r>
        <w:rPr>
          <w:rFonts w:ascii="Times New Roman" w:hAnsi="Times New Roman"/>
          <w:sz w:val="20"/>
        </w:rPr>
        <w:t xml:space="preserve">Email: brian.thumath@pinsentmasons.com </w:t>
      </w:r>
    </w:p>
    <w:p>
      <w:pPr>
        <w:pStyle w:val="TextBody"/>
        <w:bidi w:val="0"/>
        <w:spacing w:before="240" w:after="0"/>
        <w:jc w:val="left"/>
        <w:rPr>
          <w:rFonts w:ascii="Times New Roman" w:hAnsi="Times New Roman"/>
          <w:sz w:val="20"/>
        </w:rPr>
      </w:pPr>
      <w:r>
        <w:rPr>
          <w:rFonts w:ascii="Times New Roman" w:hAnsi="Times New Roman"/>
          <w:sz w:val="20"/>
        </w:rPr>
        <w:t xml:space="preserve">or such other address or email address as such Party may hereafter specify by like notice to the other Party.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agree that irreparable damage for which monetary relief, even if available, would not be an adequate remedy would occur in the event that any provision of this Agreement is not performed in accordance with its specific terms or is otherwise breached. The Parties acknowledge and agree that (a) the Parties shall be entitled to an injunction or injunctions, specific performance or other equitable relief to prevent breaches of this Agreement and to enforce specifically the terms and provisions hereof in the courts described in </w:t>
      </w:r>
      <w:r>
        <w:rPr>
          <w:rFonts w:ascii="Times New Roman" w:hAnsi="Times New Roman"/>
          <w:sz w:val="20"/>
          <w:u w:val="single"/>
        </w:rPr>
        <w:t>Section 8.1</w:t>
      </w:r>
      <w:r>
        <w:rPr>
          <w:rFonts w:ascii="Times New Roman" w:hAnsi="Times New Roman"/>
          <w:sz w:val="20"/>
        </w:rPr>
        <w:t xml:space="preserve"> without proof of damages or otherwise, this being in addition to any other remedy to which they are entitled under this Agreement and (b) the right of specific enforcement is an integral part of the transactions contemplated hereby and without that right, neither the Company nor the Sellers would have entered into this Agreement. The Parties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acknowledge and agree that any Party seeking an injunction or injunctions to prevent breaches of this Agreement and to enforce specifically the terms and provisions of this Agreement in accordance with this </w:t>
      </w:r>
      <w:r>
        <w:rPr>
          <w:rFonts w:ascii="Times New Roman" w:hAnsi="Times New Roman"/>
          <w:sz w:val="20"/>
          <w:u w:val="single"/>
        </w:rPr>
        <w:t>Section 8.5</w:t>
      </w:r>
      <w:r>
        <w:rPr>
          <w:rFonts w:ascii="Times New Roman" w:hAnsi="Times New Roman"/>
          <w:sz w:val="20"/>
        </w:rPr>
        <w:t xml:space="preserve"> shall not be required to provide any bond or other security in connection with any such order or injunction.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Treatment of Certain Transfers.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Transfer or attempted Transfer in breach of this Agreement shall be void ab initio and of no effect. In connection with any attempted Transfer in breach of this Agreement, the Company may hold and refuse to transfer any Lock-Up Shares or any certificate therefor, in addition to and without prejudice to any and all other rights or remedies which may be available to it and/or the Sellers or any other Seller Party. </w:t>
      </w:r>
    </w:p>
    <w:p>
      <w:pPr>
        <w:pStyle w:val="TextBody"/>
        <w:bidi w:val="0"/>
        <w:spacing w:before="240" w:after="0"/>
        <w:jc w:val="left"/>
        <w:rPr>
          <w:rFonts w:ascii="Times New Roman" w:hAnsi="Times New Roman"/>
          <w:sz w:val="20"/>
        </w:rPr>
      </w:pPr>
      <w:r>
        <w:rPr>
          <w:rFonts w:ascii="Times New Roman" w:hAnsi="Times New Roman"/>
          <w:sz w:val="20"/>
        </w:rPr>
        <w:t xml:space="preserve">8.7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in one or more counterparts (including by electronic mail), each of which shall be deemed to be an original but all of which taken together shall constitute one and the same agreement, and shall become effective when one or more counterparts have been signed by each of the Parties (including by electronic signature) and delivered to the other Party (including electronically, e.g., in PDF format). </w:t>
      </w:r>
    </w:p>
    <w:p>
      <w:pPr>
        <w:pStyle w:val="TextBody"/>
        <w:bidi w:val="0"/>
        <w:spacing w:before="240" w:after="0"/>
        <w:jc w:val="left"/>
        <w:rPr>
          <w:rFonts w:ascii="Times New Roman" w:hAnsi="Times New Roman"/>
          <w:sz w:val="20"/>
        </w:rPr>
      </w:pPr>
      <w:r>
        <w:rPr>
          <w:rFonts w:ascii="Times New Roman" w:hAnsi="Times New Roman"/>
          <w:sz w:val="20"/>
        </w:rPr>
        <w:t xml:space="preserve">8.8 </w:t>
      </w:r>
      <w:r>
        <w:rPr>
          <w:rFonts w:ascii="Times New Roman" w:hAnsi="Times New Roman"/>
          <w:sz w:val="20"/>
          <w:u w:val="single"/>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shall negotiate in good faith to modify this Agreement so as to effect the original intent of the Parties as closely as possible to the fullest extent permitted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8.9 </w:t>
      </w:r>
      <w:r>
        <w:rPr>
          <w:rFonts w:ascii="Times New Roman" w:hAnsi="Times New Roman"/>
          <w:sz w:val="20"/>
          <w:u w:val="single"/>
        </w:rPr>
        <w:t>Further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shall do and perform or cause to be done and performed, without further consideration, all such further acts and things and shall execute and deliver all such other agreements, certificates, instruments and documents as the other Party may reasonably request in order to carry out the provisions of this Agreement and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8.10 </w:t>
      </w:r>
      <w:r>
        <w:rPr>
          <w:rFonts w:ascii="Times New Roman" w:hAnsi="Times New Roman"/>
          <w:sz w:val="20"/>
          <w:u w:val="single"/>
        </w:rPr>
        <w:t>Extension of Time, Waiver,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may, subject to applicable Law, (a) extend the time for the performance of any of the obligations or acts of the other Party or (b) waive compliance by the other Party with any of the agreements contained herein applicable to such Party or, except as otherwise provided herein, waive any of such Party’s conditions. Notwithstanding the foregoing, no failure or delay by any Party in exercising any right hereunder shall operate as a waiver thereof nor shall any single or partial exercise thereof preclude any other or further exercise thereof or the exercise of any other right hereunder. Any agreement on the part of a Party to any such extension or waiver shall be valid only if set forth in an instrument in writing signed on behalf of such Party. </w:t>
      </w:r>
    </w:p>
    <w:p>
      <w:pPr>
        <w:pStyle w:val="TextBody"/>
        <w:bidi w:val="0"/>
        <w:spacing w:before="240" w:after="0"/>
        <w:jc w:val="left"/>
        <w:rPr>
          <w:rFonts w:ascii="Times New Roman" w:hAnsi="Times New Roman"/>
          <w:sz w:val="20"/>
        </w:rPr>
      </w:pPr>
      <w:r>
        <w:rPr>
          <w:rFonts w:ascii="Times New Roman" w:hAnsi="Times New Roman"/>
          <w:sz w:val="20"/>
        </w:rPr>
        <w:t xml:space="preserve">8.11 </w:t>
      </w:r>
      <w:r>
        <w:rPr>
          <w:rFonts w:ascii="Times New Roman" w:hAnsi="Times New Roman"/>
          <w:sz w:val="20"/>
          <w:u w:val="single"/>
        </w:rPr>
        <w:t>Entire Agreement; No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constitutes the entire agreement, and supersedes all other prior agreements and understandings, both written and oral, among the Parties and their Affiliates, or any of them, with respect to the subject matter hereof. No provision of this Agreement shall confer upon any Person other than the Parties and their permitted assigns any rights or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8.12 </w:t>
      </w:r>
      <w:r>
        <w:rPr>
          <w:rFonts w:ascii="Times New Roman" w:hAnsi="Times New Roman"/>
          <w:sz w:val="20"/>
          <w:u w:val="single"/>
        </w:rPr>
        <w:t>No Partnership Status.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Agreement and no actions taken by the Parties under this Agreement shall constitute a partnership, association or other co-operative entity between any of the Parties or constitute any Party the agent of any other Party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8.13 </w:t>
      </w:r>
      <w:r>
        <w:rPr>
          <w:rFonts w:ascii="Times New Roman" w:hAnsi="Times New Roman"/>
          <w:sz w:val="20"/>
          <w:u w:val="single"/>
        </w:rPr>
        <w:t>Binding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binding upon the Company, the Sellers and their permitted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8.14 </w:t>
      </w:r>
      <w:r>
        <w:rPr>
          <w:rFonts w:ascii="Times New Roman" w:hAnsi="Times New Roman"/>
          <w:sz w:val="20"/>
          <w:u w:val="single"/>
        </w:rPr>
        <w:t>Further Acknowledgements.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Sellers acknowledge and agree that the restrictions on transfer set forth in this Agreement are reasonable and have been imposed to accomplish legitimate corporate objectives and may adversely affect the proceeds received by the Sellers or any other Seller Party in any sale, transfer or liquidation of any Lock-Up Shares, and as a result of such restrictions on transfer and ownership, it may not be possible for the Sellers or any other Seller Party to liquidate all or any part of their interest in Lock-Up Shares at the time of their choosing, in exigent circumstances or otherwise. The Sellers further acknowledge and agree that the Company and its Affiliates shall have no liability whatsoever to the Sellers or any other Seller Party arising directly from the restrictions on transfer of Lock-Up Shares or any interest therein as set forth in this Agreement, except to the extent (i) the Company fails to comply with its obligations to the Sellers pursuant to this Agreement or (ii) such liability arises from or is attributable to the fraud, gross negligence, wilful misconduct or bad faith of the Company or any of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8.15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 a reference is made in this Agreement to an Article, a Section, Annex, Exhibit or Schedule, such reference shall be to an Article of, a </w:t>
      </w:r>
      <w:r>
        <w:rPr>
          <w:rFonts w:ascii="Times New Roman" w:hAnsi="Times New Roman"/>
          <w:sz w:val="20"/>
          <w:u w:val="single"/>
        </w:rPr>
        <w:t>Section</w:t>
      </w:r>
      <w:r>
        <w:rPr>
          <w:rFonts w:ascii="Times New Roman" w:hAnsi="Times New Roman"/>
          <w:sz w:val="20"/>
        </w:rPr>
        <w:t xml:space="preserve"> of, or an Annex,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definitions contained in this Agreement are applicable to the singular as well as the plural forms of such terms and to the masculine as well as to the feminine and neuter genders of such term. In the event that the Common Stock is listed on a national securities exchange other than Nasdaq, all references herein to Nasdaq shall be deemed to be references to such other national securities exchange.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(and unless otherwise required by Law, if the last day of such period is not a Business Day, the period in question shall end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8.16 </w:t>
      </w:r>
      <w:r>
        <w:rPr>
          <w:rFonts w:ascii="Times New Roman" w:hAnsi="Times New Roman"/>
          <w:sz w:val="20"/>
          <w:u w:val="single"/>
        </w:rPr>
        <w:t>Assignment.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set forth herein, neither this Agreement nor any of the rights, interests or obligations hereunder shall be assigned, in whole or in part, by operation of Law or otherwise, by the Company, the Seller Representative or any Seller without the prior written consent of the other parties hereto.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duly executed and delivered this Agreement as a deed to be effective on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7"/>
        <w:gridCol w:w="85"/>
        <w:gridCol w:w="3470"/>
      </w:tblGrid>
      <w:tr>
        <w:trPr/>
        <w:tc>
          <w:tcPr>
            <w:tcW w:w="52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Drilling Tools International Corporation</w:t>
            </w:r>
          </w:p>
        </w:tc>
      </w:tr>
      <w:tr>
        <w:trPr>
          <w:trHeight w:val="240" w:hRule="atLeast"/>
        </w:trPr>
        <w:tc>
          <w:tcPr>
            <w:tcW w:w="527" w:type="dxa"/>
            <w:tcBorders/>
            <w:vAlign w:val="center"/>
          </w:tcPr>
          <w:p>
            <w:pPr>
              <w:pStyle w:val="TableContents"/>
              <w:bidi w:val="0"/>
              <w:spacing w:before="0" w:after="283"/>
              <w:jc w:val="left"/>
              <w:rPr>
                <w:sz w:val="4"/>
                <w:szCs w:val="4"/>
              </w:rPr>
            </w:pPr>
            <w:r>
              <w:rPr>
                <w:sz w:val="4"/>
                <w:szCs w:val="4"/>
              </w:rPr>
            </w:r>
          </w:p>
        </w:tc>
        <w:tc>
          <w:tcPr>
            <w:tcW w:w="3555" w:type="dxa"/>
            <w:gridSpan w:val="2"/>
            <w:tcBorders/>
            <w:vAlign w:val="center"/>
          </w:tcPr>
          <w:p>
            <w:pPr>
              <w:pStyle w:val="TableContents"/>
              <w:bidi w:val="0"/>
              <w:spacing w:before="0" w:after="283"/>
              <w:jc w:val="left"/>
              <w:rPr>
                <w:sz w:val="4"/>
                <w:szCs w:val="4"/>
              </w:rPr>
            </w:pPr>
            <w:r>
              <w:rPr>
                <w:sz w:val="4"/>
                <w:szCs w:val="4"/>
              </w:rPr>
            </w:r>
          </w:p>
        </w:tc>
      </w:tr>
      <w:tr>
        <w:trPr/>
        <w:tc>
          <w:tcPr>
            <w:tcW w:w="527"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u w:val="single"/>
              </w:rPr>
            </w:pPr>
            <w:r>
              <w:rPr>
                <w:i/>
                <w:u w:val="single"/>
              </w:rPr>
              <w:t>/s/ David R. Johnson</w:t>
            </w:r>
            <w:r>
              <w:rPr>
                <w:u w:val="single"/>
              </w:rPr>
              <w:t>            </w:t>
            </w:r>
          </w:p>
        </w:tc>
      </w:tr>
      <w:tr>
        <w:trPr/>
        <w:tc>
          <w:tcPr>
            <w:tcW w:w="52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Name: David R. Johnson</w:t>
            </w:r>
          </w:p>
        </w:tc>
      </w:tr>
      <w:tr>
        <w:trPr/>
        <w:tc>
          <w:tcPr>
            <w:tcW w:w="527" w:type="dxa"/>
            <w:tcBorders/>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SELLERS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Michael David Loggie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i/>
                <w:u w:val="single"/>
              </w:rPr>
              <w:t>/s/ Michael David Loggie</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signature: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name: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address: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Michael David John Loggie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i/>
                <w:u w:val="single"/>
              </w:rPr>
              <w:t>/s/ Michael David John Loggie</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signature: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name: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address: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and Investor Rights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319"/>
        <w:gridCol w:w="120"/>
        <w:gridCol w:w="2643"/>
      </w:tblGrid>
      <w:tr>
        <w:trPr/>
        <w:tc>
          <w:tcPr>
            <w:tcW w:w="13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and delivered as a deed by Jack William Loggie, in his capacity as Seller and Seller Representative</w:t>
            </w:r>
          </w:p>
        </w:tc>
      </w:tr>
      <w:tr>
        <w:trPr>
          <w:trHeight w:val="240" w:hRule="atLeast"/>
        </w:trPr>
        <w:tc>
          <w:tcPr>
            <w:tcW w:w="1319" w:type="dxa"/>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r>
      <w:tr>
        <w:trPr/>
        <w:tc>
          <w:tcPr>
            <w:tcW w:w="1319"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u w:val="single"/>
              </w:rPr>
            </w:pPr>
            <w:r>
              <w:rPr>
                <w:i/>
                <w:u w:val="single"/>
              </w:rPr>
              <w:t>/s/ Michael David John Loggie</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 the presence 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signature: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name: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Witness address: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Loggie Family Trust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Michael David Loggie and Jack William Loggie, solely in their capacity as trustees of The Loggie Family Trust</w:t>
            </w:r>
          </w:p>
        </w:tc>
      </w:tr>
      <w:tr>
        <w:trPr>
          <w:trHeight w:val="240" w:hRule="atLeast"/>
        </w:trPr>
        <w:tc>
          <w:tcPr>
            <w:tcW w:w="1319" w:type="dxa"/>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r>
      <w:tr>
        <w:trPr/>
        <w:tc>
          <w:tcPr>
            <w:tcW w:w="1319"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u w:val="single"/>
              </w:rPr>
            </w:pPr>
            <w:r>
              <w:rPr>
                <w:i/>
                <w:u w:val="single"/>
              </w:rPr>
              <w:t>/s/ Michael David Loggie</w:t>
            </w:r>
            <w:r>
              <w:rPr>
                <w:u w:val="single"/>
              </w:rPr>
              <w:t>         </w:t>
            </w:r>
          </w:p>
        </w:tc>
      </w:tr>
      <w:tr>
        <w:trPr/>
        <w:tc>
          <w:tcPr>
            <w:tcW w:w="1319"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pPr>
            <w:r>
              <w:rPr/>
              <w:t>Michael David Loggie</w:t>
            </w:r>
          </w:p>
        </w:tc>
      </w:tr>
      <w:tr>
        <w:trPr/>
        <w:tc>
          <w:tcPr>
            <w:tcW w:w="1319" w:type="dxa"/>
            <w:tcBorders/>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pPr>
            <w:r>
              <w:rPr/>
              <w:t>Trustee</w:t>
            </w:r>
          </w:p>
        </w:tc>
      </w:tr>
      <w:tr>
        <w:trPr>
          <w:trHeight w:val="240" w:hRule="atLeast"/>
        </w:trPr>
        <w:tc>
          <w:tcPr>
            <w:tcW w:w="1319" w:type="dxa"/>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r>
      <w:tr>
        <w:trPr/>
        <w:tc>
          <w:tcPr>
            <w:tcW w:w="1319"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u w:val="single"/>
              </w:rPr>
            </w:pPr>
            <w:r>
              <w:rPr>
                <w:i/>
                <w:u w:val="single"/>
              </w:rPr>
              <w:t>/s/ Jack William Loggie</w:t>
            </w:r>
            <w:r>
              <w:rPr>
                <w:u w:val="single"/>
              </w:rPr>
              <w:t>         </w:t>
            </w:r>
          </w:p>
        </w:tc>
      </w:tr>
      <w:tr>
        <w:trPr/>
        <w:tc>
          <w:tcPr>
            <w:tcW w:w="1319"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pPr>
            <w:r>
              <w:rPr/>
              <w:t>Jack William Loggie</w:t>
            </w:r>
          </w:p>
        </w:tc>
      </w:tr>
      <w:tr>
        <w:trPr/>
        <w:tc>
          <w:tcPr>
            <w:tcW w:w="1319" w:type="dxa"/>
            <w:tcBorders/>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2643" w:type="dxa"/>
            <w:tcBorders/>
          </w:tcPr>
          <w:p>
            <w:pPr>
              <w:pStyle w:val="TableContents"/>
              <w:bidi w:val="0"/>
              <w:spacing w:before="0" w:after="283"/>
              <w:jc w:val="left"/>
              <w:rPr/>
            </w:pPr>
            <w:r>
              <w:rPr/>
              <w:t>Trustee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and Investor Rights Agreement </w:t>
      </w:r>
    </w:p>
    <w:p>
      <w:pPr>
        <w:pStyle w:val="TextBody"/>
        <w:bidi w:val="0"/>
        <w:spacing w:before="0" w:after="0"/>
        <w:jc w:val="right"/>
        <w:rPr>
          <w:rFonts w:ascii="Times New Roman" w:hAnsi="Times New Roman"/>
          <w:b/>
          <w:sz w:val="20"/>
        </w:rPr>
      </w:pPr>
      <w:bookmarkStart w:id="6" w:name="d168409dex991.htm"/>
      <w:bookmarkStart w:id="7" w:name="ksd168409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95"/>
        <w:gridCol w:w="120"/>
        <w:gridCol w:w="2747"/>
        <w:gridCol w:w="120"/>
        <w:gridCol w:w="3123"/>
      </w:tblGrid>
      <w:tr>
        <w:trPr/>
        <w:tc>
          <w:tcPr>
            <w:tcW w:w="40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r>
      <w:tr>
        <w:trPr/>
        <w:tc>
          <w:tcPr>
            <w:tcW w:w="4095" w:type="dxa"/>
            <w:tcBorders/>
          </w:tcPr>
          <w:p>
            <w:pPr>
              <w:pStyle w:val="TableContents"/>
              <w:bidi w:val="0"/>
              <w:spacing w:before="0" w:after="283"/>
              <w:jc w:val="left"/>
              <w:rPr/>
            </w:pPr>
            <w:r>
              <w:rPr/>
              <w:drawing>
                <wp:inline distT="0" distB="0" distL="0" distR="0">
                  <wp:extent cx="2409825"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09825" cy="3714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7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23" w:type="dxa"/>
            <w:tcBorders/>
          </w:tcPr>
          <w:p>
            <w:pPr>
              <w:pStyle w:val="TableContents"/>
              <w:bidi w:val="0"/>
              <w:spacing w:before="0" w:after="283"/>
              <w:jc w:val="right"/>
              <w:rPr>
                <w:b/>
                <w:i/>
              </w:rPr>
            </w:pPr>
            <w:r>
              <w:rPr>
                <w:b/>
                <w:i/>
              </w:rPr>
              <w:t>N</w:t>
            </w:r>
            <w:r>
              <w:rPr>
                <w:b/>
                <w:i/>
                <w:sz w:val="20"/>
              </w:rPr>
              <w:t>EWS</w:t>
            </w:r>
            <w:r>
              <w:rPr>
                <w:b/>
                <w:i/>
              </w:rPr>
              <w:t> R</w:t>
            </w:r>
            <w:r>
              <w:rPr>
                <w:b/>
                <w:i/>
                <w:sz w:val="20"/>
              </w:rPr>
              <w:t>ELEASE</w:t>
            </w:r>
          </w:p>
        </w:tc>
      </w:tr>
    </w:tbl>
    <w:p>
      <w:pPr>
        <w:pStyle w:val="TextBody"/>
        <w:bidi w:val="0"/>
        <w:spacing w:before="480" w:after="0"/>
        <w:jc w:val="center"/>
        <w:rPr>
          <w:rFonts w:ascii="Times New Roman" w:hAnsi="Times New Roman"/>
          <w:b/>
          <w:sz w:val="32"/>
        </w:rPr>
      </w:pPr>
      <w:r>
        <w:rPr>
          <w:rFonts w:ascii="Times New Roman" w:hAnsi="Times New Roman"/>
          <w:b/>
          <w:sz w:val="32"/>
        </w:rPr>
        <w:t xml:space="preserve">Drilling Tools International Corp. Signs Definitive Agreement to </w:t>
      </w:r>
    </w:p>
    <w:p>
      <w:pPr>
        <w:pStyle w:val="TextBody"/>
        <w:bidi w:val="0"/>
        <w:spacing w:before="0" w:after="0"/>
        <w:jc w:val="center"/>
        <w:rPr>
          <w:rFonts w:ascii="Times New Roman" w:hAnsi="Times New Roman"/>
          <w:b/>
          <w:sz w:val="32"/>
        </w:rPr>
      </w:pPr>
      <w:r>
        <w:rPr>
          <w:rFonts w:ascii="Times New Roman" w:hAnsi="Times New Roman"/>
          <w:b/>
          <w:sz w:val="32"/>
        </w:rPr>
        <w:t xml:space="preserve">Acquire Saltire Energy Limited &amp; Foxley Energy Limited </w:t>
      </w:r>
    </w:p>
    <w:p>
      <w:pPr>
        <w:pStyle w:val="TextBody"/>
        <w:bidi w:val="0"/>
        <w:spacing w:before="240" w:after="0"/>
        <w:jc w:val="center"/>
        <w:rPr>
          <w:rFonts w:ascii="Times New Roman" w:hAnsi="Times New Roman"/>
          <w:b/>
          <w:i/>
          <w:sz w:val="24"/>
        </w:rPr>
      </w:pPr>
      <w:r>
        <w:rPr>
          <w:rFonts w:ascii="Times New Roman" w:hAnsi="Times New Roman"/>
          <w:b/>
          <w:i/>
          <w:sz w:val="24"/>
        </w:rPr>
        <w:t xml:space="preserve">Combination creates a stronger, more diversified global platform </w:t>
      </w:r>
    </w:p>
    <w:p>
      <w:pPr>
        <w:pStyle w:val="TextBody"/>
        <w:bidi w:val="0"/>
        <w:spacing w:before="240" w:after="0"/>
        <w:jc w:val="center"/>
        <w:rPr>
          <w:rFonts w:ascii="Times New Roman" w:hAnsi="Times New Roman"/>
          <w:b/>
          <w:i/>
          <w:sz w:val="24"/>
        </w:rPr>
      </w:pPr>
      <w:r>
        <w:rPr>
          <w:rFonts w:ascii="Times New Roman" w:hAnsi="Times New Roman"/>
          <w:b/>
          <w:i/>
          <w:sz w:val="24"/>
        </w:rPr>
        <w:t xml:space="preserve">Expands Eastern Hemisphere presence to approximately 40% of pro forma revenue </w:t>
      </w:r>
    </w:p>
    <w:p>
      <w:pPr>
        <w:pStyle w:val="TextBody"/>
        <w:bidi w:val="0"/>
        <w:spacing w:before="240" w:after="0"/>
        <w:jc w:val="center"/>
        <w:rPr>
          <w:rFonts w:ascii="Times New Roman" w:hAnsi="Times New Roman"/>
          <w:b/>
          <w:i/>
          <w:sz w:val="24"/>
        </w:rPr>
      </w:pPr>
      <w:r>
        <w:rPr>
          <w:rFonts w:ascii="Times New Roman" w:hAnsi="Times New Roman"/>
          <w:b/>
          <w:i/>
          <w:sz w:val="24"/>
        </w:rPr>
        <w:t xml:space="preserve">Transaction is expected to be immediately accretive to key financial metrics </w:t>
      </w:r>
    </w:p>
    <w:p>
      <w:pPr>
        <w:pStyle w:val="TextBody"/>
        <w:bidi w:val="0"/>
        <w:spacing w:before="240" w:after="0"/>
        <w:jc w:val="left"/>
        <w:rPr>
          <w:rFonts w:ascii="Times New Roman" w:hAnsi="Times New Roman"/>
          <w:sz w:val="20"/>
        </w:rPr>
      </w:pPr>
      <w:r>
        <w:rPr>
          <w:rFonts w:ascii="Times New Roman" w:hAnsi="Times New Roman"/>
          <w:b/>
          <w:sz w:val="20"/>
        </w:rPr>
        <w:t>HOUSTON — October</w:t>
      </w:r>
      <w:r>
        <w:rPr>
          <w:rFonts w:ascii="Times New Roman" w:hAnsi="Times New Roman"/>
          <w:sz w:val="20"/>
        </w:rPr>
        <w:t> </w:t>
      </w:r>
      <w:r>
        <w:rPr>
          <w:rFonts w:ascii="Times New Roman" w:hAnsi="Times New Roman"/>
          <w:b/>
          <w:sz w:val="20"/>
        </w:rPr>
        <w:t xml:space="preserve">8, 2026 — </w:t>
      </w:r>
      <w:r>
        <w:rPr>
          <w:rFonts w:ascii="Times New Roman" w:hAnsi="Times New Roman"/>
          <w:sz w:val="20"/>
        </w:rPr>
        <w:t xml:space="preserve">Drilling Tools International Corp. (NASDAQ: DTI) (“DTI” or the “Company”), a global oilfield services company that designs, engineers, manufactures and provides a differentiated, rental-focused offering of tools for use in onshore and offshore horizontal and directional drilling operations, as well as other cutting-edge solutions across the well life cycle, today announced that it has entered into a definitive agreement to acquire Saltire Energy Limited and Foxley Energy Limited (combined “Saltire”), a leading Aberdeen-based provider of rental drilling tools serving the North Sea, Middle East, Asia Pacific, and other key Eastern Hemisphere growth markets. Total consideration consists of approximately $80 million in cash and 17.4 million shares of DTI common stock, par value $0.0001 per share (the “DTI Common Stock”), subject to customary closing adjustments. The transaction is expected to close in the first quarter of 2027. </w:t>
      </w:r>
    </w:p>
    <w:p>
      <w:pPr>
        <w:pStyle w:val="TextBody"/>
        <w:bidi w:val="0"/>
        <w:spacing w:before="240" w:after="0"/>
        <w:jc w:val="left"/>
        <w:rPr>
          <w:rFonts w:ascii="Times New Roman" w:hAnsi="Times New Roman"/>
          <w:sz w:val="20"/>
        </w:rPr>
      </w:pPr>
      <w:r>
        <w:rPr>
          <w:rFonts w:ascii="Times New Roman" w:hAnsi="Times New Roman"/>
          <w:sz w:val="20"/>
        </w:rPr>
        <w:t xml:space="preserve">Founded in 1986, Saltire is a specialty rental provider of drilling tubulars, downhole and bottom hole assembly tools, and pressure control equipment, with operating bases in the United Kingdom, Norway, the United Arab Emirates, Singapore and Malaysia. Its in-depth and relevant rental fleet is deployed to customers around the Eastern Hemisphere, and it has built long-standing relationships with Tier 1 E&amp;P operators, drilling contractors and service companies that it has maintained through market cycles. </w:t>
      </w:r>
    </w:p>
    <w:p>
      <w:pPr>
        <w:pStyle w:val="TextBody"/>
        <w:bidi w:val="0"/>
        <w:spacing w:before="240" w:after="0"/>
        <w:jc w:val="left"/>
        <w:rPr>
          <w:rFonts w:ascii="Times New Roman" w:hAnsi="Times New Roman"/>
          <w:sz w:val="20"/>
        </w:rPr>
      </w:pPr>
      <w:r>
        <w:rPr>
          <w:rFonts w:ascii="Times New Roman" w:hAnsi="Times New Roman"/>
          <w:sz w:val="20"/>
        </w:rPr>
        <w:t xml:space="preserve">The combination with Saltire is expected to be accretive to both Adjusted EBITDA(1) margins and Adjusted Free Cash Flow(1)(2) per share in the first year following closing, support stronger cash flow generation per share and significantly expand DTI’s international presence. Based on management’s estimates derived from recent monthly performance updates in the third quarter of 2026 and current visibility, Saltire is expected to generate run rate 2026 revenue of approximately $50.4 million, Adjusted EBITDA(1) of approximately $22.5 million, representing a 45% Adjusted EBITDA margin, and Adjusted Free Cash Flow(1)(2) of $15.8 million. Saltire’s rental-focused model closely resembles DTI’s and has a history of resilient financial performance through industry cycles. The transaction is expected to increase DTI’s Eastern Hemisphere contribution from approximately 18% of DTI’s standalone revenue in the second quarter of 2026 to approximately 40% of pro forma revenue post-close, creating a more balanced revenue mix with global rig exposure. Saltire’s established product bases across the North Sea, Middle East and Asia expand and accelerate DTI’s tools and technology into new growing international markets and create clear cross-selling opportunities, from deploying DTI’s proprietary wellbore optimization technologies, such as ClearPath and Drill-N-Ream® (“D-N-R”), into Saltire’s existing markets as well as adding Saltire’s drilling jars and pressure control equipment to DTI’s total offering to customers.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Adjusted EBITDA, Adjusted EBITDA Margin, Adjusted Free Cash Flow, and Adjusted Free Cash Flow per share are non-GAAP financial measures. Adjusted EBITDA Margin is Adjusted EBITDA divided by revenue, and Adjusted Free Cash Flow per share is derived from Adjusted Free Cash Flow and the applicable share count. See “Non-GAAP Financial Measures” at the end of this release for a discussion of reconciliations to the most directly comparable financial measures calculated and presented in accordance with U.S. generally accepted accounting principles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Adjusted Free Cash Flow is defined as Adjusted EBITDA less Gross Capital Expenditures.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We are extremely excited about this transformative transaction,” stated Wayne Prejean, Chairman and Chief Executive Officer of DTI. “Saltire is a natural fit for DTI. Like us, Saltire rents the mission-critical downhole tools operators depend on, and it does so in the attractive international markets where we have long sought a scaled presence. Saltire has established relationships across the North Sea, the Middle East and other key Eastern Hemisphere markets, and with limited customer overlap, Saltire nearly doubles DTI’s international exposure to approximately 40% of pro forma revenue in a single step. That kind of international scale and those established customer relationships can take many years to build organically. We expect the combination to be accretive to Adjusted EBITDA margin and Adjusted Free Cash Flow per share in the first year following closing. </w:t>
      </w:r>
    </w:p>
    <w:p>
      <w:pPr>
        <w:pStyle w:val="TextBody"/>
        <w:bidi w:val="0"/>
        <w:spacing w:before="240" w:after="0"/>
        <w:jc w:val="left"/>
        <w:rPr/>
      </w:pPr>
      <w:r>
        <w:rPr/>
        <w:t>“</w:t>
      </w:r>
      <w:r>
        <w:rPr>
          <w:rFonts w:ascii="Times New Roman" w:hAnsi="Times New Roman"/>
          <w:sz w:val="20"/>
        </w:rPr>
        <w:t xml:space="preserve">Looking ahead, we see a real opportunity to bring technologies like Mechlok, Turbocaser, Turborunner, ClearPath and D-N-R to Saltire’s customers through its distribution network, and to give customers a global platform backed by greater financial strength. The combined company is expected to generate significant Adjusted Free Cash Flow, which gives DTI a clear path to de-lever quickly. Just as importantly, Mike Loggie, the Founder of Saltire, and the Loggie family will retain approximately 30% of the combined company. This reflects our shared conviction that these businesses are stronger together and that the most meaningful value creation is still ahead of us. We are building for the future, and we’re glad to be doing it alongside the Saltire and Foxley teams,” concluded Prejean. </w:t>
      </w:r>
    </w:p>
    <w:p>
      <w:pPr>
        <w:pStyle w:val="TextBody"/>
        <w:bidi w:val="0"/>
        <w:spacing w:before="240" w:after="0"/>
        <w:jc w:val="left"/>
        <w:rPr>
          <w:rFonts w:ascii="Times New Roman" w:hAnsi="Times New Roman"/>
          <w:sz w:val="20"/>
        </w:rPr>
      </w:pPr>
      <w:r>
        <w:rPr>
          <w:rFonts w:ascii="Times New Roman" w:hAnsi="Times New Roman"/>
          <w:sz w:val="20"/>
        </w:rPr>
        <w:t xml:space="preserve">Mike Loggie, Founder and Chief Executive Officer of Saltire, added, “Both personally and professionally, this is a proud day for me, my family, and for everyone at Saltire and Foxley as we mark our 40th year in business. What we started four decades ago has become a trusted partner to some of the most demanding operators in the world, and that is a credit to our people, their expertise, commitment to safety, and dedication to our valued customers. As we thought about Saltire’s next chapter, we weren’t looking for an exit. We wanted a partner that shares our focus on exceptional service, proven reliability and technical excellence. We chose to take a meaningful part of our consideration in DTI Common Stock, and we expect to remain a significant shareholder. We’re not stepping away. We are invested in this company for the long term, and our customers can expect the same people and the same trusted service they’ve always relied on, now backed by DTI’s global platform, technology offerings, deep industry expertise, and long-term commitment to helping the business grow. We are excited to build on the combined company’s extremely strong reputation and create new opportunities for our customers, employees, and partners.”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Transaction and Timing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definitive agreement, DTI will acquire 100% of Saltire for total consideration of approximately $80 million in cash and 17.4 million shares of DTI Common Stock, subject to customary closing adjustments. The value of the share consideration will be determined by multiplying 17.4 million shares by the 20-day volume-weighted average price of DTI’s Common Stock immediately prior to closing. The share consideration is fixed at 17.4 million shares of DTI Common Stock and will not be adjusted for changes in the market price of DTI Common Stock prior to closing. Upon closing, the sellers, including the Loggie family, are expected to own approximately 30% of DTI Common Stock. The shares will be subject to lock-up arrangements, the terms of which will be described in the registration statement on Form S-4. DTI expects to fund the cash consideration through new debt financing and borrowings under its existing credit facility. See corresponding transaction Form 8-K and future filings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which is expected to close in the first quarter of 2027, is subject to customary regulatory approvals and closing conditions, including approval by DTI’s stockholders. DTI intends to file a registration statement on Form S-4 with the U.S. Securities and Exchange Commission (the “SEC”), which will include additional information regarding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closing, Wayne Prejean will continue to serve as Chairman and Chief Executive Officer of DTI. Mike Loggie, Saltire’s founder, and all members of Saltire’s management team will remain with the combined company. DTI Common Stock will continue to trade its common stock on the Nasdaq Capital Market under the symbol “DTI.”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Evercore acted as financial advisor to DTI in connection with the transaction. Winston Taylor LLP is serving as DTI’s legal counsel on the transaction. Piper Sandler Ltd acted as financial advisor to Saltire. Pinsent Masons LLP is serving as Saltire’s legal counsel on the transaction.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Conference Call and Additional Materials </w:t>
      </w:r>
    </w:p>
    <w:p>
      <w:pPr>
        <w:pStyle w:val="TextBody"/>
        <w:bidi w:val="0"/>
        <w:spacing w:before="120" w:after="0"/>
        <w:jc w:val="left"/>
        <w:rPr>
          <w:rFonts w:ascii="Times New Roman" w:hAnsi="Times New Roman"/>
          <w:sz w:val="20"/>
        </w:rPr>
      </w:pPr>
      <w:r>
        <w:rPr>
          <w:rFonts w:ascii="Times New Roman" w:hAnsi="Times New Roman"/>
          <w:sz w:val="20"/>
        </w:rPr>
        <w:t xml:space="preserve">DTI will hold a conference call today, October 8, 2026, at 9:00 a.m. Eastern Time / 8:00 a.m. Central Time to discuss the acquisition. An investor presentation regarding the transaction can also be found at </w:t>
      </w:r>
      <w:r>
        <w:rPr>
          <w:rFonts w:ascii="Times New Roman" w:hAnsi="Times New Roman"/>
          <w:sz w:val="20"/>
          <w:u w:val="single"/>
        </w:rPr>
        <w:t>https://investors.drillingtools.com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Please dial 201-389-0869 and ask for the DTI call at least 10 minutes prior to the start time, or via live webcast by logging onto the webcast at this URL address: </w:t>
      </w:r>
      <w:r>
        <w:rPr>
          <w:rFonts w:ascii="Times New Roman" w:hAnsi="Times New Roman"/>
          <w:sz w:val="20"/>
          <w:u w:val="single"/>
        </w:rPr>
        <w:t>https://investors.drillingtools.com/news-events/events</w:t>
      </w:r>
      <w:r>
        <w:rPr>
          <w:rFonts w:ascii="Times New Roman" w:hAnsi="Times New Roman"/>
          <w:sz w:val="20"/>
        </w:rPr>
        <w:t xml:space="preserve">. An audio replay will be available through October 15, 2026 and may be accessed by dialing 201-612-7415 and using passcode 13763172#. Also, an archive of the webcast will be available shortly after the call at </w:t>
      </w:r>
      <w:r>
        <w:rPr>
          <w:rFonts w:ascii="Times New Roman" w:hAnsi="Times New Roman"/>
          <w:sz w:val="20"/>
          <w:u w:val="single"/>
        </w:rPr>
        <w:t>https://investors.drillingtools.com/news-events/events</w:t>
      </w:r>
      <w:r>
        <w:rPr>
          <w:rFonts w:ascii="Times New Roman" w:hAnsi="Times New Roman"/>
          <w:sz w:val="20"/>
        </w:rPr>
        <w:t xml:space="preserve"> for 90 days. Please submit any questions for management prior to the call via email to </w:t>
      </w:r>
      <w:r>
        <w:rPr>
          <w:rFonts w:ascii="Times New Roman" w:hAnsi="Times New Roman"/>
          <w:sz w:val="20"/>
          <w:u w:val="single"/>
        </w:rPr>
        <w:t>DTI@dennardlascar.com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Drilling Tools International Corp. </w:t>
      </w:r>
    </w:p>
    <w:p>
      <w:pPr>
        <w:pStyle w:val="TextBody"/>
        <w:bidi w:val="0"/>
        <w:spacing w:before="120" w:after="0"/>
        <w:jc w:val="left"/>
        <w:rPr>
          <w:rFonts w:ascii="Times New Roman" w:hAnsi="Times New Roman"/>
          <w:sz w:val="20"/>
        </w:rPr>
      </w:pPr>
      <w:r>
        <w:rPr>
          <w:rFonts w:ascii="Times New Roman" w:hAnsi="Times New Roman"/>
          <w:sz w:val="20"/>
        </w:rPr>
        <w:t xml:space="preserve">DTI is a Houston, Texas based leading oilfield services company that manufactures and rents downhole drilling tools used in horizontal and directional drilling of oil and natural gas wells. With roots dating back to 1984, DTI operates from 15 service and support centers across North America and maintains 11 international service and support centers across the EMEA and APAC regions. To learn more about DTI, please visit: </w:t>
      </w:r>
      <w:r>
        <w:rPr>
          <w:rFonts w:ascii="Times New Roman" w:hAnsi="Times New Roman"/>
          <w:sz w:val="20"/>
          <w:u w:val="single"/>
        </w:rPr>
        <w:t>www.drillingtools.com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DTI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Ken Dennard / Natalie Hairston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InvestorRelations@drillingtools.com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may include, and oral statements made from time to time by representatives of the Company may include, “forward-looking statements” within the meaning of the Private Securities Litigation Reform Act of 1995, including Section 27A of the Securities Act of 1933, as amended, and Section 21E of the Securities Exchange Act of 1934, as amended. Statements other than statements of historical fact included in this press release are forward-looking statements. The words “anticipate,” “believe,” “continue,” “could,” “estimate,” “expect,” “intend,” “may,” “might,” “plan,” “possible,” “potential,” “predict,” “project,” “should,” “will,” “would” and similar expressions may identify forward-looking statements, but the absence of these words does not mean that a statement is not forward looking. These forward-looking statements include, but are not limited to, statements regarding DTI and its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Forward-looking statements in this press release may include, for example, statements about: (1)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demand for DTI’s products and services, which is influenced by the general level of activity in the oil and gas industry; (2) DTI’s ability to retain its customers, particularly those that contribute to a large portion of its revenue; (3) DTI’s ability to employ and retain a sufficient number of skilled and qualified workers, including its key personnel; (4) DTI’s ability to source tools and raw materials at a reasonable cost; (5) DTI’s ability to market its services in a competitive industry; (6) DTI’s ability to execute, integrate and realize the benefits of acquisitions, and manage the resulting growth of its business; (7) potential liability for claims arising from damage or harm caused by the operation of DTI’s tools, or otherwise arising from the dangerous activities that are inherent in the oil and gas industry; (8) DTI’s ability to obtain additional capital; (9) DTI’s ability to obtain debt financing on acceptable terms; (10) the satisfaction of closing conditions, including effectiveness of the Form S-4 registration statement, approval by DTI stockholders, required regulatory approvals, and Nasdaq approval of listing the shares issued as equity consideration; (11) the risk that the transaction does not close or that the anticipated benefits of the transaction are not realized; (12) potential political, regulatory, economic and social disruptions in the countries in which DTI conducts business, including changes in tax laws or tax rates; (13) DTI’s dependence on its information technology systems, in particular Customer Order Management Portal and Support System, for the efficient operation of DTI’s business; (14) DTI’s ability to comply with applicable laws, regulations and rules, including those related to the environment, greenhouse gases and climate change; (15) DTI’s ability to maintain an effective system of disclosure controls and internal control over financial reporting; (16) the potential for volatility in the market price of DTI Common Stock, including the potential dilutive effect of the fixed number of shares issued as equity consideration and potential sales by the Sellers following expiration of applicable lock-up restrictions; (17) fluctuations in foreign currency exchange rates, including between the U.S. dollar and the British pound sterling; (18) the impact of increased legal, accounting, administrative and other costs incurred as a public company, including the impact of possible shareholder litigation; (19) the potential for issuance of additional shares of DTI’s common stock or other equity securities; (20) DTI’s ability to maintain the listing of its common stock on Nasdaq; (21) risks related to DTI’s increased indebtedness following the transaction, including the financing condition, terms and covenants; (22) the outcome of any legal proceedings relating to the transaction and (23) other risks and uncertainties described from time to time in DTI’s most recent Forms 10-K, 10-Q and 8-K filed with or furnished to the Securities and Exchange Commission (the “SEC”). You should carefully consider the risks and uncertainties including those described in Part I, Item 1A – “Risk Factors” of our Annual Report on Form 10-K filed on March 6, 2026 and in comparable “Risk Factors” sections of our Quarterly Reports on Form 10-Q filed after such Form 10-K, and the risks to be described in the proxy statement/prospectus. Such forward-looking statements are based on the beliefs of management of DTI, as well as assumptions made by, and information currently available to DTI’s management and are subject to numerous conditions, many of which are beyond the control of DTI. Actual results could differ materially from those contemplated by the forward-looking statements as a result of certain factors detailed in DTI’s most recent Forms 10-K, 10-Q and 8-K filed with or furnished to the Securities and Exchange Commission. All subsequent written or oral forward-looking statements attributable to the Company or persons acting on its behalf are qualified in their entirety by this paragraph. The Company undertakes no obligation to update these statements for revisions or changes after the date of this release, except as required by law.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release includes Adjusted EBITDA, Adjusted EBITDA Margin and Adjusted Free Cash Flow measures. Each of these metrics is a “non-GAAP financial measure” as defined in Regulation G of the Securities Exchange Act of 1934.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believe Adjusted EBITDA and Adjusted EBITDA Margin are useful because they allow us to supplement the GAAP measures in order to more effectively evaluate our operating performance and compare the results of our operations from period to period without regard to our financing methods or capital structure. We exclude the items listed above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income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Adjusted Free Cash Flow is a supplemental non-GAAP financial measure, and we define Adjusted Free Cash Flow as Adjusted EBITDA less Gross Capital Expenditures. We use Adjusted Free Cash Flow as a financial performance measure for planning, forecasting, and evaluating our performance. We believe that Adjusted Free Cash Flow is useful to enable investors and others to perform comparisons of current and historical performance of the Company. As a non-GAAP measure, Adjusted Free Cash Flow should not be considered an alternative to, or more meaningful than, net income (loss), net cash provided by operating activities, or any other measure determined in accordance with GAAP, and it may not be comparable to similarly titled measures used by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This release also includes certain estimates/projections of non-GAAP financial measures, including Saltire’s run-rate Adjusted EBITDA and Adjusted Free Cash Flow and statements regarding expected accretion. The reconciliations of these forward-looking non-GAAP financial measures to the most directly comparable GAAP measures would require estimates of interest expense, income tax expense, depreciation and amortization, other expense, stock-based compensation, goodwill impairment, transaction expense, and capital expenditures, among other items, that are difficult to predict and estimate and are primarily dependent on future events. Accordingly the Company is unable to provide a reconciliation of the forward-looking non-GAAP financial measures to the most directly comparable GAAP financial measures without unreasonable efforts. These estimates are not guarantees of future performance and should not be relied upon as such.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Nothing in this press release shall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applicable securities laws. This communication is made in respect of a proposed acquisition transaction and may be deemed to be solicitation material in respect of that transaction pursuant to Rule 425 under the Securities Act. No offering of securities shall be made except by means of a prospectus meeting the requirements of Section 10 of the Securities Act. This press release is not an offer to sell or a solicitation of an offer to buy any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No Offer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does not constitute an offer to sell, or the solicitation of an offer to buy, any debt securities of DTI or any of its subsidiaries, including any notes or bonds that may be issued to finance the transaction, in the United States or in any other jurisdiction. Any such debt securities have not been, and will not be, registered under the Securities Act of 1933, as amended (the “Securities Act”), or the securities laws of any state or other jurisdiction, and may not be offered or sold in the United States or to, or for the account or benefit of, U.S. persons absent registration or an applicable exemption from, or in a transaction not subject to, the registration requirements of the Securities Act and applicable state securities laws. This press release is not directed at, and is not intended to be used in connection with, any offering of debt securities, and is being issued in accordance with the requirements of the U.S. federal securities laws applicable to the transaction described herein.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DTI intends to file with the SEC a registration statement on Form S-4, which will include a proxy statement of DTI and a prospectus of DTI relating to the transaction (the “proxy statement/prospectus”). DTI stockholders and other investors are urged to read the registration statement, the proxy statement/prospectus and any other relevant documents filed with the SEC carefully when they become available because they will contain important information about DTI, Saltire, the transaction and related matters. This press release is not a substitute for the registration statement, the proxy statement/prospectus, or any other document that DTI may file with the SEC. Investors and securityholders may obtain free copies of the registration statement, the proxy statement/prospectus and other documents filed with the SEC by DTI through the website maintained by the SEC at www.sec.gov. Free copies of these documents may also be obtained on DTI’s investor relations website at https://investors.drillingtools.com.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DTI, Saltire and their respective directors and executive officers may be deemed to be participants in the solicitation of proxies from DTI’s stockholders in connection with the transaction. Information regarding the persons who may, under SEC rules, be deemed participants in the solicitation of DTI’s stockholders in connection with the transaction, including their direct and indirect interests in the transaction, will be set forth in the proxy statement/prospectus when it is filed with the SEC. Information regarding DTI’s directors and executive officers is set forth in DTI’s most recent Annual Report on Form 10-K and proxy statement for its 2026 annual meeting of stockholders filed with the SEC on March 6, 2026 and March 13, 2026, respectively. Additional information regarding potential participants and their interests will be included in the proxy statement/prospectus.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jc w:val="center"/>
        <w:rPr/>
      </w:pPr>
      <w:bookmarkStart w:id="8" w:name="d168409dex992.htm"/>
      <w:bookmarkStart w:id="9" w:name="ksd168409dex992"/>
      <w:bookmarkEnd w:id="8"/>
      <w:bookmarkEnd w:id="9"/>
      <w:r>
        <w:rPr/>
        <w:drawing>
          <wp:inline distT="0" distB="0" distL="0" distR="0">
            <wp:extent cx="2334895" cy="17513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34895" cy="175133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NASDAQ: DTI BUILDING FOR THE FUTURE DTI TO ACQUIRE SALTIRE ENERGY DRILLINGTOOLS.COM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This presentation contains “forward-looking statements” within the meaning of Section 27A of the Securities Act of 1933, as amended (the “Securities Act”) and Section 21E of the Securities Exchange Act of 1934, as amended (the “Exchange Act”), including statements within the meaning of the Private Securities Litigation Reform Act of 1995. Forward-looking statements include, among other things, statements regarding the proposed acquisition of Saltire Energy Limited (Saltire) by Drilling Tools International Corporation (DTI); the anticipated timing, completion and benefits of the transaction; expected synergies, financial impact, business plans, market opportunities and future operating performance of the combined company; and other statements that are not historical facts. The words “anticipate,” “believe,” “continue,” “could,” “estimate,” “expect,” “intend,” “may,” “might,” “plan,” “possible,” “potential,” “predict,” “project,” “should,” “will,” “would,” and similar expressions identify forward-looking statements, but the absence of these words does not mean that a statement is not forward looking. These statements are based on DTI’s and Saltire’s current expectations, assumptions and beliefs and are subject to risks, uncertainties and changes in circumstances that could cause actual results to differ materially from those expressed or implied. These risks include, among others: the possibility that the transaction may not be completed on the anticipated terms or timing, or at all; failure to satisfy closing conditions, including DTI stockholder approval and the financing conditions, or obtain required regulatory approvals including Nasdaq listing approval; disruption to the businesses of DTI or Saltire during the pendency of the transaction; the risk that anticipated benefits, cost savings or synergies may not be realized as expected or within the anticipated timeframe; integration challenges; customer, employee, supplier or other stakeholder reactions; transaction-related costs; risks related to the cross-border nature of the transaction; foreign exchange rate fluctuations between the U.S. dollar and British pound sterling; differences in legal, regulatory, tax and accounting frameworks between the United States and the United Kingdom; competitive, economic, market and industry conditions; and other risks described in DTI’s filings with the Securities and Exchange Commission. Forward-looking statements speak only as of the date of this presentation. Neither DTI nor Saltire undertakes any obligation to update or revise these statements, except as required by applicable law. This presentation is for informational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proposed transaction, DTI intends to file with the SEC a registration statement, proxy statement or other documents. Investors and security holders of DTI are urged to read the proxy statement/prospectus and any other relevant documents filed with the SEC when they become available, because they will contain important information about DTI, Saltire and the proposed transaction. This presentation includes Adjusted EBITDA, Adjusted EBITDA Margin, and Adjusted Free Cash Flow, each a non-GAAP financial measure. Adjusted EBITDA is net income (loss) before interest, taxes, depreciation, and amortization, adjusted for impairment, stock-based compensation, restructuring, transaction costs, and other non-recurring items. Adjusted Free Cash Flow is Adjusted EBITDA less Gross Capital Expenditures. Reconciliations are in DTI’s press release and SEC filings. DTI is unable to reconcile forward-looking non-GAAP measures without unreasonable effort, because certain items are uncertain or out of DTI’s control.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OVERVIEW BY THE CEO Acquiring Saltire Energy Building for the Future This transaction brings together two highly complementary businesses to create a larger, more balanced and resilient global platform. The addition of Saltire is expected to meaningfully improve our scale, expand our Eastern Hemisphere presence, and strengthen our margin profile and free cash flow generation capabilities on day one. This deal also broadens our customer relationships, and we gain a proven team with deep industry knowledge and expertise. The combined company pairs the stability and cash generation of our North American business with direct exposure to markets we believe will be an increasingly important source of growth in the future. Just as importantly, Saltire’s founders, the Loggie family, are retaining a significant ownership position in the combined company. This reflects a shared conviction that these businesses are stronger together and that the most meaningful value creation is still ahead of us. We are building for the future, and this partnership will further solidify our foundation.” Wayne Prejean Chairman of the Board and Chief Executive Officer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Highlights 1 Natural Strategic Fit 2 Transformational Scale and Diversification 3 Immediate Financial Enhancement Building for the Future 4 Compelling Standalone Economics 5 Clear Deleveraging Path 6 Long-term Seller Alignment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Building for the Future Delivering Value to Customers &amp; Stockholders Customers Stockholders • Meets growing demand with a • Provides enhanced exposure to global one-stop-shop platform global rig activity and energy security tailwinds • Proven, high-performing teams with deep knowledge and expertise in • Superior execution through the most technically challenging disciplined management and best drilling environments operating practices • Enhances our capability to innovate • Expected to be accretive to and deploy leading technology (e.g., Adjusted EBITDA margin &amp; ClearPath &amp; Drill-N-Ream) Adjusted FCF per share without cost synergies in Year 1 • Improved performance for (1) customers through increased • Cash and stock transaction with financial strength an attractive 5.5x EV/EBITDA multiple paid 1) Based on a purchase price of approximately $80 million of cash, 17.4 million shares of DTI common stock 5 valued at a 20-day VWAP as of 10/1/26, and Saltire’s run rate EBITDA of $22.5 million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Structured for Success • Cash consideration – approximately $80 million • Share consideration – 17.4 million shares Deal Structure • Accretive cash and stock transaction • Chairman &amp; CEO: Wayne Prejean Leadership &amp; Governance • Mike Loggie, Saltire’s founder, and all members of Saltire’s management team to remain with DTI • Subject to customary regulatory approvals and closing conditions and satisfaction of the financing conditions Next Steps • Approval from DTI stockholders • Expected to close in the first quarter of 2027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Combination Accelerates Value Creation Broader Reach, Better Industry-Leading Free Stronger Balance Sheet Service Cash Flow • Accelerates deleveraging • Superior customer • Anticipate higher EBITDA with disciplined use of service margins and stronger capital cash generation • Deeper customer • Strengthens balance sheet relationships across • Expected to be accretive and improves financial broader markets to Adj. EBITDA margins profile and Adj. FCF without • Exposure to attractive cost synergies in Year 1 • Flexibility preserved for international markets future growth investment • Funds organic growth, • Scale in markets core to international investment DTI’s growth strategy and debt paydown 63,000 → 100,000+ ~1.0x Combined Rental Tool Fleet Leverage Ratio Expected by YE 2028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Eastern Hemisphere Expansion Reinforcing a Strong Foundation within Strategic Growth Markets +Saltire ~8% ~14% ~18% EASTERN HEMISPHERE ~40% % OF REVENUE (1) 2024 2025 2026 Pro Forma DTI Utilizing Cutting Edge &amp; Mission Critical Drilling Tools BHA Components Pipe &amp; Tubular Pressure Control 1) Pro forma revenue split considers all of Saltire’s revenue contribution to be Eastern Hemisphere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Strategically Aligned with Activity Adding the Eastern Hemisphere to DTI's North American core North America — DTI's Core Market Eastern Hemisphere — Scaled Access via Saltire 765 $113B 910 $69B (1) (1) (1) (1) Active rigs D&amp;C spending Active rigs D&amp;C spending Middle East 500 United States 570 Asia-Pacific 181 Africa 134 Canada 196 Europe 95 (2) (2) ~92% of DTI revenue in 2024 ~40% of pro forma DTI revenue Addressable rig market more than doubles: 765 → 1,676 active rigs (~2.2x) 1) Spears &amp; Associates, Drilling Activity by Region (Sept. 2026); 2026E average active rigs and drilling &amp; completion (D&amp;C) spending; excludes Russia, China and Central Asia; figures may not sum due to rounding 2) Eastern Hemisphere share of DTI revenue per page 8; pro forma treats all Saltire revenue as Eastern Hemisphere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Global Spending and Rig Forecast Increasing Exposure to Expanding Markets (1) (1) Regional D&amp;C Spending ($bn) Regional Rig Count Projections 130% United States $300 United States Canada Canada 127% Central &amp; South America Central &amp; South America Europe 125% Europe Africa Africa $250 Middle East Middle East Asia-Pacific Asia-Pacific 120% 119% $200 117% 116% 115% $150 110% 110% $100 106% 105% 102% $50 100% 95% $0 2025A 2026E 2027E 2028E 2029E 2030E 2025A 2026E 2027E 2028E 2029E 2030E 1) Global D&amp;C spending and Rig Count forecast per Spears &amp; Associates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One Global Platform Serving More Customers (1) Complementary Customer Base Supports Growth DTI Shared Customers Saltire Established relationships with both companies today 1) Based on historically material customer relationships for both companies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Combined Earnings Power Margin Expansion and Strong Cash Conversion (2) (3) (4) DTI 2026E Saltire Pro Forma DTI + = Guidance Range Run-rate Combined Revenue $155M – $170M $50.4M $205M – $220M (1) $35M – $45M $22.5M $58M – $68M Adj. EBITDA 23% - 26% margin 45% margin 28% - 31% margin Capital Expenditures $18M – $23M $6.7M $25M – $30M (5) (1) $17M – $22M $15.8M $33M – $38M Adj. Free Cash Flow 11% - 13% margin 31% margin 16% - 17% margin 1) Adjusted EBITDA and Adjusted Free Cash Flow are non-GAAP financial measures. See Non-GAAP Financial Measures in the transaction press release published 10/8/2026 for definitions of these measures and for a discussion of why the Company is unable to reconcile these forward-looking non-GAAP financial measures to the most directly comparable GAAP measures without unreasonable efforts. Adjusted Free Cash Flow is defined as Adjusted EBITDA less Gross Capital Expenditures; margins are calculated as a percentage of Total Revenue. 2) Reflects DTI’s FY2026 guidance as reaffirmed in August 2026. Guidance is subject to change dependent upon market conditions and investment decisions. 3) Saltire run-rate reflects management’s estimates as of 10/8/2026 using recent performance and current visibility. All foreign currency has been converted to USD. 12 4) Pro forma figures represent the sum of DTI and Saltire, excluding any synergies and transaction costs 5) Remains subject to change due to any potential impacts related to growth investments to address opportunities in Norway, as disclosed in August 2026 earnings materials.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Supports Deleveraging ✓ Transaction expected to Strong free cash flow generation supports immediate be accretive to margins deleveraging and accelerates investments in future and Adjusted FCF without growth opportunities cost synergies in Year 1, promoting immediate Expected Debt Reduction debt paydown (1) Net Debt / LTM Adj. EBITDA ✓ Expected to strengthen balance sheet and ~2.2x improve financial profile Over 50% Reduction ✓ Enhances access to capital markets ~1.0x ✓ Further diversifies revenue to support resilient earnings in any market cycle Est. Leverage at Deal Close Within 24 Months 1) Net Debt to Trailing Twelve-Month Adjusted EBITDA Multiple; Net Debt is defined as Total Debt less Cash and Cash Equivalents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75133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34895" cy="175133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Takeaways Transformational Scale and Natural Strategic Fit Diversification Highly complementary businesses — Eastern Hemisphere increases to ~40% of pro similar operating models, distinct forma revenue, balancing stable Western geographies and limited customer overlap Hemisphere cash flow with international growth opportunities Compelling Standalone Economics Immediate Financial Enhancement Strengthened earnings profile – expected Not dependent on synergies — upside to be accretive to Adj. FCF per share and from commercial pull-through, IP Adj. EBITDA margin without cost synergies deployment and selective efficiencies in Year 1 Clear Deleveraging Path Long-term Seller Alignment Founders retain ~30% pro forma (1) 24-month roadmap to a leverage ratio ownership stake, indicating that the of ~1.0x (over 50% reduction) funded by companies are stronger together and enhanced free cash flow generation meaningful value creation is still ahead 1) Leverage Ratio reflects DTI’s Net Debt to Trailing Twelve-Month Adjusted EBITDA Multiple; Net Debt is defined as Total Debt less Cash and Cash Equivalents 14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163</Pages>
  <Words>79015</Words>
  <Characters>423921</Characters>
  <CharactersWithSpaces>503607</CharactersWithSpaces>
  <Paragraphs>2640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