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Drilling Tools International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Sammons Capital,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889,248.00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889,248.00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889,248.00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Drilling Tools International Corp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10370 Richmond Ave., #1000, Houston, Texas 77042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Sammons Capital,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5949 Sherry Lane, Suite 1900, Dallas, Texas 75225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and is incorporated herein by reference. Ownership percentage is based on 35,282,224 shares of the Issuer's Common Stock outstanding as of August 4, 2026, as reported by the Issuer in its Quarterly Report on Form 10-Q filed with the Securities and Exchange Commission on August 7, 2026.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Sammons Capital, Inc.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Yolanda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Yolanda Brown/Vice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4485</Characters>
  <CharactersWithSpaces>5356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