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40" w:hanging="4079"/>
        <w:spacing w:after="0" w:line="325"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DRILLING TOOLS INTERNATIONAL CORPORATION</w:t>
      </w:r>
    </w:p>
    <w:p>
      <w:pPr>
        <w:sectPr>
          <w:pgSz w:w="11900" w:h="16838" w:orient="portrait"/>
          <w:cols w:equalWidth="0" w:num="1">
            <w:col w:w="11240"/>
          </w:cols>
          <w:pgMar w:left="320" w:top="1262"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3701 Briarpark Drive</w:t>
      </w:r>
    </w:p>
    <w:p>
      <w:pPr>
        <w:spacing w:after="0" w:line="12"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Suite 150</w:t>
      </w:r>
    </w:p>
    <w:p>
      <w:pPr>
        <w:spacing w:after="0" w:line="23"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87-2488708</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pacing w:after="0" w:line="25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77042</w:t>
      </w:r>
    </w:p>
    <w:p>
      <w:pPr>
        <w:spacing w:after="0" w:line="27" w:lineRule="exact"/>
        <w:rPr>
          <w:sz w:val="24"/>
          <w:szCs w:val="24"/>
          <w:color w:val="auto"/>
        </w:rPr>
      </w:pPr>
    </w:p>
    <w:p>
      <w:pPr>
        <w:sectPr>
          <w:pgSz w:w="11900" w:h="16838" w:orient="portrait"/>
          <w:cols w:equalWidth="0" w:num="2">
            <w:col w:w="7460" w:space="480"/>
            <w:col w:w="3300"/>
          </w:cols>
          <w:pgMar w:left="320" w:top="1262"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(832) 742-8500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600" w:type="dxa"/>
            <w:vAlign w:val="bottom"/>
            <w:vMerge w:val="restart"/>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Common Stock, par value $0.0001 per share</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DTI</w:t>
            </w: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600" w:type="dxa"/>
            <w:vAlign w:val="bottom"/>
            <w:tcBorders>
              <w:top w:val="single" w:sz="8" w:color="auto"/>
            </w:tcBorders>
          </w:tcPr>
          <w:p>
            <w:pPr>
              <w:jc w:val="center"/>
              <w:ind w:right="368"/>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240" w:type="dxa"/>
            <w:vAlign w:val="bottom"/>
            <w:gridSpan w:val="6"/>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27"/>
        </w:trPr>
        <w:tc>
          <w:tcPr>
            <w:tcW w:w="664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p>
        </w:tc>
        <w:tc>
          <w:tcPr>
            <w:tcW w:w="4600" w:type="dxa"/>
            <w:vAlign w:val="bottom"/>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20"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9" w:lineRule="exact"/>
        <w:rPr>
          <w:sz w:val="24"/>
          <w:szCs w:val="24"/>
          <w:color w:val="auto"/>
        </w:rPr>
      </w:pPr>
    </w:p>
    <w:p>
      <w:pPr>
        <w:ind w:right="460"/>
        <w:spacing w:after="0" w:line="278"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on June 30, 2024, was $167 million.</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14, 2025 was 35,592,737.</w:t>
      </w:r>
    </w:p>
    <w:p>
      <w:pPr>
        <w:spacing w:after="0" w:line="5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List hereunder the following documents if incorporated by reference and the Part of the Form 10-K (e.g., Part I, Part II, etc.) into which the document is incorporated: (1) Any annual report to security holders;</w:t>
      </w:r>
    </w:p>
    <w:p>
      <w:pPr>
        <w:spacing w:after="0" w:line="13" w:lineRule="exact"/>
        <w:rPr>
          <w:sz w:val="24"/>
          <w:szCs w:val="24"/>
          <w:color w:val="auto"/>
        </w:rPr>
      </w:pPr>
    </w:p>
    <w:p>
      <w:pPr>
        <w:ind w:right="340" w:firstLine="8"/>
        <w:spacing w:after="0" w:line="255" w:lineRule="auto"/>
        <w:tabs>
          <w:tab w:leader="none" w:pos="19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proxy or information statement; and (3) Any prospectus filed pursuant to Rule 424(b) or (c) under the Securities Act of 1933. The listed documents should be clearly described for identification purposes (e.g., annual report to security holders for fiscal year ended December 24, 1980)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847725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40" w:type="dxa"/>
            <w:vAlign w:val="bottom"/>
            <w:gridSpan w:val="9"/>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xi</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xxxiii</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xxxiii</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xxxv</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xxxv</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xxxvi</w:t>
            </w:r>
          </w:p>
        </w:tc>
        <w:tc>
          <w:tcPr>
            <w:tcW w:w="0" w:type="dxa"/>
            <w:vAlign w:val="bottom"/>
          </w:tcPr>
          <w:p>
            <w:pPr>
              <w:spacing w:after="0"/>
              <w:rPr>
                <w:sz w:val="1"/>
                <w:szCs w:val="1"/>
                <w:color w:val="auto"/>
              </w:rPr>
            </w:pPr>
          </w:p>
        </w:tc>
      </w:tr>
      <w:tr>
        <w:trPr>
          <w:trHeight w:val="43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xxxvii</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Selected Financial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xxxvii</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xxxvii</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liii</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liv</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43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43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885"/>
        </w:trPr>
        <w:tc>
          <w:tcPr>
            <w:tcW w:w="12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00" w:type="dxa"/>
            <w:vAlign w:val="bottom"/>
            <w:gridSpan w:val="8"/>
          </w:tcPr>
          <w:p>
            <w:pPr>
              <w:jc w:val="center"/>
              <w:ind w:right="4580"/>
              <w:spacing w:after="0"/>
              <w:rPr>
                <w:sz w:val="20"/>
                <w:szCs w:val="20"/>
                <w:color w:val="auto"/>
              </w:rPr>
            </w:pPr>
            <w:r>
              <w:rPr>
                <w:rFonts w:ascii="Times New Roman" w:cs="Times New Roman" w:eastAsia="Times New Roman" w:hAnsi="Times New Roman"/>
                <w:sz w:val="18"/>
                <w:szCs w:val="18"/>
                <w:color w:val="auto"/>
                <w:w w:val="78"/>
              </w:rPr>
              <w:t>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and incorporates by reference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“Business,” “Risk Factors,” and “Management’s Discussion and Analysis of Financial Condition and Results of Operations.” These forward-looking statements generally are identified by the words “may,” “believe,” “anticipate,” “expect,” “plan,” “predict,” “estimate,” “will be,” or other similar words and phrases.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(Part I, Item 1A of this Form 10-K), “Management’s Discussion and Analysis of Financial Condition and Results of Operation” (Part II, Item 7), and “Quantitative and Qualitative Disclosures about Market Risk”) (Part II, Item 7A). We undertake no obligation to update or publicly revise any forward-looking statements, whether because of new information, future events, or otherwise, except to the extent required by applicable law.</w:t>
      </w:r>
    </w:p>
    <w:p>
      <w:pPr>
        <w:spacing w:after="0" w:line="25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those contained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include, but are not limited to:</w:t>
      </w:r>
    </w:p>
    <w:p>
      <w:pPr>
        <w:spacing w:after="0" w:line="200" w:lineRule="exact"/>
        <w:rPr>
          <w:sz w:val="20"/>
          <w:szCs w:val="20"/>
          <w:color w:val="auto"/>
        </w:rPr>
      </w:pPr>
    </w:p>
    <w:p>
      <w:pPr>
        <w:spacing w:after="0" w:line="282" w:lineRule="exact"/>
        <w:rPr>
          <w:sz w:val="20"/>
          <w:szCs w:val="20"/>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services, which is influenced by the general level activity in the oil and gas industry;</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customers, particularly those that contribute to a large portion of our revenue;</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a sufficient number of skilled and qualified workers, including our key personnel;</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an emerging growth company and smaller reporting company;</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tools at reasonable cost;</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required permits or authorizations from applicable governmental agencies and other third parties;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our services in a competitive industry;</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integrate and realize the benefits of acquisitions, and manage the resulting growth of our business;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new technology that may become prevalent in the oilfield services ("OFS") industry;</w:t>
      </w:r>
    </w:p>
    <w:p>
      <w:pPr>
        <w:spacing w:after="0" w:line="117" w:lineRule="exact"/>
        <w:rPr>
          <w:rFonts w:ascii="Times New Roman" w:cs="Times New Roman" w:eastAsia="Times New Roman" w:hAnsi="Times New Roman"/>
          <w:sz w:val="18"/>
          <w:szCs w:val="18"/>
          <w:color w:val="auto"/>
        </w:rPr>
      </w:pPr>
    </w:p>
    <w:p>
      <w:pPr>
        <w:ind w:left="660" w:right="120" w:hanging="143"/>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claims arising from damage or harm caused by the operation of our tools, or otherwise arising from the dangerous activities that are inherent in the oil and gas industry;</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Russia-Ukraine and Israel-Hamas conflicts on the global economy;</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oilfield anti-indemnity limitations enacted by certain states;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117" w:lineRule="exact"/>
        <w:rPr>
          <w:rFonts w:ascii="Times New Roman" w:cs="Times New Roman" w:eastAsia="Times New Roman" w:hAnsi="Times New Roman"/>
          <w:sz w:val="18"/>
          <w:szCs w:val="18"/>
          <w:color w:val="auto"/>
        </w:rPr>
      </w:pPr>
    </w:p>
    <w:p>
      <w:pPr>
        <w:ind w:left="660" w:hanging="143"/>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restrictive covenants in the Amended and Restated Revolving Credit, Security and Guaranty Agreement among Drilling Tools International, Inc., certain of its subsidiaries, Drilling Tools International Corporation and PNC Bank, National Association, dated as of March 15, 2024 (the “Credit Facility Agreement”);</w:t>
      </w:r>
    </w:p>
    <w:p>
      <w:pPr>
        <w:spacing w:after="0" w:line="6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indebtedness incurred to execute our long-term growth strategy;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86" w:lineRule="exact"/>
        <w:rPr>
          <w:sz w:val="20"/>
          <w:szCs w:val="20"/>
          <w:color w:val="auto"/>
        </w:rPr>
      </w:pPr>
    </w:p>
    <w:p>
      <w:pPr>
        <w:ind w:left="143" w:hanging="143"/>
        <w:spacing w:after="0" w:line="282" w:lineRule="auto"/>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political, regulatory, economic and social disruptions in the countries in which we conduct business, including changes in tax laws or tax rates;</w:t>
      </w:r>
    </w:p>
    <w:p>
      <w:pPr>
        <w:spacing w:after="0" w:line="53" w:lineRule="exact"/>
        <w:rPr>
          <w:rFonts w:ascii="Times New Roman" w:cs="Times New Roman" w:eastAsia="Times New Roman" w:hAnsi="Times New Roman"/>
          <w:sz w:val="18"/>
          <w:szCs w:val="18"/>
          <w:color w:val="auto"/>
        </w:rPr>
      </w:pPr>
    </w:p>
    <w:p>
      <w:pPr>
        <w:ind w:left="143" w:right="20" w:hanging="143"/>
        <w:spacing w:after="0" w:line="282" w:lineRule="auto"/>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IT systems, in particular customer order management portal and support system ("COMPASS"), for the efficient operation of our business;</w:t>
      </w:r>
    </w:p>
    <w:p>
      <w:pPr>
        <w:spacing w:after="0" w:line="53" w:lineRule="exact"/>
        <w:rPr>
          <w:rFonts w:ascii="Times New Roman" w:cs="Times New Roman" w:eastAsia="Times New Roman" w:hAnsi="Times New Roman"/>
          <w:sz w:val="18"/>
          <w:szCs w:val="18"/>
          <w:color w:val="auto"/>
        </w:rPr>
      </w:pPr>
    </w:p>
    <w:p>
      <w:pPr>
        <w:ind w:left="143" w:right="180" w:hanging="143"/>
        <w:spacing w:after="0" w:line="282" w:lineRule="auto"/>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change in relevant accounting principles, enforcement of existing or new regulations, and changes in policies, rules, regulations, and interpretations of accounting and financial reporting requirements;</w:t>
      </w:r>
    </w:p>
    <w:p>
      <w:pPr>
        <w:spacing w:after="0" w:line="53"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and unusual weather conditions on our operations;</w:t>
      </w:r>
    </w:p>
    <w:p>
      <w:pPr>
        <w:spacing w:after="0" w:line="117" w:lineRule="exact"/>
        <w:rPr>
          <w:rFonts w:ascii="Times New Roman" w:cs="Times New Roman" w:eastAsia="Times New Roman" w:hAnsi="Times New Roman"/>
          <w:sz w:val="18"/>
          <w:szCs w:val="18"/>
          <w:color w:val="auto"/>
        </w:rPr>
      </w:pPr>
    </w:p>
    <w:p>
      <w:pPr>
        <w:ind w:left="143" w:right="540" w:hanging="143"/>
        <w:spacing w:after="0" w:line="282" w:lineRule="auto"/>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laws, regulations and rules, including those related to the environment, greenhouse gases and climate change;</w:t>
      </w:r>
    </w:p>
    <w:p>
      <w:pPr>
        <w:spacing w:after="0" w:line="53"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or trade secrets;</w:t>
      </w:r>
    </w:p>
    <w:p>
      <w:pPr>
        <w:spacing w:after="0" w:line="117"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w:t>
      </w:r>
    </w:p>
    <w:p>
      <w:pPr>
        <w:spacing w:after="0" w:line="117"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volatility in the market price of the Common Stock;</w:t>
      </w:r>
    </w:p>
    <w:p>
      <w:pPr>
        <w:spacing w:after="0" w:line="117" w:lineRule="exact"/>
        <w:rPr>
          <w:rFonts w:ascii="Times New Roman" w:cs="Times New Roman" w:eastAsia="Times New Roman" w:hAnsi="Times New Roman"/>
          <w:sz w:val="18"/>
          <w:szCs w:val="18"/>
          <w:color w:val="auto"/>
        </w:rPr>
      </w:pPr>
    </w:p>
    <w:p>
      <w:pPr>
        <w:ind w:left="143" w:right="220" w:hanging="143"/>
        <w:spacing w:after="0" w:line="282" w:lineRule="auto"/>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price per share of Common Stock paid by certain Selling Stockholders is less than the price of such shares as of the date of this prospectus;</w:t>
      </w:r>
    </w:p>
    <w:p>
      <w:pPr>
        <w:spacing w:after="0" w:line="53" w:lineRule="exact"/>
        <w:rPr>
          <w:rFonts w:ascii="Times New Roman" w:cs="Times New Roman" w:eastAsia="Times New Roman" w:hAnsi="Times New Roman"/>
          <w:sz w:val="18"/>
          <w:szCs w:val="18"/>
          <w:color w:val="auto"/>
        </w:rPr>
      </w:pPr>
    </w:p>
    <w:p>
      <w:pPr>
        <w:ind w:left="143" w:right="780" w:hanging="143"/>
        <w:spacing w:after="0" w:line="282" w:lineRule="auto"/>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legal, accounting, administrative and other costs incurred as a public company, including the impact of possible shareholder litigation;</w:t>
      </w:r>
    </w:p>
    <w:p>
      <w:pPr>
        <w:spacing w:after="0" w:line="53"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issuance of additional shares of DTIC Common Stock or other equity securities;</w:t>
      </w:r>
    </w:p>
    <w:p>
      <w:pPr>
        <w:spacing w:after="0" w:line="117"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the Common Stock on Nasdaq;</w:t>
      </w:r>
    </w:p>
    <w:p>
      <w:pPr>
        <w:spacing w:after="0" w:line="117" w:lineRule="exact"/>
        <w:rPr>
          <w:rFonts w:ascii="Times New Roman" w:cs="Times New Roman" w:eastAsia="Times New Roman" w:hAnsi="Times New Roman"/>
          <w:sz w:val="18"/>
          <w:szCs w:val="18"/>
          <w:color w:val="auto"/>
        </w:rPr>
      </w:pPr>
    </w:p>
    <w:p>
      <w:pPr>
        <w:ind w:left="143" w:right="1800" w:hanging="143"/>
        <w:spacing w:after="0" w:line="407" w:lineRule="auto"/>
        <w:tabs>
          <w:tab w:leader="none" w:pos="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industry or securities analysts changing their recommendation, or failing to cover, the Common Stock; and other risks and uncertainties described in this prospectus, including those under the section entitled “Risk Factors.”</w:t>
      </w:r>
    </w:p>
    <w:p>
      <w:pPr>
        <w:spacing w:after="0" w:line="270"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440" w:right="379" w:bottom="1440" w:gutter="0" w:footer="0" w:header="0"/>
        </w:sectPr>
      </w:pPr>
    </w:p>
    <w:bookmarkStart w:id="4" w:name="page5"/>
    <w:bookmarkEnd w:id="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“DTIC,” “we,” “us,” or “our” refer to the business of Drilling Tools International Corporation and its consolidated subsidiaries following the consummation of the Merger (defined below), and to Drilling Tools International Holdings, Inc. and its consolidated subsidiaries prior to the consummation of the Merger.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Drilling Tools International Corporation, a Delaware corporation ("DTIC" or the "Company"), is a global oilfield services company that designs, engineers, manufactures and provides a differentiated, rental-focused offering of tools for use in onshore and offshore horizontal and directional drilling operations, as well as other cutting-edge solutions across the well life cycle.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Drilling and producing oil and gas is a complex endeavor that requires tools of various shapes and sizes. Many of our customers rent these tools, as opposed to owning them, because of the many factors that affect which tools are needed for a specific task. Such factors include different formations, drilling methodologies, drilling engineer preferences, drilling depth and hole size. We believe that we are successful because we meet our customers’ wide demands by operating from multiple locations with over 63,000 tools in our fleet.</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are led by an accomplished management team that has significant experience in the oil and gas industry and has worked together for much of the last decade. Since 2012, we have grown the business and strengthened our standing in the industry. Specifically, we have:</w:t>
      </w:r>
    </w:p>
    <w:p>
      <w:pPr>
        <w:spacing w:after="0" w:line="54" w:lineRule="exact"/>
        <w:rPr>
          <w:sz w:val="20"/>
          <w:szCs w:val="20"/>
          <w:color w:val="auto"/>
        </w:rPr>
      </w:pPr>
    </w:p>
    <w:p>
      <w:pPr>
        <w:ind w:left="660" w:hanging="14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Grown our revenue by 340%, from $35 million in 2012 to $154 million in 2024;</w:t>
      </w:r>
    </w:p>
    <w:p>
      <w:pPr>
        <w:spacing w:after="0" w:line="117" w:lineRule="exact"/>
        <w:rPr>
          <w:rFonts w:ascii="Times New Roman" w:cs="Times New Roman" w:eastAsia="Times New Roman" w:hAnsi="Times New Roman"/>
          <w:sz w:val="18"/>
          <w:szCs w:val="18"/>
          <w:color w:val="auto"/>
        </w:rPr>
      </w:pPr>
    </w:p>
    <w:p>
      <w:pPr>
        <w:ind w:left="660" w:right="440" w:hanging="143"/>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increased our market share within North American land drilling, in which we are the market leader, based on the percentage of active projects to which we supply tools, and regularly have active tool rentals on more than 50% of working locations;</w:t>
      </w:r>
    </w:p>
    <w:p>
      <w:pPr>
        <w:spacing w:after="0" w:line="53" w:lineRule="exact"/>
        <w:rPr>
          <w:rFonts w:ascii="Times New Roman" w:cs="Times New Roman" w:eastAsia="Times New Roman" w:hAnsi="Times New Roman"/>
          <w:sz w:val="18"/>
          <w:szCs w:val="18"/>
          <w:color w:val="auto"/>
        </w:rPr>
      </w:pPr>
    </w:p>
    <w:p>
      <w:pPr>
        <w:ind w:left="660" w:right="120" w:hanging="143"/>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footprint from 3 to 16 service and support centers in North America, allowing us to serve all major oil and gas producing basins in North America land and offshore;</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11 additional International service and support centers across Europe, Middle East, and Asia-Pacific;</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Superior Drilling Products ("DPD"), Deep Casing Tools ("DCT"), and European Drilling Projects ("EDP");</w:t>
      </w:r>
    </w:p>
    <w:p>
      <w:pPr>
        <w:spacing w:after="0" w:line="117" w:lineRule="exact"/>
        <w:rPr>
          <w:rFonts w:ascii="Times New Roman" w:cs="Times New Roman" w:eastAsia="Times New Roman" w:hAnsi="Times New Roman"/>
          <w:sz w:val="18"/>
          <w:szCs w:val="18"/>
          <w:color w:val="auto"/>
        </w:rPr>
      </w:pPr>
    </w:p>
    <w:p>
      <w:pPr>
        <w:ind w:left="660" w:right="320" w:hanging="143"/>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the market leader in Gulf of Mexico ("GOM") deepwater drilling operation tool rentals, based on the percentage of active projects to which we supply tools, growing from serving only a single GOM project in 2012;</w:t>
      </w:r>
    </w:p>
    <w:p>
      <w:pPr>
        <w:spacing w:after="0" w:line="53" w:lineRule="exact"/>
        <w:rPr>
          <w:rFonts w:ascii="Times New Roman" w:cs="Times New Roman" w:eastAsia="Times New Roman" w:hAnsi="Times New Roman"/>
          <w:sz w:val="18"/>
          <w:szCs w:val="18"/>
          <w:color w:val="auto"/>
        </w:rPr>
      </w:pPr>
    </w:p>
    <w:p>
      <w:pPr>
        <w:ind w:left="660" w:right="320" w:hanging="143"/>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Upgraded our customer base from one comprised primarily of independent directional service providers to one comprised of major diversified oilfield service companies ("OSCs") and global exploration and production ("E&amp;P") operators;</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a large sales and marketing organization focused on team selling; and</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distribution rights for emerging technologies that fulfill the growing demand for longer horizontal drilling.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activities are divided into four divisions:</w:t>
      </w:r>
    </w:p>
    <w:p>
      <w:pPr>
        <w:spacing w:after="0" w:line="113" w:lineRule="exact"/>
        <w:rPr>
          <w:sz w:val="20"/>
          <w:szCs w:val="20"/>
          <w:color w:val="auto"/>
        </w:rPr>
      </w:pPr>
    </w:p>
    <w:p>
      <w:pPr>
        <w:ind w:left="660" w:right="80" w:hanging="143"/>
        <w:spacing w:after="0" w:line="25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Directional Tool Rentals ("DTR") </w:t>
      </w:r>
      <w:r>
        <w:rPr>
          <w:rFonts w:ascii="Times New Roman" w:cs="Times New Roman" w:eastAsia="Times New Roman" w:hAnsi="Times New Roman"/>
          <w:sz w:val="18"/>
          <w:szCs w:val="18"/>
          <w:color w:val="auto"/>
        </w:rPr>
        <w:t>— Our DTR division is a leading provider of downhole tools to directional drilling and upstream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in both land and offshore markets, based on the percentage of active rigs to which we supply tools in the geographies in which we are active. DTR maintains a fleet of over 23,000 tools and accounted for approximately 50% of our 2024 revenue. DTR rents drill collars, stabilizers, sub-assemblies and other tools used in horizontal and directional drilling of oil and natural gas. We charge our customers a day rate, monthly rate or per-well rate, and customers are required to</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86" w:lineRule="exact"/>
        <w:rPr>
          <w:sz w:val="20"/>
          <w:szCs w:val="20"/>
          <w:color w:val="auto"/>
        </w:rPr>
      </w:pPr>
    </w:p>
    <w:p>
      <w:pPr>
        <w:ind w:left="143" w:right="80"/>
        <w:spacing w:after="0" w:line="282" w:lineRule="auto"/>
        <w:rPr>
          <w:sz w:val="20"/>
          <w:szCs w:val="20"/>
          <w:color w:val="auto"/>
        </w:rPr>
      </w:pPr>
      <w:r>
        <w:rPr>
          <w:rFonts w:ascii="Times New Roman" w:cs="Times New Roman" w:eastAsia="Times New Roman" w:hAnsi="Times New Roman"/>
          <w:sz w:val="18"/>
          <w:szCs w:val="18"/>
          <w:color w:val="auto"/>
        </w:rPr>
        <w:t>compensate us for lost or damaged tools. DTR operates ten full-service locations and additional stocking points in key locations. DTR is our core division and operates in all markets which we serve.</w:t>
      </w:r>
    </w:p>
    <w:p>
      <w:pPr>
        <w:spacing w:after="0" w:line="50" w:lineRule="exact"/>
        <w:rPr>
          <w:sz w:val="20"/>
          <w:szCs w:val="20"/>
          <w:color w:val="auto"/>
        </w:rPr>
      </w:pPr>
    </w:p>
    <w:p>
      <w:pPr>
        <w:ind w:left="143" w:hanging="143"/>
        <w:spacing w:after="0" w:line="259" w:lineRule="auto"/>
        <w:tabs>
          <w:tab w:leader="none" w:pos="1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Premium Tools Division ("PTD") </w:t>
      </w:r>
      <w:r>
        <w:rPr>
          <w:rFonts w:ascii="Times New Roman" w:cs="Times New Roman" w:eastAsia="Times New Roman" w:hAnsi="Times New Roman"/>
          <w:sz w:val="18"/>
          <w:szCs w:val="18"/>
          <w:color w:val="auto"/>
        </w:rPr>
        <w:t>— PTD rents drill pipe, drill collars, kellys, pup joints, work strings, blowout preventers and production tubing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drilling operators across the United States. PTD accounted for approximately 17% of our 2024 revenue. PTD’s fleet of drill pipe includes approximately 1,000,000 feet of drill pipe and tubing in diameters ranging from 3.5-inch to 5.5-inch with premium connection licenses from qualified suppliers. We typically rent drill pipe under longer term (but still less than 1 year) contracts under which the customer is responsible for tools lost or damaged tools while in its possession. This division operates two full-service locations and one stocking point.</w:t>
      </w:r>
    </w:p>
    <w:p>
      <w:pPr>
        <w:spacing w:after="0" w:line="71" w:lineRule="exact"/>
        <w:rPr>
          <w:rFonts w:ascii="Times New Roman" w:cs="Times New Roman" w:eastAsia="Times New Roman" w:hAnsi="Times New Roman"/>
          <w:sz w:val="18"/>
          <w:szCs w:val="18"/>
          <w:color w:val="auto"/>
        </w:rPr>
      </w:pPr>
    </w:p>
    <w:p>
      <w:pPr>
        <w:ind w:left="143" w:right="40" w:hanging="143"/>
        <w:spacing w:after="0" w:line="254" w:lineRule="auto"/>
        <w:tabs>
          <w:tab w:leader="none" w:pos="1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Wellbore Optimization Tools ("WOT") </w:t>
      </w:r>
      <w:r>
        <w:rPr>
          <w:rFonts w:ascii="Times New Roman" w:cs="Times New Roman" w:eastAsia="Times New Roman" w:hAnsi="Times New Roman"/>
          <w:sz w:val="18"/>
          <w:szCs w:val="18"/>
          <w:color w:val="auto"/>
        </w:rPr>
        <w:t>— WOT rents the Drill-N-Ream, the leading wellbore conditioning tool, based on the percentage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active rigs that are candidates for wellbore conditioning where Drill-N-Ream is deployed and used in horizontal and directional drilling. Additionally, WOT rents the RotoSteer, a unique and novel tool enabling customers to continuously rotate the drill string during sliding. The RotoSteer improves the rate of penetration, reduces torque and drag of the drill string. WOT accounted for approximately 21% of our 2024 revenue. Drill-N-Ream conditions the wellbore during the drilling process, making it easier to back out of the hole once drilling is finished and clean the wellbore during the drilling process. This tool saves customers time and money by enabling operators to extend the length of their wellbore at a lower cost. RotoSteer enables the continuous rotation of the drill string during the drilling process, eliminating the need for agitation tools while attending the benefits of a rotary steerable in extended reach applications. We generally charge customers on a per foot basis and the customer is responsible for tools that are lost or damaged while in its possession. A specialized group of salespeople and service personnel regularly visit drill sites to support our customers in their use of our tools.</w:t>
      </w:r>
    </w:p>
    <w:p>
      <w:pPr>
        <w:spacing w:after="0" w:line="77" w:lineRule="exact"/>
        <w:rPr>
          <w:rFonts w:ascii="Times New Roman" w:cs="Times New Roman" w:eastAsia="Times New Roman" w:hAnsi="Times New Roman"/>
          <w:sz w:val="18"/>
          <w:szCs w:val="18"/>
          <w:color w:val="auto"/>
        </w:rPr>
      </w:pPr>
    </w:p>
    <w:p>
      <w:pPr>
        <w:ind w:left="143" w:hanging="143"/>
        <w:spacing w:after="0" w:line="257" w:lineRule="auto"/>
        <w:tabs>
          <w:tab w:leader="none" w:pos="1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Products &amp; Services, including Downhole Inspection Solutions, Downhole Machining Solutions, and the Desanders product ("Other Products &amp; Services") </w:t>
      </w:r>
      <w:r>
        <w:rPr>
          <w:rFonts w:ascii="Times New Roman" w:cs="Times New Roman" w:eastAsia="Times New Roman" w:hAnsi="Times New Roman"/>
          <w:sz w:val="18"/>
          <w:szCs w:val="18"/>
          <w:color w:val="auto"/>
        </w:rPr>
        <w:t>— DTI’s Other Products and Services division includes Downhole Inspection Solutions &amp; Downhole Machining Solutions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primarily provides inspection and machining services to our DTR, PTD and WOT divisions and a few select customers. This enables us to manage maintenance and repair of tools, which in turn empowers us to maximize their uptime. Additionally, Other Products &amp; Services includes the downhole desander, which includes our product line designed for downhole sand and gas mitigation for rod pump applications. Other Products &amp; Services accounted for approximately 2% (net of eliminations) of our 2024 revenue.</w:t>
      </w:r>
    </w:p>
    <w:p>
      <w:pPr>
        <w:spacing w:after="0" w:line="74" w:lineRule="exact"/>
        <w:rPr>
          <w:rFonts w:ascii="Times New Roman" w:cs="Times New Roman" w:eastAsia="Times New Roman" w:hAnsi="Times New Roman"/>
          <w:sz w:val="18"/>
          <w:szCs w:val="18"/>
          <w:color w:val="auto"/>
        </w:rPr>
      </w:pPr>
    </w:p>
    <w:p>
      <w:pPr>
        <w:ind w:left="143" w:right="20" w:hanging="143"/>
        <w:spacing w:after="0" w:line="253" w:lineRule="auto"/>
        <w:tabs>
          <w:tab w:leader="none" w:pos="1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New Acquisitions </w:t>
      </w:r>
      <w:r>
        <w:rPr>
          <w:rFonts w:ascii="Times New Roman" w:cs="Times New Roman" w:eastAsia="Times New Roman" w:hAnsi="Times New Roman"/>
          <w:sz w:val="18"/>
          <w:szCs w:val="18"/>
          <w:color w:val="auto"/>
        </w:rPr>
        <w:t>— On March 15, 2024, the Company completed the acquisition of Casing Technologies Group Limited (“CTG”). CTG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incorporated in the United Kingdom and is the holding company of its wholly owned subsidiary, Deep Casing Tools (“DCT”). DCT specializes in the design, engineering, and manufacturing of a range of patented and innovative products for well construction, well completion, and casing installation processes for the global oil and gas sector. Additionally, on July 31, 2024, we completed an acquisition with Superior Drilling Products, Inc. (“SDPI”). SDPI is an innovative drilling and completion tool technology company providing cost saving solutions that drive production efficiencies for the oil and natural gas drilling industry. In addition, SDPI is a manufacturer and refurbisher of polycrystalline diamond compact drill bits for leading oil field services companies. The SDPI acquisition allows the company to vertically integrate around our proven and successful Drill-N-Ream tool, gain global rights to run this tool, continue the Vernal, UT bit repair business supporting major OEMs of PDC drill bits, and leverage their high-spec machine shop. In addition, we acquired over 30 patents and patents pending, the majority of which have been granted. Lastly, on October 3, 2024, the Company completed the acquisition of European Drilling Projects B.V. (“EDP”), a private company with limited liability, registered in the Dutch Commercial Register. EDP is a global provider of next-generation stabilizers, specialty reamers, and wellbore optimization technology for the drilling industry. The integration of EDP’s expertise aligns with the Company's international growth strategy and commitment to technological differentiation. The acquisition of EDP aims to reinforces the Company's position as a leader in providing innovative drilling solutions to</w:t>
      </w:r>
    </w:p>
    <w:p>
      <w:pPr>
        <w:spacing w:after="0" w:line="200" w:lineRule="exact"/>
        <w:rPr>
          <w:sz w:val="20"/>
          <w:szCs w:val="20"/>
          <w:color w:val="auto"/>
        </w:rPr>
      </w:pPr>
    </w:p>
    <w:p>
      <w:pPr>
        <w:spacing w:after="0" w:line="205"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440" w:right="359" w:bottom="1440" w:gutter="0" w:footer="0" w:header="0"/>
        </w:sectPr>
      </w:pPr>
    </w:p>
    <w:bookmarkStart w:id="6" w:name="page7"/>
    <w:bookmarkEnd w:id="6"/>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global oil and gas industry. The new acquisitions accounted for approximately 10% of total revenue in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Role of Rental Tool Companies in the Production of Oil and Gas</w:t>
      </w:r>
    </w:p>
    <w:p>
      <w:pPr>
        <w:spacing w:after="0" w:line="12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Wellbore construction is a critical stage in the production of oil and gas. Wellbore construction is comprised of drilling the wellbore, logging the target producing formation to determine if commercial amounts of hydrocarbons exist, installing casing, cementing casing and performing completion procedures to prepare the well for production. Even after wellbore construction is complete, production products and services are needed over the well’s full life cycle.</w:t>
      </w:r>
    </w:p>
    <w:p>
      <w:pPr>
        <w:spacing w:after="0" w:line="1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Oil and gas companies typically hire a drilling contractor with an appropriate drilling rig to begin wellbore construction. However, drilling contractors generally do not have all the necessary tools to complete the project, and instead focus their business on the rig and its main components and rarely rent tools on behalf of oil and gas operators. Instead, oil and gas companies prefer to procure the products and services involved in drilling and subsequent procedures on a temporary basis from entities operating in the oil field services ("OFS") industry. This enables them to obtain the best quality, service, and pricing value directly from the service and equipment suppliers. As a result, upon completion of the well, the oil and gas operator does not hold assets that it no longer needs.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tools provided by rental tool companies vary from select bottom hole assembly components, drill string tools, pressure control devices and a wide variety of specialty items. Rental tool companies purchase assets and rent them to their oil and gas operator customers, who in turn use these tools to complete their respective projects. Rental tool companies typically charge daily rental fees, but fees also can be structured as hourly, footage, weekly, or monthly charges. Rental tool companies also bill customers for repair charges if tools are damaged beyond normal wear and tear. In addition, if the tools are lost in the well, or damaged beyond repair, the customer is charged a replacement fee. Rental tool companies’ ability to charge such fees are particularly important in light of the acceleration of drilling rates, as such acceleration continues the trend of customers consistently damaging tools (although recovery events have decreased year over year). We believe that this commercial arrangement has been standard practice in the industry for over 70 years. Given the cyclical nature of the oil and gas industry, commercial terms will be more favorable to rental tool companies when oil and gas industry activity is higher.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and Gas Drilling Activity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Rental tool companies’ financial and operating results are tied to the level of oil and gas drilling activity in their respective regions of operation, which, in our case, spans across both the Eastern and Western Hemispheres. Historically, the level of activity was measured by the number of active drilling rigs. For the years ended December 31, 2024 and 2023, the monthly average Western Hemisphere rig count was 940 and 1,040 rigs, respectively, or a decrease of 10%. Additionally, for the years ended December 31, 2024 and 2023, the monthly average Eastern Hemisphere rig count was 747 and 732 rigs, respectively, or an increase of 2%</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Drilling rigs now operate faster and drill longer laterals, resulting in more efficient production than ever before. Accordingly, we believe that well count and feet drilled are additional indicators of the level of oil and gas drilling activity.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intend to (i) maximize the profitability of our core rental tool business, (ii) commercialize new high-value rental tools that make the drilling process more efficient (iii) extend our reach into other segments of a well’s lifecycle, such as completion and production and (iv) expand geographically. We intend to execute our strategy through the following:</w:t>
      </w:r>
    </w:p>
    <w:p>
      <w:pPr>
        <w:spacing w:after="0" w:line="64" w:lineRule="exact"/>
        <w:rPr>
          <w:sz w:val="20"/>
          <w:szCs w:val="20"/>
          <w:color w:val="auto"/>
        </w:rPr>
      </w:pPr>
    </w:p>
    <w:p>
      <w:pPr>
        <w:ind w:left="660" w:hanging="143"/>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sales to E&amp;P operators </w:t>
      </w:r>
      <w:r>
        <w:rPr>
          <w:rFonts w:ascii="Times New Roman" w:cs="Times New Roman" w:eastAsia="Times New Roman" w:hAnsi="Times New Roman"/>
          <w:sz w:val="18"/>
          <w:szCs w:val="18"/>
          <w:color w:val="auto"/>
        </w:rPr>
        <w:t>— E&amp;P operators are the most profitable and financially robust end users of rental tools. As a result, in 2014,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began to expand our customer base by targeting these companies. We have subsequently grown the percentage of our revenue derived from E&amp;P operators from less than 10% in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6" w:lineRule="exact"/>
        <w:rPr>
          <w:sz w:val="20"/>
          <w:szCs w:val="20"/>
          <w:color w:val="auto"/>
        </w:rPr>
      </w:pPr>
    </w:p>
    <w:p>
      <w:pPr>
        <w:ind w:left="143" w:right="220"/>
        <w:spacing w:after="0" w:line="256" w:lineRule="auto"/>
        <w:rPr>
          <w:sz w:val="20"/>
          <w:szCs w:val="20"/>
          <w:color w:val="auto"/>
        </w:rPr>
      </w:pPr>
      <w:r>
        <w:rPr>
          <w:rFonts w:ascii="Times New Roman" w:cs="Times New Roman" w:eastAsia="Times New Roman" w:hAnsi="Times New Roman"/>
          <w:sz w:val="18"/>
          <w:szCs w:val="18"/>
          <w:color w:val="auto"/>
        </w:rPr>
        <w:t>2014 to over 45% in 2024. We believe that we can continue increasing the amount of business we do with E&amp;P operators through persistent selling efforts, excellent customer service and strategically expanding our rental tool fleet with differentiated new tools. We strive to maintain business relationships and brand recognition with both E&amp;P operators, drilling contractors, and service companies. Some E&amp;P operators have implemented a strategy to go directly to suppliers and de-bundle directional drilling service providers in order to get the tools they want and extract value from that de-bundling process. By ensuring we have a business path to both the E&amp;P operators and the directional drilling service companies, we believe we are in a position to win business regardless of the commercial profile of the end user.</w:t>
      </w:r>
    </w:p>
    <w:p>
      <w:pPr>
        <w:spacing w:after="0" w:line="75" w:lineRule="exact"/>
        <w:rPr>
          <w:sz w:val="20"/>
          <w:szCs w:val="20"/>
          <w:color w:val="auto"/>
        </w:rPr>
      </w:pPr>
    </w:p>
    <w:p>
      <w:pPr>
        <w:ind w:left="143" w:right="160" w:hanging="143"/>
        <w:spacing w:after="0" w:line="256" w:lineRule="auto"/>
        <w:tabs>
          <w:tab w:leader="none" w:pos="1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Maximize the uptime of our rental tool fleet </w:t>
      </w:r>
      <w:r>
        <w:rPr>
          <w:rFonts w:ascii="Times New Roman" w:cs="Times New Roman" w:eastAsia="Times New Roman" w:hAnsi="Times New Roman"/>
          <w:sz w:val="18"/>
          <w:szCs w:val="18"/>
          <w:color w:val="auto"/>
        </w:rPr>
        <w:t>— We only earn a return from tools that are being rented. Accordingly, we strive to minimize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tools that are unused or awaiting repair. We intend to do so by leveraging DTI's Customer Order Management Portal and Support System ("COMPASS"), which empowers us to transfer tools from facilities where they are under-utilized to those where they are in greatest demand. COMPASS also enables us to stock the optimal number of a particular tool, such that we have enough inventory to meet all customer needs without having excess inventory and thereby stranding capital. See “— Our Competitive Strengths — COMPASS inventory management system.” Our inspection, machining and robotic capabilities also allow us to maximize the uptime of our rental tool fleet because we can control these critical functions and return our rental tools to service.</w:t>
      </w:r>
    </w:p>
    <w:p>
      <w:pPr>
        <w:spacing w:after="0" w:line="74" w:lineRule="exact"/>
        <w:rPr>
          <w:rFonts w:ascii="Times New Roman" w:cs="Times New Roman" w:eastAsia="Times New Roman" w:hAnsi="Times New Roman"/>
          <w:sz w:val="18"/>
          <w:szCs w:val="18"/>
          <w:color w:val="auto"/>
        </w:rPr>
      </w:pPr>
    </w:p>
    <w:p>
      <w:pPr>
        <w:ind w:left="143" w:right="20" w:hanging="143"/>
        <w:spacing w:after="0" w:line="254" w:lineRule="auto"/>
        <w:tabs>
          <w:tab w:leader="none" w:pos="1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Further professionalize the organization </w:t>
      </w:r>
      <w:r>
        <w:rPr>
          <w:rFonts w:ascii="Times New Roman" w:cs="Times New Roman" w:eastAsia="Times New Roman" w:hAnsi="Times New Roman"/>
          <w:sz w:val="18"/>
          <w:szCs w:val="18"/>
          <w:color w:val="auto"/>
        </w:rPr>
        <w:t>— Historically, rental tool companies’ success was largely tied to their ability to provide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ancillary benefits and perks, such as golf outings and meals. While safety standards existed, compliance therewith was not typically audited. Moreover, operating facilities were unimpressive and rarely visited by customers, rental tools were worn and inexact, and quality audits were uncommon. Today, however, safety and quality standards are far more exacting. Accordingly, rental tool companies must be professional, transparent and sophisticated. As the oil and gas industry professionalizes, all segments of the industry are increasingly evaluated based on a strict set of criteria that includes safety, ability to fulfill tool orders, the presence of repeatable and verifiable processes and procedures, billing accuracy and “one-stop shop” capabilities. While rental tool companies must maintain relationships with customers, they must also have auditable and repeatable processes to win business. We have transformed our business in light of the new normal, allocating resources to ensure we meet our customers’ high expectations. We believe that many of our competitors have not made this transition. We intend to press this advantage by continuing to professionalize our workforce and processes, thereby widening the gap between us and our competitors.</w:t>
      </w:r>
    </w:p>
    <w:p>
      <w:pPr>
        <w:spacing w:after="0" w:line="77" w:lineRule="exact"/>
        <w:rPr>
          <w:rFonts w:ascii="Times New Roman" w:cs="Times New Roman" w:eastAsia="Times New Roman" w:hAnsi="Times New Roman"/>
          <w:sz w:val="18"/>
          <w:szCs w:val="18"/>
          <w:color w:val="auto"/>
        </w:rPr>
      </w:pPr>
    </w:p>
    <w:p>
      <w:pPr>
        <w:ind w:left="143" w:hanging="143"/>
        <w:spacing w:after="0" w:line="253" w:lineRule="auto"/>
        <w:tabs>
          <w:tab w:leader="none" w:pos="1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Execute accretive mergers and acquisition </w:t>
      </w:r>
      <w:r>
        <w:rPr>
          <w:rFonts w:ascii="Times New Roman" w:cs="Times New Roman" w:eastAsia="Times New Roman" w:hAnsi="Times New Roman"/>
          <w:sz w:val="18"/>
          <w:szCs w:val="18"/>
          <w:color w:val="auto"/>
        </w:rPr>
        <w:t>— We have a long track record as a private company of successfully integrating acquired businesses.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2024, we continued to be acquisitive, announcing and/or closing on four M&amp;A transactions. Because of our industry reputation, we are frequently presented with acquisition opportunities. However, given capital limitations broadly across OFS in recent years, we have not been able to proceed with many of these transactions. From 2010 to 2016, significant capital flowed into the OFS sector, led by energy-focused private equity firms that typically have investment horizons of ten years or less. Although many of these investments are now more than ten years old, the private equity firms have no clear path to achieving liquidity since limited new capital is entering the energy industry. We believe we have compelling accretive acquisition opportunities, the purchase price consideration for which can be shares of Common Stock and other forms of consideration. Given their relationships in the industry, the members of our management team can source attractive acquisition targets. We intend to focus our acquisition activity on the downhole rental tool sector. We believe that an ability to provide additional rental products will further embed us with our customers, and acquired companies would benefit from our customer relationships (MSAs), facilities, salesforce and industry reputation. Because the owners of many companies in our target sectors have limited options to realize liquidity, we believe we can attain attractive purchase prices that are highly accretive to our valuation metrics.</w:t>
      </w:r>
    </w:p>
    <w:p>
      <w:pPr>
        <w:spacing w:after="0" w:line="81" w:lineRule="exact"/>
        <w:rPr>
          <w:rFonts w:ascii="Times New Roman" w:cs="Times New Roman" w:eastAsia="Times New Roman" w:hAnsi="Times New Roman"/>
          <w:sz w:val="18"/>
          <w:szCs w:val="18"/>
          <w:color w:val="auto"/>
        </w:rPr>
      </w:pPr>
    </w:p>
    <w:p>
      <w:pPr>
        <w:ind w:left="143" w:hanging="143"/>
        <w:spacing w:after="0" w:line="257" w:lineRule="auto"/>
        <w:tabs>
          <w:tab w:leader="none" w:pos="1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Partner with leading drilling tool producers — </w:t>
      </w:r>
      <w:r>
        <w:rPr>
          <w:rFonts w:ascii="Times New Roman" w:cs="Times New Roman" w:eastAsia="Times New Roman" w:hAnsi="Times New Roman"/>
          <w:sz w:val="18"/>
          <w:szCs w:val="18"/>
          <w:color w:val="auto"/>
        </w:rPr>
        <w:t>We intend to differentiate ourselves from our competitors by partnering with leading drilling tool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producers, thereby empowering us to rent value-added tools to which our competitors do not have access. We have a track record of partnering with drilling tool producers to achieve mutually beneficial results. For example, we have entered into an exclusive distribution agreement with CT Energy Services ("CTES"), a Canadian firm that developed the HydroClutch. This tool, which we have rebranded as RotoSteer, allows drillers to use an alternative method of horizontal well drilling. By using RotoSteer, customers can enhance levels of performance with the traditional methods of horizontal</w:t>
      </w:r>
    </w:p>
    <w:p>
      <w:pPr>
        <w:spacing w:after="0" w:line="200" w:lineRule="exact"/>
        <w:rPr>
          <w:sz w:val="20"/>
          <w:szCs w:val="20"/>
          <w:color w:val="auto"/>
        </w:rPr>
      </w:pPr>
    </w:p>
    <w:p>
      <w:pPr>
        <w:spacing w:after="0" w:line="202"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440" w:right="379" w:bottom="1440" w:gutter="0" w:footer="0" w:header="0"/>
        </w:sectPr>
      </w:pPr>
    </w:p>
    <w:bookmarkStart w:id="8" w:name="page9"/>
    <w:bookmarkEnd w:id="8"/>
    <w:p>
      <w:pPr>
        <w:spacing w:after="0" w:line="8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well drilling, and lower cost with significantly lower risk. We finalized an agreement with CTES in the third quarter of 2022. On February 6, 2023, we completed a purchase of a motor shop and downhole motor product line that supports our RotoSteer offering. We are now able to service our fleet of RotoSteer tools. The RotoSteer was commercially launched in 2023 and has seen continued success throughout 2024. We believe that our RotoSteer tool business has the potential to achieve a commanding market share in the United States in the next three to five years. We believe that there is an opportunity to expand our RotoSteer offering into the international market.</w:t>
      </w:r>
    </w:p>
    <w:p>
      <w:pPr>
        <w:spacing w:after="0" w:line="71" w:lineRule="exact"/>
        <w:rPr>
          <w:sz w:val="20"/>
          <w:szCs w:val="20"/>
          <w:color w:val="auto"/>
        </w:rPr>
      </w:pPr>
    </w:p>
    <w:p>
      <w:pPr>
        <w:ind w:left="660" w:right="80" w:hanging="143"/>
        <w:spacing w:after="0" w:line="25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international operations </w:t>
      </w:r>
      <w:r>
        <w:rPr>
          <w:rFonts w:ascii="Times New Roman" w:cs="Times New Roman" w:eastAsia="Times New Roman" w:hAnsi="Times New Roman"/>
          <w:sz w:val="18"/>
          <w:szCs w:val="18"/>
          <w:color w:val="auto"/>
        </w:rPr>
        <w:t>— During 2024, we increased our internal footprint by completing 2 international acquisitions, expanding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 international service and support centers to 11. We intend to continue to expand our international footprint, organically and by acquiring identified targets. While we intend to maintain and grow our current North American business, we intend to increase the percentage of our revenue and income derived from outside of North America. To successfully implement this strategy, we will need to continue to make several strategic acquisitions and invest additional capital.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implement the strategies discussed above, we plan to leverage the following competitive strengths:</w:t>
      </w:r>
    </w:p>
    <w:p>
      <w:pPr>
        <w:spacing w:after="0" w:line="113" w:lineRule="exact"/>
        <w:rPr>
          <w:sz w:val="20"/>
          <w:szCs w:val="20"/>
          <w:color w:val="auto"/>
        </w:rPr>
      </w:pPr>
    </w:p>
    <w:p>
      <w:pPr>
        <w:ind w:left="660" w:hanging="143"/>
        <w:spacing w:after="0" w:line="253"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with significant industry experience </w:t>
      </w:r>
      <w:r>
        <w:rPr>
          <w:rFonts w:ascii="Times New Roman" w:cs="Times New Roman" w:eastAsia="Times New Roman" w:hAnsi="Times New Roman"/>
          <w:sz w:val="18"/>
          <w:szCs w:val="18"/>
          <w:color w:val="auto"/>
        </w:rPr>
        <w:t>— We are led by oil and gas industry veterans with experience spanning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decades, industry cycles and segments of the oil and gas industry. Our President and Chief Executive Officer ("CEO"), Wayne Prejean, began his career in 1979 as an entry-level service technician on an offshore drilling platform in the GOM, providing monitoring equipment for producing wells. In 1981, he joined a new firm providing guidance and survey tools for directional drilling services. Throughout the 1980s, Mr. Prejean became a directional drilling operator, supervisor and manager, using novel techniques in the nascent horizontal and directional drilling processes. Mr. Prejean spent the next 20 years in senior management roles, developing and growing numerous successful companies in multiple sectors of the industry. Mr. Prejean became our CEO in 2013. Mr. Prejean’s industry expertise, paired with that of the other members of our management team, is a significant strength. Every member of the management team has worked at a major OSC. Accordingly, our team understands corporate structure, internal processes and the needs of our customers. As a result, the management team helps us become an integral part of our customers’ operations. Many members of our management team have worked together over the past ten years and have helped us transform from a small, entrepreneurial company with few processes and procedures, less sophisticated customers and few operating locations into a professional company serving leading OSCs and E&amp;P operators from 16 locations in North America and 11 international stocking points in Europe and the Middle East.</w:t>
      </w:r>
    </w:p>
    <w:p>
      <w:pPr>
        <w:spacing w:after="0" w:line="79" w:lineRule="exact"/>
        <w:rPr>
          <w:rFonts w:ascii="Times New Roman" w:cs="Times New Roman" w:eastAsia="Times New Roman" w:hAnsi="Times New Roman"/>
          <w:sz w:val="18"/>
          <w:szCs w:val="18"/>
          <w:color w:val="auto"/>
        </w:rPr>
      </w:pPr>
    </w:p>
    <w:p>
      <w:pPr>
        <w:ind w:left="660" w:hanging="143"/>
        <w:spacing w:after="0" w:line="25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 fleet of rental tools meeting our customers’ needs </w:t>
      </w:r>
      <w:r>
        <w:rPr>
          <w:rFonts w:ascii="Times New Roman" w:cs="Times New Roman" w:eastAsia="Times New Roman" w:hAnsi="Times New Roman"/>
          <w:sz w:val="18"/>
          <w:szCs w:val="18"/>
          <w:color w:val="auto"/>
        </w:rPr>
        <w:t>— We operate and maintain a large rental tool fleet that is dispersed across most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oil and gas producing regions of the U.S. and Canada. Our fleet is significantly concentrated in the Permian Basin, one of the world’s most prolific oil and gas fields. We have recently expanded into Europe and the Middle East via partnerships with existing suppliers and multiple acquisitions. The tools that make up a bottom hole assembly and a drill string vary widely due to the differing nature of oil and gas formations, hole sizes, wellbore design, connections and drilling engineer preferences. Therefore, it is not efficient for even the largest diversified OSCs, such as Baker Hughes Company, Phoenix Technology Services LP, and SLB (formerly Schlumberger Limited), to maintain their own rental tool fleet. Furthermore, high-quality customers expect rental tool companies to meet all their tool needs. Thus, without a sizeable rental tool fleet, smaller providers cannot secure large contracts covering multiple geographic locations. The sheer number of tool variations and the substantial cost to replicate a rental tool fleet serve as barriers to entry for new competitors in the downhole rental tool industry.</w:t>
      </w:r>
    </w:p>
    <w:p>
      <w:pPr>
        <w:spacing w:after="0" w:line="80" w:lineRule="exact"/>
        <w:rPr>
          <w:rFonts w:ascii="Times New Roman" w:cs="Times New Roman" w:eastAsia="Times New Roman" w:hAnsi="Times New Roman"/>
          <w:sz w:val="18"/>
          <w:szCs w:val="18"/>
          <w:color w:val="auto"/>
        </w:rPr>
      </w:pPr>
    </w:p>
    <w:p>
      <w:pPr>
        <w:ind w:left="660" w:right="20" w:hanging="143"/>
        <w:spacing w:after="0" w:line="257"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Master Service Agreements with leading customers </w:t>
      </w:r>
      <w:r>
        <w:rPr>
          <w:rFonts w:ascii="Times New Roman" w:cs="Times New Roman" w:eastAsia="Times New Roman" w:hAnsi="Times New Roman"/>
          <w:sz w:val="18"/>
          <w:szCs w:val="18"/>
          <w:color w:val="auto"/>
        </w:rPr>
        <w:t>— We have over 340 master service agreements ("MSAs") with leading OSCs and E&amp;P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operators as of December 31, 2024. An MSA is necessary to do business with many of our customers. Obtaining an MSA requires both time and a relationship with the customer. Additionally, to enter into MSAs with its customers, a rental tool company must demonstrate a record of safety, repeatable processes and procedures and, in some cases, industry certifications such as API (American Petroleum Institute) and ISO (International Organization for Standards). A rental tool company must also satisfy numerous site and job specific quality criteria. We possess all certifications that are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required by our customers, have a robust quality assurance department and regularly satisfy customer audits. Many smaller rental tool providers cannot meet the stringent requirements set out by world-leading OSCs and E&amp;P operators.</w:t>
      </w:r>
    </w:p>
    <w:p>
      <w:pPr>
        <w:spacing w:after="0" w:line="50" w:lineRule="exact"/>
        <w:rPr>
          <w:sz w:val="20"/>
          <w:szCs w:val="20"/>
          <w:color w:val="auto"/>
        </w:rPr>
      </w:pPr>
    </w:p>
    <w:p>
      <w:pPr>
        <w:ind w:left="660" w:right="20" w:hanging="143"/>
        <w:spacing w:after="0" w:line="25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Wide distribution network </w:t>
      </w:r>
      <w:r>
        <w:rPr>
          <w:rFonts w:ascii="Times New Roman" w:cs="Times New Roman" w:eastAsia="Times New Roman" w:hAnsi="Times New Roman"/>
          <w:sz w:val="18"/>
          <w:szCs w:val="18"/>
          <w:color w:val="auto"/>
        </w:rPr>
        <w:t>— In 2012 we had three facilities. We have since grown our physical footprint significantly, and now operate from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locations in North America, including five facilities in the Permian Basin (two in Midland, Texas, two in Odessa, Texas and one in Carlsbad, New Mexico). Our ability to support customers across all of North America is critical to winning business because our customers operate across the continent. Most of these facilities operate 24 hours per day, 365 days per year, and many are equipped with machining and welding capabilities to facilitate in-house tool repair, which maximizes turnaround time and minimizes downtime. In addition to our North American facilities, we have 11 international stocking points in Europe, Middle East, and Asia-Pacific. We can meet many of our customers’ rental tool needs in every location in which they operate.</w:t>
      </w:r>
    </w:p>
    <w:p>
      <w:pPr>
        <w:spacing w:after="0" w:line="74" w:lineRule="exact"/>
        <w:rPr>
          <w:rFonts w:ascii="Times New Roman" w:cs="Times New Roman" w:eastAsia="Times New Roman" w:hAnsi="Times New Roman"/>
          <w:sz w:val="18"/>
          <w:szCs w:val="18"/>
          <w:color w:val="auto"/>
        </w:rPr>
      </w:pPr>
    </w:p>
    <w:p>
      <w:pPr>
        <w:ind w:left="660" w:right="120" w:hanging="143"/>
        <w:spacing w:after="0" w:line="25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COMPASS inventory management system </w:t>
      </w:r>
      <w:r>
        <w:rPr>
          <w:rFonts w:ascii="Times New Roman" w:cs="Times New Roman" w:eastAsia="Times New Roman" w:hAnsi="Times New Roman"/>
          <w:sz w:val="18"/>
          <w:szCs w:val="18"/>
          <w:color w:val="auto"/>
        </w:rPr>
        <w:t>— In 2016, we began designing COMPASS, a proprietary inventory and order management system.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COMPASS enables customers to place orders online using a streamlined interface similar to the “Add to Cart” function provided by many online retailers. Every tool available for rental on COMPASS is accompanied by a description, a photograph and all relevant connection, size and raw material information. Customers can create a custom basket, thereby allowing them to more efficiently place repeat orders. COMPASS provides customers with full transparency on tool orders and account status with all-day instant access and customized automated scheduling reports. We believe that none of our competitors are making a similar technological transition. COMPASS has helped us maximize fleet utilization. Specifically, COMPASS generates reports that enable facility managers to identify slow-moving or under-utilized tools and to “right size” the rental tool fleet at each location. Thus, instead of purchasing or building a new tool when needed at a busy facility, the tool can be moved from a facility where it is not currently being utilized. Awareness of an asset’s use enables us to increase rental tool utilization and maximize return on capital.</w:t>
      </w:r>
    </w:p>
    <w:p>
      <w:pPr>
        <w:spacing w:after="0" w:line="77" w:lineRule="exact"/>
        <w:rPr>
          <w:rFonts w:ascii="Times New Roman" w:cs="Times New Roman" w:eastAsia="Times New Roman" w:hAnsi="Times New Roman"/>
          <w:sz w:val="18"/>
          <w:szCs w:val="18"/>
          <w:color w:val="auto"/>
        </w:rPr>
      </w:pPr>
    </w:p>
    <w:p>
      <w:pPr>
        <w:ind w:left="660" w:hanging="143"/>
        <w:spacing w:after="0" w:line="25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 talented salesforce with deep customer relationships </w:t>
      </w:r>
      <w:r>
        <w:rPr>
          <w:rFonts w:ascii="Times New Roman" w:cs="Times New Roman" w:eastAsia="Times New Roman" w:hAnsi="Times New Roman"/>
          <w:sz w:val="18"/>
          <w:szCs w:val="18"/>
          <w:color w:val="auto"/>
        </w:rPr>
        <w:t>— Our salespeople specialize in a particular tool type (e.g., drilling tools, wellbore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optimization tools and drill pipe) and support all locations where our customers operate. Our salespeople are divided into two teams: city-sales and field-sales. The city-sales team focuses its efforts on customers’ corporate offices, striving to establish and maintain long-term relationships that can culminate in multi-year first call supply agreements with detailed pricing arrangements. The field-sales team focuses its efforts on customers’ drilling rigs and field offices. The field-sales team seeks to fulfill customers’ needs that are specific to ongoing or soon-to-launch projects. Whether a member of our city-sales team or our field-sales team, each salesperson focuses on providing customers the right tools when and where those tools are needed.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customer base is comprised of: (i) diversified OSCs, which account for approximately 46% of 2024 revenue, including but not limited to Baker Hughes Company, Halliburton Company, Phoenix Energy, and SLB (formerly Schlumberger); (ii) E&amp;P operators, which account for, account for approximately 48% of 2024 revenue, included but not limited to Chevron, BPX Energy, EOG Resources Inc., Occidental Petroleum Corporation, Pioneer Energy Services Corp.; and (iii) oil and gas equipment manufacturers, which account for approximately 6% of 2024 revenue, including but not limited to Liberty Lift Solutions and National Oilwell Varco.</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Conducting business with top tier customers requires world class service quality, safety and auditable work processes. These operating requirements are contained in MSAs with our clients. Obtaining MSAs can be difficult and time-consuming. We believe this creates a barrier to entry for smaller, less competent providers and provides us an industry advantage.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Employee Safety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447 employees and contractors, all of whom were full-time. Our workforce includes over 33 sales professionals who are divided between city-sales and field-sales teams. Keeping our workforce safe and healthy is a key priority, and management is committed to ensuring our employees return home safely after each shift. In 2018,</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implemented “Safety Now,” a rigorous safety program that is part of DTI’s Safe, Inspired, Productive incentive program (“SIP”). SIP has helped reduce our total recordable incident rate from 2.3 in 2018 to 1.15 in 2024, which is lower than the industry average. The success of SIP is necessary for us to do business with many of our customers, including Baker Hughes Company, EOG Resources Inc., Occidental Petroleum Corporation and SLB.</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from 16 locations in North America and maintain 11 international stocking points in Europe, Middle East, and Asia-Pacific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291465</wp:posOffset>
            </wp:positionV>
            <wp:extent cx="5349240" cy="2777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Environmental, Health and Safety Measures</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business is significantly affected by federal, state and local laws and other regulations. These regulations primarily impact the operation of our facilities. The laws and regulations relate to, among other things:</w:t>
      </w:r>
    </w:p>
    <w:p>
      <w:pPr>
        <w:spacing w:after="0" w:line="54" w:lineRule="exact"/>
        <w:rPr>
          <w:sz w:val="20"/>
          <w:szCs w:val="20"/>
          <w:color w:val="auto"/>
        </w:rPr>
      </w:pPr>
    </w:p>
    <w:p>
      <w:pPr>
        <w:ind w:left="660" w:hanging="14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 safety standards;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the environment; and</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management, with respect to both fluids and solids.</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internal environmental group monitors our compliance with applicable laws and regulations. We also engage third parties to review our compliance with such.</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cannot predict the level of enforcement of existing laws and regulations or how such laws and regulations may be interpreted by enforcement agencies or court rulings in the future. We also cannot predict whether additional laws and regulations will be adopted, including changes in regulatory oversight, increase of federal, state or local taxes, increase of inspection costs, or the effect such changes may have on us, our business or our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believe that there are a limited number of competitors in the oil and gas drilling rental tools industry. It is our view that we enjoy a competitive advantage with respect to these competitors due to our large relevant tool inventory, strong management team and significant scale.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operations date to the founding of Directional Rentals, Inc. in 1984. Its name was changed to “Drilling Tools International, Inc.” in 2014, and it is a wholly owned subsidiary of DTIH. As a result of the Business Combination, DTIH became a wholly owned subsidiary of ROC. In connection with the Business Combination, ROC changed its name to “Drilling Tools International Corporation”. Our website address is www.drillingtools.com. The information found on our website is not part of this or any other report we file with, or furnish to, the SEC and is expressly not incorporated by reference into this document. Our Annual Reports on Form 10-K, Quarterly Reports on Form 10-Q, Current Reports on Form 8-K, proxy statements, and any amendments to these reports filed or furnished pursuant to Section 13(a) or 15(d) of the Securities Exchange Act of 1934 are available on our website, free of charge, as soon as reasonably practicable after such reports are filed with, or furnished to, the SEC. Alternatively, you may access these reports at the SEC’s website at www.sec.gov.</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risk factors our business faces. The list below is not exhaustive, and investors should read this “Risk Factors” section in full.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Risk Factors Related to our Business</w:t>
      </w:r>
    </w:p>
    <w:p>
      <w:pPr>
        <w:spacing w:after="0" w:line="230" w:lineRule="exact"/>
        <w:rPr>
          <w:sz w:val="20"/>
          <w:szCs w:val="20"/>
          <w:color w:val="auto"/>
        </w:rPr>
      </w:pPr>
    </w:p>
    <w:p>
      <w:pPr>
        <w:ind w:left="520" w:right="120" w:hanging="3"/>
        <w:spacing w:after="0" w:line="269" w:lineRule="auto"/>
        <w:tabs>
          <w:tab w:leader="none" w:pos="10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Demand for our products and services depends on oil and gas industry activity and customer expenditure levels, which are directly affected by trends in the demand for, and price of, crude oil and natural gas as well as the availability of capital.</w:t>
      </w:r>
    </w:p>
    <w:p>
      <w:pPr>
        <w:ind w:left="520" w:hanging="3"/>
        <w:spacing w:after="0" w:line="264" w:lineRule="auto"/>
        <w:tabs>
          <w:tab w:leader="none" w:pos="10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Growth in U.S. drilling activity, and our ability to benefit from such growth, could be adversely affected by any significant constraints in equipment, labor or takeaway capacity in the regions in which we operate.</w:t>
      </w:r>
    </w:p>
    <w:p>
      <w:pPr>
        <w:ind w:left="520" w:right="120" w:hanging="3"/>
        <w:spacing w:after="0" w:line="264" w:lineRule="auto"/>
        <w:tabs>
          <w:tab w:leader="none" w:pos="10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on a relatively small number of customers in a single industry. The loss of an important customer could adversely affect our business, results of operations and financial condition.</w:t>
      </w: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employ a sufficient number of skilled and qualified workers to sustain or expand our current operations.</w:t>
      </w:r>
    </w:p>
    <w:p>
      <w:pPr>
        <w:spacing w:after="0" w:line="1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depends on the continuing services of certain of our key managers and employees.</w:t>
      </w:r>
    </w:p>
    <w:p>
      <w:pPr>
        <w:spacing w:after="0" w:line="18" w:lineRule="exact"/>
        <w:rPr>
          <w:rFonts w:ascii="Times New Roman" w:cs="Times New Roman" w:eastAsia="Times New Roman" w:hAnsi="Times New Roman"/>
          <w:sz w:val="16"/>
          <w:szCs w:val="16"/>
          <w:color w:val="auto"/>
        </w:rPr>
      </w:pPr>
    </w:p>
    <w:p>
      <w:pPr>
        <w:ind w:left="520" w:hanging="3"/>
        <w:spacing w:after="0" w:line="264" w:lineRule="auto"/>
        <w:tabs>
          <w:tab w:leader="none" w:pos="10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an emerging growth company and smaller reporting company and as such are subject to various risks unique only to emerging growth companies and smaller reporting companies, including but not limited to, no requirement to provide an assessment of the effectiveness of internal controls over financial reporting.</w:t>
      </w:r>
    </w:p>
    <w:p>
      <w:pPr>
        <w:ind w:left="520" w:right="400" w:hanging="3"/>
        <w:spacing w:after="0" w:line="264" w:lineRule="auto"/>
        <w:tabs>
          <w:tab w:leader="none" w:pos="10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lack of availability of the tools we purchase to rent to our customers and inflation may increase our cost of operations beyond what we can recover through price increases.</w:t>
      </w: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obtaining, or inability to obtain or renew, permits or authorizations by our customers for their operations could impair our business.</w:t>
      </w:r>
    </w:p>
    <w:p>
      <w:pPr>
        <w:spacing w:after="0" w:line="1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within the oil and gas drilling tool rental industry may adversely affect our ability to market our services.</w:t>
      </w:r>
    </w:p>
    <w:p>
      <w:pPr>
        <w:spacing w:after="0" w:line="18" w:lineRule="exact"/>
        <w:rPr>
          <w:rFonts w:ascii="Times New Roman" w:cs="Times New Roman" w:eastAsia="Times New Roman" w:hAnsi="Times New Roman"/>
          <w:sz w:val="16"/>
          <w:szCs w:val="16"/>
          <w:color w:val="auto"/>
        </w:rPr>
      </w:pPr>
    </w:p>
    <w:p>
      <w:pPr>
        <w:ind w:left="520" w:right="140" w:hanging="3"/>
        <w:spacing w:after="0" w:line="264" w:lineRule="auto"/>
        <w:tabs>
          <w:tab w:leader="none" w:pos="10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fail to fully execute, integrate, or realize the benefits expected from acquisitions, which may require significant management attention, disrupt our business and adversely affect our results of operations.</w:t>
      </w: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technology may cause us to become less competitive.</w:t>
      </w:r>
    </w:p>
    <w:p>
      <w:pPr>
        <w:spacing w:after="0" w:line="18" w:lineRule="exact"/>
        <w:rPr>
          <w:rFonts w:ascii="Times New Roman" w:cs="Times New Roman" w:eastAsia="Times New Roman" w:hAnsi="Times New Roman"/>
          <w:sz w:val="16"/>
          <w:szCs w:val="16"/>
          <w:color w:val="auto"/>
        </w:rPr>
      </w:pPr>
    </w:p>
    <w:p>
      <w:pPr>
        <w:ind w:left="520" w:right="100" w:hanging="3"/>
        <w:spacing w:after="0" w:line="264" w:lineRule="auto"/>
        <w:tabs>
          <w:tab w:leader="none" w:pos="10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rent tools used in the drilling of oil and gas wells. This equipment may subject us to liability, including claims for personal injury, property damage and environmental contamination, or reputational harm if it fails to perform to specifications.</w:t>
      </w:r>
    </w:p>
    <w:p>
      <w:pPr>
        <w:ind w:left="520" w:right="600" w:hanging="3"/>
        <w:spacing w:after="0" w:line="264" w:lineRule="auto"/>
        <w:tabs>
          <w:tab w:leader="none" w:pos="10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operations, and those of our customers, are subject to hazards inherent in the oil and gas industry, which could expose us, and our customers, to substantial liability and cause us to lose substantial revenue.</w:t>
      </w: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Oilfield anti-indemnity provisions enacted by many states may restrict or prohibit a party’s indemnification of us.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ind w:left="520" w:right="220" w:hanging="3"/>
        <w:spacing w:after="0" w:line="269" w:lineRule="auto"/>
        <w:tabs>
          <w:tab w:leader="none" w:pos="102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Restrictive covenants in the Credit Facility Agreement could limit our growth and our ability to finance our operations, fund our capital needs, respond to changing conditions and engage in other business activities that may be in our best interests.</w:t>
      </w:r>
    </w:p>
    <w:p>
      <w:pPr>
        <w:ind w:left="520" w:right="220" w:hanging="3"/>
        <w:spacing w:after="0" w:line="264" w:lineRule="auto"/>
        <w:tabs>
          <w:tab w:leader="none" w:pos="102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Restrictive covenants in the Credit Facility Agreement could limit our growth and our ability to finance our operations, fund our capital needs, respond to changing conditions and engage in other business activities that may be in our best interests.</w:t>
      </w:r>
    </w:p>
    <w:p>
      <w:pPr>
        <w:ind w:left="1020" w:hanging="503"/>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incur indebtedness to execute our long-term growth strategy, which may reduce our profitability.</w:t>
      </w:r>
    </w:p>
    <w:p>
      <w:pPr>
        <w:spacing w:after="0" w:line="18" w:lineRule="exact"/>
        <w:rPr>
          <w:rFonts w:ascii="Times New Roman" w:cs="Times New Roman" w:eastAsia="Times New Roman" w:hAnsi="Times New Roman"/>
          <w:sz w:val="16"/>
          <w:szCs w:val="16"/>
          <w:color w:val="auto"/>
        </w:rPr>
      </w:pPr>
    </w:p>
    <w:p>
      <w:pPr>
        <w:ind w:left="520" w:right="580" w:hanging="3"/>
        <w:spacing w:after="0" w:line="264" w:lineRule="auto"/>
        <w:tabs>
          <w:tab w:leader="none" w:pos="102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regulatory, economic and social disruptions in the countries in which we conduct business could adversely affect our business or results of operations.</w:t>
      </w:r>
    </w:p>
    <w:p>
      <w:pPr>
        <w:ind w:left="1020" w:hanging="503"/>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manage our growth successfully.</w:t>
      </w:r>
    </w:p>
    <w:p>
      <w:pPr>
        <w:spacing w:after="0" w:line="1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of our information technology infrastructure and cyberattacks could adversely impact us.</w:t>
      </w:r>
    </w:p>
    <w:p>
      <w:pPr>
        <w:spacing w:after="0" w:line="1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results of operations and financial condition could be negatively impacted by changes in accounting principles.</w:t>
      </w:r>
    </w:p>
    <w:p>
      <w:pPr>
        <w:spacing w:after="0" w:line="1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and unusual weather conditions may affect our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Summary of Risk Factors Factors Related to Legal and Regulatory Matters</w:t>
      </w:r>
    </w:p>
    <w:p>
      <w:pPr>
        <w:spacing w:after="0" w:line="221" w:lineRule="exact"/>
        <w:rPr>
          <w:sz w:val="20"/>
          <w:szCs w:val="20"/>
          <w:color w:val="auto"/>
        </w:rPr>
      </w:pPr>
    </w:p>
    <w:p>
      <w:pPr>
        <w:ind w:left="520" w:right="300" w:hanging="3"/>
        <w:spacing w:after="0" w:line="269" w:lineRule="auto"/>
        <w:tabs>
          <w:tab w:leader="none" w:pos="102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operations require us to comply with various domestic and international regulations, violations of which could have a material adverse effect on our business, results of operations, financial condition and cash flows.</w:t>
      </w:r>
    </w:p>
    <w:p>
      <w:pPr>
        <w:ind w:left="1020" w:hanging="503"/>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exposed to political, economic and other risks that arise from operating a multinational business.</w:t>
      </w:r>
    </w:p>
    <w:p>
      <w:pPr>
        <w:spacing w:after="0" w:line="1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imposition of new or increased international tariffs may have a material adverse effect on our business, financial condition and results of operations.</w:t>
      </w:r>
    </w:p>
    <w:p>
      <w:pPr>
        <w:spacing w:after="0" w:line="1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environmental laws and regulations may adversely affect our business and results of operations.</w:t>
      </w:r>
    </w:p>
    <w:p>
      <w:pPr>
        <w:spacing w:after="0" w:line="18" w:lineRule="exact"/>
        <w:rPr>
          <w:rFonts w:ascii="Times New Roman" w:cs="Times New Roman" w:eastAsia="Times New Roman" w:hAnsi="Times New Roman"/>
          <w:sz w:val="16"/>
          <w:szCs w:val="16"/>
          <w:color w:val="auto"/>
        </w:rPr>
      </w:pPr>
    </w:p>
    <w:p>
      <w:pPr>
        <w:ind w:left="520" w:right="500" w:hanging="3"/>
        <w:spacing w:after="0" w:line="264" w:lineRule="auto"/>
        <w:tabs>
          <w:tab w:leader="none" w:pos="102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Existing or future laws and regulations related to greenhouse gases and climate change and related public and governmental initiatives and additional compliance obligations could have a material adverse effect on our business, results of operations, prospects, and financial condition.</w:t>
      </w:r>
    </w:p>
    <w:p>
      <w:pPr>
        <w:ind w:left="1020" w:hanging="503"/>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tax laws or tax rates, adverse positions taken by taxing authorities and tax audits could impact our operating results.</w:t>
      </w:r>
    </w:p>
    <w:p>
      <w:pPr>
        <w:spacing w:after="0" w:line="18" w:lineRule="exact"/>
        <w:rPr>
          <w:rFonts w:ascii="Times New Roman" w:cs="Times New Roman" w:eastAsia="Times New Roman" w:hAnsi="Times New Roman"/>
          <w:sz w:val="16"/>
          <w:szCs w:val="16"/>
          <w:color w:val="auto"/>
        </w:rPr>
      </w:pPr>
    </w:p>
    <w:p>
      <w:pPr>
        <w:ind w:left="520" w:right="340" w:hanging="3"/>
        <w:spacing w:after="0" w:line="264" w:lineRule="auto"/>
        <w:tabs>
          <w:tab w:leader="none" w:pos="102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fully protect our intellectual property rights or trade secrets, we may suffer a loss in revenue or any competitive advantage or market share we hold, or we may incur costs in litigation defending intellectual property rights.</w:t>
      </w:r>
    </w:p>
    <w:p>
      <w:pPr>
        <w:ind w:left="520" w:right="120" w:hanging="3"/>
        <w:spacing w:after="0" w:line="276" w:lineRule="auto"/>
        <w:tabs>
          <w:tab w:leader="none" w:pos="102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Summary of Risk Factors Related to Ownership of the Common Stock</w:t>
      </w:r>
    </w:p>
    <w:p>
      <w:pPr>
        <w:spacing w:after="0" w:line="221" w:lineRule="exact"/>
        <w:rPr>
          <w:sz w:val="20"/>
          <w:szCs w:val="20"/>
          <w:color w:val="auto"/>
        </w:rPr>
      </w:pPr>
    </w:p>
    <w:p>
      <w:pPr>
        <w:ind w:left="520" w:right="20" w:hanging="3"/>
        <w:spacing w:after="0" w:line="267" w:lineRule="auto"/>
        <w:tabs>
          <w:tab w:leader="none" w:pos="10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the Common Stock.</w:t>
      </w:r>
    </w:p>
    <w:p>
      <w:pPr>
        <w:spacing w:after="0" w:line="1"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price of the Common Stock may be volatile, which could cause the value of your investment to decline.</w:t>
      </w:r>
    </w:p>
    <w:p>
      <w:pPr>
        <w:spacing w:after="0" w:line="18" w:lineRule="exact"/>
        <w:rPr>
          <w:rFonts w:ascii="Times New Roman" w:cs="Times New Roman" w:eastAsia="Times New Roman" w:hAnsi="Times New Roman"/>
          <w:sz w:val="16"/>
          <w:szCs w:val="16"/>
          <w:color w:val="auto"/>
        </w:rPr>
      </w:pPr>
    </w:p>
    <w:p>
      <w:pPr>
        <w:ind w:left="520" w:right="340" w:hanging="3"/>
        <w:spacing w:after="0" w:line="264" w:lineRule="auto"/>
        <w:tabs>
          <w:tab w:leader="none" w:pos="10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require additional capital to support our operations or the growth of our business, and we cannot be certain that this capital will be available on reasonable terms when required, or at all.</w:t>
      </w:r>
    </w:p>
    <w:p>
      <w:pPr>
        <w:ind w:left="520" w:right="60" w:hanging="3"/>
        <w:spacing w:after="0" w:line="264" w:lineRule="auto"/>
        <w:tabs>
          <w:tab w:leader="none" w:pos="10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public company, we will incur significant increased expenses and administrative burdens which could have an adverse effect on our business, financial condition and operating results.</w:t>
      </w:r>
    </w:p>
    <w:p>
      <w:pPr>
        <w:ind w:left="520" w:right="40" w:hanging="3"/>
        <w:spacing w:after="0" w:line="264" w:lineRule="auto"/>
        <w:tabs>
          <w:tab w:leader="none" w:pos="10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Second Amended and Restated Certificate of Incorporation of DTIC ("Certificate of Incorporation") designates specific courts as the exclusive forum for substantially all stockholder litigation matters, which could limit the ability of our Stockholders to obtain a favorable forum for disputes with us or our directors, officers or employees.</w:t>
      </w:r>
    </w:p>
    <w:p>
      <w:pPr>
        <w:ind w:left="520" w:right="180" w:hanging="3"/>
        <w:spacing w:after="0" w:line="264" w:lineRule="auto"/>
        <w:tabs>
          <w:tab w:leader="none" w:pos="10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 litigation and regulatory inquiries and investigations are expensive and could harm our business, financial condition and operating results and could divert management attention.</w:t>
      </w:r>
    </w:p>
    <w:p>
      <w:pPr>
        <w:ind w:left="1020" w:hanging="503"/>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Past performance by our management team may not be indicative of future performance of an investment in us.</w:t>
      </w:r>
    </w:p>
    <w:p>
      <w:pPr>
        <w:spacing w:after="0" w:line="18" w:lineRule="exact"/>
        <w:rPr>
          <w:rFonts w:ascii="Times New Roman" w:cs="Times New Roman" w:eastAsia="Times New Roman" w:hAnsi="Times New Roman"/>
          <w:sz w:val="16"/>
          <w:szCs w:val="16"/>
          <w:color w:val="auto"/>
        </w:rPr>
      </w:pPr>
    </w:p>
    <w:p>
      <w:pPr>
        <w:ind w:left="520" w:hanging="3"/>
        <w:spacing w:after="0" w:line="264" w:lineRule="auto"/>
        <w:tabs>
          <w:tab w:leader="none" w:pos="10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HHEP-Directional, L.P. and its affiliates, partners, and associated entities (“HHEP”) own a significant equity interest in us and may take actions that conflict with your interests.</w:t>
      </w:r>
    </w:p>
    <w:p>
      <w:pPr>
        <w:ind w:left="520" w:right="60" w:hanging="3"/>
        <w:spacing w:after="0" w:line="264" w:lineRule="auto"/>
        <w:tabs>
          <w:tab w:leader="none" w:pos="10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substantial amounts of Common Stock in the public markets, or the perception that such sales could occur, could reduce the price that the Common Stock might otherwise attain.</w:t>
      </w:r>
    </w:p>
    <w:p>
      <w:pPr>
        <w:ind w:left="520" w:right="220" w:hanging="3"/>
        <w:spacing w:after="0" w:line="264" w:lineRule="auto"/>
        <w:tabs>
          <w:tab w:leader="none" w:pos="10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issue additional shares of Common Stock or other equity securities without your approval, which would dilute your ownership interests and may depress the market price of your shares.</w:t>
      </w:r>
    </w:p>
    <w:p>
      <w:pPr>
        <w:ind w:left="520" w:right="240" w:hanging="3"/>
        <w:spacing w:after="0" w:line="264" w:lineRule="auto"/>
        <w:tabs>
          <w:tab w:leader="none" w:pos="10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access to a significant amount of cash and our management has broad discretion over the use of that cash. Our management may use the cash in ways that our Stockholders may not approve.</w:t>
      </w:r>
    </w:p>
    <w:p>
      <w:pPr>
        <w:ind w:left="520" w:right="280" w:hanging="3"/>
        <w:spacing w:after="0" w:line="288" w:lineRule="auto"/>
        <w:tabs>
          <w:tab w:leader="none" w:pos="10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there are no current plans to pay cash dividends on the Common Stock for the foreseeable future, you may not receive any return on investment unless you sell the Common Stock at a price greater than what you paid for it.</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2" w:right="379" w:bottom="1440" w:gutter="0" w:footer="0" w:header="0"/>
        </w:sectPr>
      </w:pPr>
    </w:p>
    <w:bookmarkStart w:id="13" w:name="page14"/>
    <w:bookmarkEnd w:id="13"/>
    <w:p>
      <w:pPr>
        <w:ind w:left="520" w:right="340" w:hanging="3"/>
        <w:spacing w:after="0" w:line="269" w:lineRule="auto"/>
        <w:tabs>
          <w:tab w:leader="none" w:pos="102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DTIC’s sole material asset is its direct equity interest in DTIH and, accordingly, it is dependent upon distributions from DTIH to pay taxes and cover its corporate and other overhead expenses and pay dividends, if any, on the Common Stock.</w:t>
      </w:r>
    </w:p>
    <w:p>
      <w:pPr>
        <w:ind w:left="520" w:right="140" w:hanging="3"/>
        <w:spacing w:after="0" w:line="264" w:lineRule="auto"/>
        <w:tabs>
          <w:tab w:leader="none" w:pos="102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Capital Market ("Nasdaq") may delist the Common Stock from trading, which could limit investors’ ability to execute transactions in the Common Stock and subject us to additional trading restrictions.</w:t>
      </w:r>
    </w:p>
    <w:p>
      <w:pPr>
        <w:ind w:left="520" w:right="720" w:hanging="3"/>
        <w:spacing w:after="0" w:line="288" w:lineRule="auto"/>
        <w:tabs>
          <w:tab w:leader="none" w:pos="102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securities or industry analysts do not publish or cease publishing research or reports about us, our business or our market, or if they change their recommendations regarding the Common Stock adversely, the price and trading volume of the Common Stock could decline.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and services depends on oil and gas industry activity and customer expenditure levels, which are directly affected by trends in the demand for, and price of, crude oil and natural gas as well as the availability of capital.</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Demand for our products and services depends primarily upon the general level of activity in the oil and gas industry, including the number of drilling rigs in operation, the number of oil and gas wells being drilled, the depth and drilling conditions of these wells, the volume of production, the number of well completions and the cumulative feet drilled, the level of well remediation activity, and the corresponding capital spending by oil and gas companies. Oil and gas activity is in turn heavily influenced by, among other factors, current and anticipated oil and natural gas prices locally and worldwide. Historically, such prices have been volatile, and declines, whether actual or anticipated, thereof could negatively affect the level of oil and gas activity and related capital spending. Decreases in oil and gas activity and related capital spending could, in turn, adversely affect demand for our products and services and, in certain instances, result in the cancellation, modification or curtailing of demand for our services and the ability of our customers to pay us for our products and services. These factors could have an adverse effect on our business, results of operations, financial condition and cash flows.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prices of oil and natural gas include, but are not limited to, the following:</w:t>
      </w:r>
    </w:p>
    <w:p>
      <w:pPr>
        <w:spacing w:after="0" w:line="117" w:lineRule="exact"/>
        <w:rPr>
          <w:sz w:val="20"/>
          <w:szCs w:val="20"/>
          <w:color w:val="auto"/>
        </w:rPr>
      </w:pPr>
    </w:p>
    <w:p>
      <w:pPr>
        <w:ind w:left="520" w:right="820" w:hanging="15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hydrocarbons, which is affected by worldwide population growth, economic growth rates and general economic and business conditions;</w:t>
      </w:r>
    </w:p>
    <w:p>
      <w:pPr>
        <w:spacing w:after="0" w:line="53" w:lineRule="exact"/>
        <w:rPr>
          <w:rFonts w:ascii="Times New Roman" w:cs="Times New Roman" w:eastAsia="Times New Roman" w:hAnsi="Times New Roman"/>
          <w:sz w:val="18"/>
          <w:szCs w:val="18"/>
          <w:color w:val="auto"/>
        </w:rPr>
      </w:pPr>
    </w:p>
    <w:p>
      <w:pPr>
        <w:ind w:left="520" w:hanging="15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excess production capacity within the Organization of Petroleum Exporting Countries (“OPEC”) and the level of oil and gas production by non-OPEC countries;</w:t>
      </w:r>
    </w:p>
    <w:p>
      <w:pPr>
        <w:spacing w:after="0" w:line="53"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gas inventory levels, production capacity and investment levels;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development of shale plays which may influence worldwide supply;</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differentials associated with reduced capacity in and out of the storage hub in Cushing, Oklahoma;</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exploring for, producing and delivering oil and natural gas;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uncertainty and geopolitical unrest;</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refining activity and shifts in end-customer preferences toward fuel efficiency and increased transition to electric vehicles;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conservation measures and technological advances affecting energy consumption;</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initiatives to address greenhouse gas emissions and climate change, including incentives to promote alternative energy sources;</w:t>
      </w:r>
    </w:p>
    <w:p>
      <w:pPr>
        <w:spacing w:after="0" w:line="117" w:lineRule="exact"/>
        <w:rPr>
          <w:rFonts w:ascii="Times New Roman" w:cs="Times New Roman" w:eastAsia="Times New Roman" w:hAnsi="Times New Roman"/>
          <w:sz w:val="18"/>
          <w:szCs w:val="18"/>
          <w:color w:val="auto"/>
        </w:rPr>
      </w:pPr>
    </w:p>
    <w:p>
      <w:pPr>
        <w:ind w:left="520" w:right="280" w:hanging="15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acceleration of the commercial development of alternative energy sources and adjacent products, such as wind, solar, geothermal, tidal, fuel cells and biofuels;</w:t>
      </w:r>
    </w:p>
    <w:p>
      <w:pPr>
        <w:spacing w:after="0" w:line="53" w:lineRule="exact"/>
        <w:rPr>
          <w:rFonts w:ascii="Times New Roman" w:cs="Times New Roman" w:eastAsia="Times New Roman" w:hAnsi="Times New Roman"/>
          <w:sz w:val="18"/>
          <w:szCs w:val="18"/>
          <w:color w:val="auto"/>
        </w:rPr>
      </w:pPr>
    </w:p>
    <w:p>
      <w:pPr>
        <w:ind w:left="520" w:right="260" w:hanging="15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and credit markets and investors’ focus on shareholder returns, which may affect our customers’ activity levels and spending for our products and services;</w:t>
      </w:r>
    </w:p>
    <w:p>
      <w:pPr>
        <w:spacing w:after="0" w:line="53"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related to hydraulic fracturing activities, saltwater disposal or oil and gas drilling, particularly on public properties;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14" w:name="page15"/>
    <w:bookmarkEnd w:id="14"/>
    <w:p>
      <w:pPr>
        <w:spacing w:after="0" w:line="86" w:lineRule="exact"/>
        <w:rPr>
          <w:sz w:val="20"/>
          <w:szCs w:val="20"/>
          <w:color w:val="auto"/>
        </w:rPr>
      </w:pPr>
    </w:p>
    <w:p>
      <w:pPr>
        <w:ind w:left="520" w:right="160" w:hanging="15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laws and regulations, including those relating to the use of coal in power plants, as such laws and regulations can impact the demand for natural gas;</w:t>
      </w:r>
    </w:p>
    <w:p>
      <w:pPr>
        <w:spacing w:after="0" w:line="53"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changes in weather patterns and natural disasters, including those related to climate change;</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disruptions in key oil producing regions;</w:t>
      </w:r>
    </w:p>
    <w:p>
      <w:pPr>
        <w:spacing w:after="0" w:line="117" w:lineRule="exact"/>
        <w:rPr>
          <w:rFonts w:ascii="Times New Roman" w:cs="Times New Roman" w:eastAsia="Times New Roman" w:hAnsi="Times New Roman"/>
          <w:sz w:val="18"/>
          <w:szCs w:val="18"/>
          <w:color w:val="auto"/>
        </w:rPr>
      </w:pPr>
    </w:p>
    <w:p>
      <w:pPr>
        <w:ind w:left="520" w:right="240" w:hanging="15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and armed conflicts, including the current conflict between Russia-Ukraine and Israel-Hamas, which could cause temporary price increases, thereby dampening demand; and</w:t>
      </w:r>
    </w:p>
    <w:p>
      <w:pPr>
        <w:spacing w:after="0" w:line="53"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pandemics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oil and gas industry is cyclical and has historically experienced periodic downturns. These downturns have been characterized by diminished demand for our products and services and downward pressure on the prices we charge. These downturns generally cause many E&amp;P companies to reduce their capital budgets and drilling activity. Any future downturn or expected downturn could result in a significant decline in demand for OFS and adversely affect our business, results of operations and cash flows.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Customer expenditure levels could also drop if our customers face difficulty in accessing capital. If commodity prices drop, our customers may face liquidity constraints and the deterioration of their respective credit worthiness. Moreover, our customers may have limited viable financing alternatives in light of unfavorable lending and investment policies held by financial institutions associated with concerns about environmental impacts of the oil and gas industry or its products. Similarly, certain institutional investors have divested themselves of investments in this industry. If any of our customers experience any of these challenges, they may reduce spending, which could adversely affect our business, results of operations and cash flows.</w:t>
      </w:r>
    </w:p>
    <w:p>
      <w:pPr>
        <w:spacing w:after="0" w:line="28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Growth in U.S. drilling activity, and our ability to benefit from such growth, could be adversely affected by any significant constraints in equipment, labor or takeaway capacity in the regions in which we operate.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Growth in U.S. drilling activity may be impacted by, among other things, the availability and cost of drilling equipment, pipeline capacity, and material and labor shortages. Significant growth in drilling activity could strain availability of the equipment, materials and labor required to drill and complete a well, together with the ability to move the produced oil and natural gas to market. Should significant constraints develop that materially impact the efficiency and economics of oil and gas producers, growth in U.S. drilling activity could be adversely affected. This would have an adverse impact on the demand for the products we sell and rent, which could have a material adverse effect on our business, results of operations and cash flows.</w:t>
      </w:r>
    </w:p>
    <w:p>
      <w:pPr>
        <w:spacing w:after="0" w:line="28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relatively small number of customers in a single industry. The loss of an important customer could adversely affect our business, results of operations and financial condition.</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customers are primarily diversified OFS companies and E&amp;P operators. Historically, we have been dependent on a relatively small number of customers for our revenues. During the years ended December 31, 2024 and 2023, 28% and 39%, respectively, of our total revenue was earned from our two largest customers. Our business, results of operations and financial condition could be materially adversely affected if an important customer ceases to engage us for our services on favorable terms, or at all, or fails to pay or delays paying us significant amounts of our outstanding receivables.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operated under a first call supply agreement with one of our largest customer since 2013. We and this customer have agreed to multiple extensions of this agreement, the most recent of which extends the agreement until June 29, 2025. However, if we are unable to successfully negotiate extensions in the future, then our ability to do business with this customer may be greatly reduced. Moreover, the supply agreements that we have entered into with our other customers are also of limited duration and require periodic extensions. Similarly, a failure to agree to such extensions may hinder our ability to do business with these customers.</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Additionally, the E&amp;P industry is characterized by frequent consolidation activity. Changes in ownership of our customers may result in the loss of, or reduction in, business from those customers. Moreover, customers may use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their size and purchasing power to seek economies of scale and pricing concessions. Consolidation may also result in reduced capital spending by some of our customers, which may lead to a decreased demand for our services and equipment. We cannot assure you that we will be able to maintain our level of sales to a customer that has consolidated or replace that revenue with increased business activity with other customers. As a result, the acquisition of one or more of our primary customers may have a significant negative impact on our business, results of operations, financial condition or cash flows. We are unable to predict what effect consolidations in the industry may have on price, capital spending by our customers, our market share and selling strategies, our competitive position, our ability to retain customers or our ability to negotiate favorable agreements with our customers.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employ a sufficient number of skilled and qualified workers to sustain or expand our current operations.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delivery of our products and services requires personnel with specialized skills and experience. Our ability to be productive and profitable will depend upon our ability to attract and retain skilled workers. In addition, our ability to expand our operations depends in part on our ability to increase the size of our skilled labor force. The demand for skilled workers is high, and the cost to attract and retain qualified personnel has increased. During industry downturns, skilled workers may leave the industry, reducing the availability of qualified workers when conditions improve. In addition, a significant increase in the wages paid by competing employers both within and outside of our industry could result in increases in the wage rates that we must pay. Throughout 2022 and 2023, our expenses related to salaries and wages increased materially, especially those expenses related to certain key oil and gas producing regions, as we sought to meet increasing customer demand. During the year ended December 31, 2024, we experienced similar increases. If we are not able to employ and retain skilled workers, our ability to respond quickly to customer demands or strong market conditions may inhibit our growth, which could have a material adverse effect on our business, results of operations and cash flows.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continuing services of certain of our key managers and employees.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depend on key personnel. The loss of key personnel could adversely impact our business if we are unable to implement our strategy and successfully manage our business in their absence. The loss of qualified employees or an inability to retain and motivate additional highly-skilled employees required for the operation and expansion of our business could hinder our ability to successfully maintain and expand our market share.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Equity interests in us are a substantial portion of the net worth of our executive officers and several of our other senior managers. As a result, those executive officers and senior managers may have less incentive to remain employed by us if they were to sell their equity interests. After terminating their employment with us, some of them may become employed by our competitors.</w:t>
      </w:r>
    </w:p>
    <w:p>
      <w:pPr>
        <w:spacing w:after="0" w:line="280"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as such are subject to various risks unique only to emerging growth companies and smaller reporting companies, including but not limited to, no requirement to provide an assessment of the effectiveness of internal controls over financial reporting.</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Out Business Startups Act of 2012 ("JOBS Act"). We will remain an emerging growth company until the earlier of (i) December 31, 2026, the last day of the fiscal year following the fifth anniversary of the date of the ROC initial public offering; (ii) the last day of the fiscal year in which we have total annual gross revenues of $1.235 billion or more; (iii) the date on which we have issued more than $1.0 billion in nonconvertible debt during the previous three years; or (iv) the date on which we are deemed to be a large accelerated filer under applicable Securities and Exchange Commission ("SEC") rules.</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expect that we will remain an emerging growth company for the foreseeable future but cannot retain our emerging growth company status indefinitely and will no longer qualify as an emerging growth company on or before December 31, 2026. References herein to “emerging growth company” have the meaning associated with it in the JOBS Act.</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1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specified disclosure requirements that are applicable to other public companies that are not emerging growth companies. These exemptions include:</w:t>
      </w:r>
    </w:p>
    <w:p>
      <w:pPr>
        <w:spacing w:after="0" w:line="67" w:lineRule="exact"/>
        <w:rPr>
          <w:sz w:val="20"/>
          <w:szCs w:val="20"/>
          <w:color w:val="auto"/>
        </w:rPr>
      </w:pPr>
    </w:p>
    <w:p>
      <w:pPr>
        <w:ind w:left="520" w:right="240" w:hanging="15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53"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requirement of auditor attestation of our internal controls over financial reporting;</w:t>
      </w:r>
    </w:p>
    <w:p>
      <w:pPr>
        <w:spacing w:after="0" w:line="117" w:lineRule="exact"/>
        <w:rPr>
          <w:rFonts w:ascii="Times New Roman" w:cs="Times New Roman" w:eastAsia="Times New Roman" w:hAnsi="Times New Roman"/>
          <w:sz w:val="18"/>
          <w:szCs w:val="18"/>
          <w:color w:val="auto"/>
        </w:rPr>
      </w:pPr>
    </w:p>
    <w:p>
      <w:pPr>
        <w:ind w:left="520" w:right="40" w:hanging="152"/>
        <w:spacing w:after="0" w:line="312" w:lineRule="auto"/>
        <w:tabs>
          <w:tab w:leader="none" w:pos="5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comply with any requirement that may be adopted by the Public Company Accounting Oversight Board ("PCAOB") regarding mandatory audit firm rotation or a supplement to the auditor’s report providing additional information about the audit and the financial statements;</w:t>
      </w:r>
    </w:p>
    <w:p>
      <w:pPr>
        <w:spacing w:after="0" w:line="31" w:lineRule="exact"/>
        <w:rPr>
          <w:rFonts w:ascii="Times New Roman" w:cs="Times New Roman" w:eastAsia="Times New Roman" w:hAnsi="Times New Roman"/>
          <w:sz w:val="17"/>
          <w:szCs w:val="17"/>
          <w:color w:val="auto"/>
        </w:rPr>
      </w:pPr>
    </w:p>
    <w:p>
      <w:pPr>
        <w:ind w:left="520" w:hanging="15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520" w:right="180" w:hanging="15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 nonbinding advisory vote on executive compensation and shareholder approval of any golden parachute payments not previously approved.</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Additionally, as an emerging growth company and smaller reporting company our status as such carries various unique risks such as the risk that our financial statements may not be comparable to those of other public companies, and the risk that we will not be required to provide an assessment of the effectiveness of our internal controls over financial reporting until our second annual report following our initial public offering.</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we expect that we will take advantage of the reduced disclosure obligations available to us as a result of that classification. We have taken advantage of certain of those reduced reporting burdens in these financial statements. Accordingly, the information contained herein may be different than the information you receive from other public companies in which you hold stock.</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 emerging growth company can take advantage of the extended transition period provided in Section 7(a)(2)(B) of the Securities Act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will not be required to adopt new or revised accounting standards on the dates on which adoption of such standards is required for other public reporting companies.</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also a “smaller reporting company” as defined in Rule 12b-2 of the Exchange Act, and have elected to take advantage of certain of the scaled disclosure available for smaller reporting companies.</w:t>
      </w:r>
    </w:p>
    <w:p>
      <w:pPr>
        <w:spacing w:after="0" w:line="26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lack of availability of the tools we purchase to rent to our customers and inflation may increase our cost of operations beyond what we can recover through price increases.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source tools, such as drill collars, stabilizers, crossover subs, wellbore conditioning tools, drill pipe, hevi-wave drill pipe and tubing, at reasonable cost is critical to our ability to successfully compete. Due to a shortage of steel caused primarily by production disruptions during the COVID-19 pandemic and increased demand as economies rebounded, steel and assembled component prices have been and continue to be elevated. Our business and results of operations may be adversely affected by our inability to manage rising costs and the availability of the tools that we rent to our customers. Additionally, freight costs, specifically ocean freight costs, have risen significantly due to a number of factors including, but not limited to, a scarcity of shipping containers, congested seaports, a shortage of commercial drivers, capacity constraints on vessels or lockdowns in certain markets. We cannot assure you that we will be able to continue to purchase and move these tools on a timely basis or at commercially viable prices, nor can we be certain of the impact of changes to tariffs and future legislation that may impact trade with China or other countries. Should our current suppliers be unable to provide the necessary tools or otherwise fail to deliver such tools timely and in the quantities required, resulting delays in the provision of rentals to our customers could have a material adverse effect on our business, results of operations and cash flows.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United States has recently experienced the highest inflation in decades primarily due to supply-chain issues, a shortage of labor and a build-up of demand for goods and services. The most noticeable adverse impact to our business has been increased freight, materials and vehicle-related costs as well as higher salaries and wages. To date, we do not believe that inflation has had a material impact on our financial condition or results of operations because we have been able to increase the prices we receive from our customers. We cannot be sure how long elevated inflation rates will continue. We cannot be confident that all costs will return to the lower levels experienced in prior years even as the rate of inflation abates. Our business and results of operations may be adversely affected by these rising costs to the extent we are unable to recoup them from our customers.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Delays in obtaining, or inability to obtain or renew, permits or authorizations by our customers for their operations could impair our business.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customers are required to obtain permits or authorizations from one or more governmental agencies or other third parties to perform drilling and completion activities, including hydraulic fracturing. Such permits or approvals are typically required by state agencies but can also be required by federal and local governmental agencies or other third parties. The requirements for such permits or authorizations vary depending on the location where such drilling and completion activities will be conducted. As with most permitting and authorization processes, there is a degree of uncertainty as to whether a permit will be granted, the time it will take for a permit or approval to be issued and the conditions which may be imposed in connection with the granting of the permit. In some jurisdictions, certain regulatory authorities have delayed or suspended the issuance of permits or authorizations while the potential environmental impacts associated with issuing such permits can be studied and appropriate mitigation measures evaluated.</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Texas, many rural water districts impose restrictions on water use and may require permits for water used in drilling and completion activities. In addition, in early January 2025, President Biden issued executive actions indefinitely banning new offshore oil and gas drilling across more than 625 million acres of federal waters, including the entire Atlantic and Pacific coastlines, the eastern Gulf of Mexico, and parts of Alaska's Northern Bering Sea. Upon taking office later in January 2025, President Trump signed executive orders reversing these bans. In February 2025, environmental groups filed lawsuits aiming to reinstate Biden’s bans on new offshore oil and gas drilling. Currently, the Trump administration's reversal of the offshore drilling ban is in effect, but the outcome of the pending legal challenges could impact future policy and enforcement.</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November 2021, the Department of the Interior completed its review and issued a report on the federal oil and gas leasing program. The Department of the Interior’s report recommends several changes to federal leasing practices, including changes to royalty payments, bidding and bonding requirements. The effects of this report or other initiatives to reform the federal leasing process could result in additional restrictions or limitations on the issuance of federal leases and permits for drilling on public lands. Permitting, authorization or renewal delays, the inability to obtain new permits or the revocation of current permits could impact our customers’ operations and cause a loss of revenue and potentially have a materially adverse effect on our business, results of operations and cash flows.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January 2024, the Biden administration announced a temporary halt on liquified natural gas exports to countries without free trade agreements with the United States. This pause was enjoined in July 2024, and in January 2025, President Trump issued an executive order to roll back this policy. President Trump issued several other executive orders in January 2025 with a stated aim toward increasing oil and gas development within the United States, with anticipated future regulatory activity including opening federal lands to oil and gas leasing (with particular focus on resources in Alaska) and expediting permitting for oil and gas projects in the United States. While certain of the Trump administration’s actions in early 2025 indicate a clear regulatory shift in favor of oil and gas production in the United States, significant additional regulatory action is required to enact these changes. Additionally, such regulatory actions may be challenged, which could result in implementation delays or a need to take further regulatory action. Additionally, even if these regulatory actions are successful, individual permitting and leasing actions may be challenged, creating additional uncertainty.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within the oil and gas drilling tool rental industry may adversely affect our ability to market our services.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oil and gas drilling tool rental tool industry is highly competitive and fragmented. The number of rental tool companies active in a given market may exceed the corresponding demand therefor, which could result in active price competition. Some oil and gas drilling companies prioritize rental prices when choosing to contract with a rental tool company, which may further increase competition based primarily on price. In addition, adverse market conditions lower demand for drilling equipment, which results in excess equipment and lower utilization rates. If market conditions in our operating areas deteriorate from current levels or if adverse market conditions persist, the prices we are able to charge and utilization rates may decline. Moreover, our customers may choose to purchase some or all of the tools that they typically rent from us, thereby reducing the volume of business that we conduct with such customers. Any significant future increase in overall market capacity for the rental equipment or services that we offer could adversely affect our business, results of operations and cash flows.</w:t>
      </w:r>
    </w:p>
    <w:p>
      <w:pPr>
        <w:spacing w:after="0" w:line="29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fully execute, integrate, or realize the benefits expected from acquisitions, which may require significant management attention, disrupt our business and adversely affect our results of operations.</w:t>
      </w:r>
    </w:p>
    <w:p>
      <w:pPr>
        <w:spacing w:after="0" w:line="51"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As part of our business strategy and to remain competitive, we continually evaluate acquiring or making investments in complementary companies, products or technologies. We may not be able to find suitable acquisition candidates or complete such acquisitions on favorable terms. We may incur significant expenses, divert employee and management time and attention from other business-related tasks and our organic strategy and incur other unanticipated complications while engaging with potential target companies where no transaction is eventually completed.</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we do complete acquisitions, we may not ultimately strengthen our competitive position or achieve our goals or expected growth, and any acquisitions we complete could be viewed negatively by our customers, or we could experience unexpected competition from market participants. Any integration process may require significant time and resources. We may not be able to manage the process successfully and may experience a decline in our profitability as we incur expenses prior to fully realizing the benefits of the acquisition. We could also expend significant cash and incur acquisition related costs and other unanticipated liabilities associated with the acquisition, the product or the technology, such as contractual obligations, potential security vulnerabilities of the acquired company and its products and services and potential intellectual property infringement. In addition, any acquired technology or product may not comply with legal or regulatory requirements and may expose us to regulatory risk and require us to make additional investments to make them compliant.</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not successfully evaluate or utilize the acquired technology or personnel, or accurately forecast the financial impact of an acquisition transaction, including accounting charges and tax liabilities. We could become subject to legal claims following an acquisition or fail to accurately forecast the potential impact of any claims. Any of these issues could have a material adverse impact on our business and results of operations.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technology may cause us to become less competitive.</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New technology that enhances the functionality, performance reliability and design of downhole drilling tools currently on the market may become prevalent in the OFS industry. We may face difficulty obtaining these new tools for the purpose of renting them to our customers. Although we believe our fleet of rental equipment currently gives us a competitive advantage, if competitors develop fleets that are more technically advanced than ours, we may lose market share or be placed at a competitive disadvantage. Further, we may face competitive pressure to acquire certain new tools at a substantial cost. Some of our competitors have greater financial, technical and personnel resources that may allow them to enjoy various competitive advantages in the acquisition of new tools. We cannot be certain that we will be able to continue to acquire new tools or convert our existing tools to meet new performance requirements. Such an inability may have a material adverse effect on our business, results of operations and cash flows, including a reduction in the value of assets, and the rates that may be charged for their rental.</w:t>
      </w:r>
    </w:p>
    <w:p>
      <w:pPr>
        <w:spacing w:after="0" w:line="29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rent tools used in the drilling of oil and gas wells. This equipment may subject us to liability, including claims for personal injury, property damage and environmental contamination, or reputational harm if it fails to perform to specifications.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rent tools used in oil and gas exploration, development and production. Some of these tools are designed to operate in high-temperature and/or high-pressure environments, and some tools are designed for use in hydraulic fracturing operations. Because of applications to which our tools are exposed, particularly those involving high pressure environments, a failure of such tools, or a failure of our customers to maintain or operate the tools properly, could cause damage to the tools, damage to the property of customers and others, personal injury and environmental contamination and could lead to a variety of claims against us or reputational harm that could have an adverse effect on our business, results of operations and cash flows.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indemnify our customers against certain claims and liabilities resulting or arising from our provision of goods or services to them. In addition, we rely on customer indemnifications, generally, and third-party insurance as part of our risk mitigation strategy. However, our insurance may not be adequate to cover our liabilities. In addition, our customers may be unable to satisfy indemnification claims against them. Further, insurance companies may refuse to honor their policies, or insurance may not generally be available in the future, or if available, premiums may not be commercially justifiable. We could incur substantial liabilities and damages that are either not covered by insurance or that are in excess of policy limits, or incur liability at a time when we are not able to obtain liability insurance. Such potential liabilities could have a material adverse effect on our business, results of operations and cash flows.</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those of our customers, are subject to hazards inherent in the oil and gas industry, which could expose us, and our customers, to substantial liability and cause us to lose substantial revenue.</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Risks inherent in our industry include the risks of equipment defects, installation errors, the presence of multiple contractors at the wellsite over which we have no control, vehicle accidents, fires, explosions, blowouts, surface cratering, uncontrollable flows of gas or well fluids, pipe or pipeline failures, abnormally pressured formations and various environmental hazards such as oil spills and releases of, and exposure to, hazardous substances. For example, our operations are subject to risks associated with hydraulic fracturing, including any mishandling, surface spillage or potential underground migration of fracturing fluids, including chemical additives. Both we and our customers are subject to these risks.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occurrence of any of these events could result in substantial losses to us or to our customers due to injury or loss of life, severe damage to or destruction of property, natural resources and equipment, pollution or other environmental damage, clean-up responsibilities, regulatory investigations and penalties, suspension of operations and repairs required to resume operations. The cost of managing such risks may be significant. The frequency and severity of such incidents will affect operating costs, insurability and relationships with customers, employees and regulators.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Should these risks materialize for us, our customers may elect not to rent our tools or utilize our services if they view our environmental or safety record as unacceptable, which could cause us to lose customers and substantial revenues. Should these risks materialize for our customers, they may also suffer similar negative consequences with respect to their own customers and clients. If this were to happen, our customers may no longer be in a position to do business with us, thereby adversely affecting our business, results of operations and cash flows.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insurance may not be adequate to cover all losses or liabilities we may suffer. Also, insurance may no longer be available to us, or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to conduct normal business operations and on our business, results of operations, financial condition and cash flows. In addition, we may not be able to secure additional insurance or bonding that might be required by new governmental regulations. This may cause us to restrict our operations, which might severely impact our business, results of operations and cash flows.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Oilfield anti-indemnity provisions enacted by many states may restrict or prohibit a party’s indemnification of us.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typically enter into agreements with our customers governing the provision of our services, which usually include certain indemnification provisions for losses resulting from operations. Such agreements may require each party to indemnify the other against certain claims regardless of the negligence or other fault of the indemnified party. However, many states place limitations on contractual indemnity agreements, particularly agreements that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8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indemnify a party against the consequences of its own negligence. Furthermore, certain states, including Louisiana, New Mexico, Texas and Wyoming, have enacted statutes generally referred to as “oilfield anti-indemnity acts” expressly prohibiting certain indemnity agreements contained in or related to OFS agreements. Such oilfield anti-indemnity acts may restrict or void a party’s indemnification of us, which could have a material adverse effect on our business, results of operations and cash flows.</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in the Credit Facility Agreement could limit our growth and our ability to finance our operations, fund our capital needs, respond to changing conditions and engage in other business activities that may be in our best interests.</w:t>
      </w:r>
    </w:p>
    <w:p>
      <w:pPr>
        <w:spacing w:after="0" w:line="5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Amended and Restated Revolving Credit, Security and Guaranty Agreement among Drilling Tools International, Inc., certain of its subsidiaries, DTIC and PNC Bank, National Association, dated March 15, 2024 (“Credit Facility Agreement”) imposes operating and financial restrictions. These restrictions limit our ability to, among other things, subject to permitted exceptions:</w:t>
      </w:r>
    </w:p>
    <w:p>
      <w:pPr>
        <w:spacing w:after="0" w:line="68" w:lineRule="exact"/>
        <w:rPr>
          <w:sz w:val="20"/>
          <w:szCs w:val="20"/>
          <w:color w:val="auto"/>
        </w:rPr>
      </w:pPr>
    </w:p>
    <w:p>
      <w:pPr>
        <w:ind w:left="520" w:hanging="15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loans;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mergers and similar fundamental changes;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and pay dividends and distributions; and</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contained in the Credit Facility Agreement could:</w:t>
      </w:r>
    </w:p>
    <w:p>
      <w:pPr>
        <w:spacing w:after="0" w:line="117"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to plan for, or react to, market conditions, to meet capital needs or otherwise to restrict our activities or business plan;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ability to finance our operations or to engage in other business activities that would be in our interest.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Credit Facility Agreement requires compliance with a specified financial ratio. The ability to comply with this ratio may be affected by events beyond our control and, as a result, this ratio may not be met in circumstances when it is tested. This financial ratio restriction could limit the ability to obtain future financings, make needed capital expenditures, withstand a continued downturn in our business or a downturn in the economy in general or otherwise conduct necessary corporate activities. Declines in oil and natural gas prices, and therefore a reduction in our customers’ activity, could result in failure to meet one or more of the covenants under the Credit Facility Agreement which could require refinancing or amendment of such obligations resulting in the payment of consent fees or higher interest rates, or require a capital raise at an inopportune time or on terms not favorable.</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breach of any of these covenants or the inability to comply with the required financial ratios or financial condition tests could result in a default under the Credit Facility Agreement. A default under the Credit Facility Agreement, if not cured or waived, could result in acceleration of all indebtedness outstanding thereunder.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indebtedness to execute our long-term growth strategy, which may reduce our profitability.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Maintaining a relevant rental fleet requires significant capital. We may require additional capital in the future to maintain and refresh our fleet. For the years ended December 31, 2024 and 2023, we spent $23 million, and $44 million, respectively, to purchase property, plant and equipment. Historically, we have financed these investments through cash flows from operations and external borrowings. These sources of capital may not be available to us in the future. If we are unable to fund capital expenditures for any reason, we may not be able to capture available growth opportunities or effectively maintain our existing assets and any such failure could have a material adverse effect on our business, results of operations and financial condition. If we incur additional indebtedness, our profitability may be reduced.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3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regulatory, economic and social disruptions in the countries in which we conduct business could adversely affect our business or results of operations.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our facilities in the United States, we operate stocking points in Scotland and Germany and facilities in Canada and the United Arab Emirates. Instability and unforeseen changes in any of the markets in which we conduct business could have an adverse effect on the demand for, or supply of, the products that we rent and the services that we provide, which in turn could have an adverse effect on our business, results of operations and cash flows. These factors include, but are not limited to:</w:t>
      </w:r>
    </w:p>
    <w:p>
      <w:pPr>
        <w:spacing w:after="0" w:line="72" w:lineRule="exact"/>
        <w:rPr>
          <w:sz w:val="20"/>
          <w:szCs w:val="20"/>
          <w:color w:val="auto"/>
        </w:rPr>
      </w:pPr>
    </w:p>
    <w:p>
      <w:pPr>
        <w:ind w:left="520" w:hanging="15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nationalization and expropriation;</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burdensome taxation;</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and recessionary markets, including capital and equity markets;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labor issues, political instability, natural disasters, terrorist attacks, cyber-terrorism, military activity and wars;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 of pandemic or contagious diseases;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disruptions in key oil producing countries;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restrictions, trade protection measures or price controls;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ownership restrictions;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operations, trade practices, trade partners and investment decisions resulting from domestic and foreign laws and regulations;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laws and regulations;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repatriate income or capital;</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availability of qualified personnel;</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implementation of new technologies;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or currency restrictions; and</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interest rate component of forward foreign currency rates.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successfully.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growth of our operations will depend upon our ability to expand our customer base in our existing markets and to enter new markets in a timely manner at reasonable costs, organically or through acquisitions. In order for us to recover expenses incurred in entering new markets and obtaining new customers, we must attract and retain customers on economic terms and for extended periods. Customer growth depends on several factors outside of our control, including economic and demographic conditions, such as population changes, job and income growth, housing starts, new business formation and the overall level of economic activity. We may experience difficulty managing our growth, integrating new customers and employees, and complying with applicable regulations. Expanding our operations also may require continued development of our operating and financial controls and may place additional stress on our management and operational resources. We may be unable to manage our growth and development successfully.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of our information technology infrastructure and cyberattacks could adversely impact us.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depend on our IT systems, in particular COMPASS, for the efficient operation of our business. Accordingly, we rely upon the capacity, reliability and security of our IT hardware and software infrastructure and our ability to expand and update this infrastructure in response to our changing needs. Despite our implementation of security measures, our systems are vulnerable to damage from computer viruses, natural disasters, incursions by intruders or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xxi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 w:name="page23"/>
    <w:bookmarkEnd w:id="22"/>
    <w:p>
      <w:pPr>
        <w:spacing w:after="0" w:line="8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hackers, failures in hardware or software, power fluctuations, cyber terrorists and other similar disruptions. Moreover, we cannot guarantee that COMPASS, or features thereof, are not the protected intellectual property of third parties. If this is the case, these third parties may seek to protect their respective intellectual property rights, thereby hindering, or completely eliminating, our ability to use COMPASS and leverage its benefits.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we rely on third parties to support the operation of our IT hardware and software infrastructure, and in certain instances, utilize web-based applications. We also provide proprietary and client data to certain third parties, and such third parties may be the subject of IT failures or cyberattacks. The failure of our IT systems or those of our vendors or third parties to whom we disclose certain information to perform as anticipated for any reason or any significant breach of security could disrupt our business and result in numerous adverse consequences, including reduced effectiveness and efficiency of operations, inappropriate disclosure of confidential and proprietary information, reputational harm, increased overhead costs and loss of important information, which could have a material adverse effect on our business and results of operations. In addition, we may be required to incur significant costs to protect against damage caused by these disruptions or security breaches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could be negatively impacted by changes in accounting principles.</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Adoption of a change in accounting principles or interpretations could have a significant effect on our reported results of operations and could affect the reporting of transactions completed before the adoption of such change. It is difficult to predict the impact of future changes to accounting principles and accounting policies over financial reporting, any of which could adversely affect our results of operations and financial condition and could require significant investment in systems and personnel.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and unusual weather conditions may affect our operations.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operations may be materially affected by severe weather conditions in areas where we operate. Severe weather, such as hurricanes, high winds and seas, blizzards and extreme temperatures may cause evacuation of personnel, curtailment of services and suspension of operations, inability to deliver tools to customers in accordance with contract schedules and loss of or damage to our tools and facilities. In addition, variations from normal weather patterns can have a significant impact on demand for oil and natural gas, thereby reducing demand for our tools and services.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require us to comply with various domestic and international regulations, violations of which could have a material adverse effect on our business, results of operations, financial condition and cash flows.</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exposed to a variety of federal, state, local and international laws and regulations relating to matters such as environmental, workplace, health and safety, labor and employment, customs and tariffs, export and re-export controls, economic sanctions, currency exchange, bribery and corruption and taxation. These laws and regulations are complex, frequently change and have tended to become more stringent over time. They may be adopted, enacted, amended, enforced or interpreted in such a manner that the incremental cost of compliance could adversely impact our business, results of operations and cash flows.</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to our U.S. operations, we operate stocking points in the throughout the world, including Europe, the Middle East, and Asia-Pacific. Our operations outside of the United States require us to comply with numerous anti-bribery and anti-corruption regulations. The U.S. Foreign Corrupt Practices Act, among others, applies to us and our operations. Our policies, procedures and programs may not always protect us from reckless or criminal acts committed by our employees or agents, and severe criminal or civil sanctions may be imposed as a result of violations of these laws. We are also subject to the risks that our employees and agents outside of the United States may fail to comply with applicable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we purchase tools for use in the United States and all over the world. Most movement of these tools involves imports and exports. As a result, compliance with multiple trade sanctions, embargoes and import/export laws and regulations pose a constant challenge and risk to us since a portion of our business is conducted outside of the United States through our subsidiaries. Our failure to comply with these laws and regulations could materially affect our business,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political, economic and other risks that arise from operating a multinational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are subject to a number of potential risks. Such risks principally include:</w:t>
      </w:r>
    </w:p>
    <w:p>
      <w:pPr>
        <w:spacing w:after="0" w:line="117" w:lineRule="exact"/>
        <w:rPr>
          <w:sz w:val="20"/>
          <w:szCs w:val="20"/>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and instability in global and regional economic conditions, including changes related to market conditions caused by heightened inflation, economic recessions, and significant interest rate fluctuations;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political instability and uncertainties, including, but not limited to, the ongoing conflict between Russia and Ukraine, the conflict between Israel and Hamas, the relationship between China and the U.S. and other actual or anticipated military or political conflicts;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customs and tariffs;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duties and quotas;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currency exchange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rates relative to the U.S. dollar;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interpretations, tax rates and tax legislation;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changing regulatory environments;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activities and the U.S. and international response thereto;</w:t>
      </w:r>
    </w:p>
    <w:p>
      <w:pPr>
        <w:spacing w:after="0" w:line="117" w:lineRule="exact"/>
        <w:rPr>
          <w:sz w:val="20"/>
          <w:szCs w:val="20"/>
          <w:color w:val="auto"/>
        </w:rPr>
      </w:pPr>
    </w:p>
    <w:p>
      <w:pPr>
        <w:ind w:left="520"/>
        <w:spacing w:after="0"/>
        <w:tabs>
          <w:tab w:leader="none" w:pos="1000" w:val="left"/>
          <w:tab w:leader="none" w:pos="4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wage inflation, labor shortages and labor unrest; •</w:t>
      </w:r>
      <w:r>
        <w:rPr>
          <w:sz w:val="20"/>
          <w:szCs w:val="20"/>
          <w:color w:val="auto"/>
        </w:rPr>
        <w:tab/>
      </w:r>
      <w:r>
        <w:rPr>
          <w:rFonts w:ascii="Times New Roman" w:cs="Times New Roman" w:eastAsia="Times New Roman" w:hAnsi="Times New Roman"/>
          <w:sz w:val="18"/>
          <w:szCs w:val="18"/>
          <w:color w:val="auto"/>
        </w:rPr>
        <w:t>difficulties protecting our intellectual property;</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in integrating, staffing and managing international operations, especially in developing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distribution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or new pandemics;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These factors may have an adverse effect on our international operations in the future. Efforts to expand globally also requires us to hire, train and retain qualified personnel in countries where language, cultural or regulatory barriers may exist, and may require a greater level of management’s attention. Expansion into global markets may also require modification of products to meet local requirements or preferences. Modification to the design of our products to meet local requirements and preferences may take longer or be more costly than we anticipate and could have a material adverse effect on our ability to achieve international sales growth.</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a global manufacturer, quotas, duties, tariffs and the possibility of an escalation or further developments of current trade conflicts could continue to negatively impact global trade and economic conditions in many of the regions where we do business. See the Risk Factor entitled “The imposition of new or increased international tariffs may have a material adverse effect on our business, financial condition and results of operations” for additional details.</w:t>
      </w:r>
    </w:p>
    <w:p>
      <w:pPr>
        <w:spacing w:after="0" w:line="17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imposition of new or increased international tariffs may have a material adverse effect on our business, financial condition and results of operations.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ind w:right="20"/>
        <w:spacing w:after="0" w:line="258" w:lineRule="auto"/>
        <w:rPr>
          <w:sz w:val="20"/>
          <w:szCs w:val="20"/>
          <w:color w:val="auto"/>
        </w:rPr>
      </w:pPr>
      <w:r>
        <w:rPr>
          <w:rFonts w:ascii="Times New Roman" w:cs="Times New Roman" w:eastAsia="Times New Roman" w:hAnsi="Times New Roman"/>
          <w:sz w:val="18"/>
          <w:szCs w:val="18"/>
          <w:color w:val="auto"/>
        </w:rPr>
        <w:t>Rising international tariffs, including any tariffs applied to goods traded between the U.S. and China, the U.S. and Mexico and the U.S. and Canada, could materially and adversely affect our business and results of operations. The U.S. government has previously and now again recently imposed tariffs on certain foreign goods from a variety of countries and regions that it perceives as engaging in unfair trade practices. Foreign governments have imposed, and may impose in the future, retaliatory tariffs on goods that their countries import from the U.S. Such changes can make it difficult or costly for us to do business in, or import our products from, those countries.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With certain tariff exclusions ending and with any new tariffs, it could further negatively impact global trade and economic conditions in many of the regions where we do business. It may also adversely impact demand for our products in certain locations. It may be time-consuming and costly for us to modify our business operations to adapt to or comply with such tariffs. If we become unable to recover a substantial portion of any increased tariff related costs, the recent or increased international tariffs could materially and adversely affect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environmental laws and regulations may adversely affect our business and results of operations.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Environmental laws and regulations in the United States and foreign countries affect the services we provide and the equipment we rent and service, as well as the facilities we operate. Such laws and regulations also impact the oil and gas industry more broadly, thereby impacting demand for our products and equipment. For example, we may be affected by such laws as the Resource Conservation and Recovery Act, the Comprehensive Environmental Response, Compensation, and Liability Act, the Clean Water Act, the Clean Air Act and the Occupational Safety and Health Act of 1970. Further, our customers may be subject to a range of laws and regulations governing hydraulic fracturing, drilling and greenhouse gas emissions.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required to invest financial and managerial resources to comply with environmental laws and regulations and believe that we will continue to be required to do so in the future. Failure to comply with these laws and regulations may result in the assessment of administrative, civil and criminal penalties, the imposition of remedial and mitigation obligations, and the issuance of orders enjoining operations. These laws and regulations, as well as the finalizing of other new laws and regulations affecting our operations or the exploration and production and transportation of crude oil and natural gas by our customers, could adversely affect our business and operating results by increasing our costs of compliance, increasing the costs of compliance and costs of doing business for our customers, limiting the demand for our products and services, or restricting our operations. Increased regulation or a move away from the use of fossil fuels caused by additional regulation could also reduce demand for our products and services.</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or future laws and regulations related to greenhouse gases and climate change and related public and governmental initiatives and additional compliance obligations could have a material adverse effect on our business, results of operations, prospects, and financial condition.</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Changes in environmental requirements related to greenhouse gas emissions, climate change, or alternative energy sources may negatively impact demand for our products and services. For example, oil and natural gas E&amp;P may decline as a result of environmental requirements or laws, regulations and policies promoting the use of alternative forms of energy, including land use policies and other actions to restrict oil and gas leasing and permitting in response to environmental and climate change concerns. In January 2021, the Acting Secretary of the Department of the Interior issued an order suspending new leasing and drilling permits for fossil fuel production on federal lands and waters for 60 days. President Biden then issued an executive order indefinitely suspending new oil and natural gas leases on public lands or in offshore waters pending completion of a comprehensive review and reconsideration of federal oil and gas permitting and leasing practices. Several states filed lawsuits challenging the suspension and in June 2021, a judge in the U.S. District Court for the Western District of Louisiana issued a nationwide temporary injunction blocking the suspension. The Department of the Interior successfully appealed the U.S. District Court’s ruling in August 2022, but the moratorium was again enjoined that month. In January 2024, the Biden administration announced a temporary halt on liquified natural gas exports to countries without free trade agreements with the United States. This pause was enjoined in July 2024 ,and in January 2025, President Trump issued an executive order to roll back this policy, including revising the Department of Energy’s “public interest” assessment criteria for exports to countries without free trade agreements with the United States to emphasize the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and employment benefits of liquid natural gas projects and their impact on the security of the United States and its allies.</w:t>
      </w:r>
    </w:p>
    <w:p>
      <w:pPr>
        <w:spacing w:after="0" w:line="11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President Trump issued several other executive orders in January 2025 with a stated aim toward increasing oil and gas development within the United States, with anticipated future regulatory activity including opening federal lands to oil and gas leasing (with particular focus on resources in Alaska) and expediting permitting for oil and gas projects in the United States. Additionally, President Trump revoked several Biden-era executive orders related to climate change. While certain of the Trump administration’s actions in early 2025 indicate a clear regulatory shift in favor of oil and gas production in the United States, significant additional regulatory action is required to enact these changes. Additionally, such regulatory actions may be challenged, which could result in implementation delays or a need to take further regulatory action. Further, even if these regulatory actions are successful, individual permitting and leasing actions may be challenged, creating additional uncertainty.</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Federal, state and local agencies continue to evaluate climate-related legislation and other regulatory initiatives that would restrict emissions of greenhouse gases in areas in which we conduct business. For example, the United States Environmental Protection Agency has proposed new methane emissions regulations for certain oil and gas facilities, while the Inflation Reduction Act of 2022 established a charge on methane emissions above certain limits from such facilities. It remains to be seen whether the Trump administration will repeal these changes. We further note that some states may increase their regulation of oil and gas activities, green house gases, and/or climate change in response to the federal government’s actions. Because our business depends on the level of activity in the oil and gas industry, existing or future laws and regulations related to greenhouse gases could have a negative impact on our business if such laws or regulations reduce demand for oil and natural gas. Likewise, such laws or regulations may result in additional compliance obligations with respect to the release, capture, sequestration and use of greenhouse gases. These additional obligations could increase our costs and have a material adverse effect on our business, results of operations, prospects and financial condition.</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customers utilize hydraulic fracturing in their operations. Environmental concerns have been raised regarding the potential impact of hydraulic fracturing on underground water supplies and seismic activity. These concerns have led to several regulatory and governmental initiatives in the United States to restrict the hydraulic fracturing process, which could have an adverse impact on our customers’ production activities. Although we do not conduct hydraulic fracturing, increased regulation and attention given to the hydraulic fracturing process could lead to greater opposition to oil and gas production activities using hydraulic fracturing techniques. In December 2021, the Texas Railroad Commission, which regulates the state’s oil and gas industry, suspended the use of deep wastewater disposal wells in four oil-producing counties in West Texas. The suspension is intended to mitigate earthquakes thought to be caused by the injection of waste fluids, including saltwater, that are a byproduct of hydraulic fracturing into disposal wells. The ban will require oil and gas production companies to find other options to handle the wastewater, which may include piping or trucking it longer distances to other locations not under the ban. The finalization of new laws or regulations at the federal, state, local or foreign level imposing reporting obligations on, or otherwise limiting, delaying or banning, the hydraulic fracturing process or other processes on which hydraulic fracturing and subsequent hydrocarbon production relies, such as water disposal, could make it more difficult to complete oil and natural gas wells. Further, it could increase our customers’ costs of compliance and doing business, and otherwise adversely affect the hydraulic fracturing services they perform, which could negatively impact demand for our products.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Increasing attention by the public and government agencies to climate change and Environmental, Social and Governance (“ESG”) matters could also negatively impact demand for our products and services and the products of our oil and gas producing customers. In recent years, increasing attention has been given to corporate activities related to ESG in public discourse and the investment community. A number of advocacy groups, both domestically and internationally, have campaigned for governmental and private action to promote change at public companies related to ESG matters, including through the investment and voting practices of investment advisers, public pension funds, universities and other members of the investing community. These activities include increasing attention and demands for action related to climate change and energy rebalancing matters, such as promoting the use of substitutes to fossil fuel products and encouraging the divestment of fossil fuel equities, as well as pressuring lenders and other financial services companies to limit or curtail activities with fossil fuel companies. If this were to continue, it could have a material adverse effect on the valuation of the Common Stock and our ability to access equity capital markets.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our business could be impacted by initiatives to address greenhouse gases and climate change and incentives to conserve energy or use alternative energy sources. For example, the Inflation Reduction Act of 2022, signed into law by President Biden in August 2022, includes financial and other incentives to increase wind and solar electric generation and encourage consumers to use these alternative energy sources. President Trump’s January 2025 Unleashing American Energy Executive Order ordered all agencies to pause disbursement of these funds during a review period, and it is possible that the Trump administration will take further action to curtail this funding. This action, or subsequent actions taken by the Trump administration, could be challenged. Regardless, state or federal initiatives to incentivize a shift away from fossil fuels could reduce demand for hydrocarbons, thereby reducing demand for our products and services and negatively impacting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rates, adverse positions taken by taxing authorities and tax audits could impact our operating results.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the jurisdiction of numerous domestic and foreign taxing authorities. Changes in tax laws or tax rates, the resolution of tax assessments or audits by various tax authorities could impact our operating results. In addition, we may periodically restructure our legal entity organization. If taxing authorities were to disagree with our tax positions in connection with any such restructurings, our effective income tax rate could be impacted. The final determination of our income tax liabilities involves the interpretation of local tax laws, tax treaties and related authorities in each taxing jurisdiction, as well as the significant use of estimates and assumptions regarding future operations and results and the timing of income and expenses. We may be audited and receive tax assessments from taxing authorities that may result in assessment of additional taxes that are ultimately resolved with the authorities or through the courts. We believe these assessments may occasionally be based on erroneous and even arbitrary interpretations of local tax law. Resolution of any tax matter involves uncertainties and there are no assurances that the outcomes will be favorable. If U.S. or foreign tax authorities change applicable tax laws, our overall taxes could increase, and our business, financial condition or results of operating may be adversely impacted.</w:t>
      </w:r>
    </w:p>
    <w:p>
      <w:pPr>
        <w:spacing w:after="0" w:line="2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fully protect our intellectual property rights or trade secrets, we may suffer a loss in revenue or any competitive advantage or market share we hold, or we may incur costs in litigation defending intellectual property rights.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While we have some patents and others pending, we do not have patents relating to many of our key processes and technology. If we are not able to maintain the confidentiality of our trade secrets, or if our competitors are able to replicate our technology or services, our competitive advantage would be diminished. We also cannot provide any assurance that any patents we may obtain in the future would provide us with any significant commercial benefit or would allow us to prevent our competitors from employing comparable technologies or processes. We may initiate litigation from time to time to protect and enforce our intellectual property rights. In any such litigation, a defendant may assert that our intellectual property rights are invalid or unenforceable. Third parties from time to time may also initiate litigation against us by asserting that our businesses infringe, impair, misappropriate, dilute or otherwise violate another party’s intellectual property rights. We may not prevail in any such litigation, and our intellectual property rights may be found invalid or unenforceable or our products and services may be found to infringe, impair, misappropriate, dilute or otherwise violate the intellectual property rights of others. The results or costs of any such litigation may have an adverse effect on our business, results of operations and financial condition. Any litigation concerning intellectual property could be protracted and costly, is inherently unpredictable and could have an adverse effect on our business, regardless of its outcome.</w:t>
      </w:r>
    </w:p>
    <w:p>
      <w:pPr>
        <w:spacing w:after="0" w:line="19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Moreover, third parties on whom we rely for certain tools may be subject to litigation to defend their intellectual property rights. If such litigation ends adversely for the third party with whom we deal, our ability to obtain such tools could be significantly limited or restricted. This could have a material adverse effect on our business.</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 certain subsidiary, Extreme Technologies, LLC (“Extreme”), we acquired in the SDPI acquisition is the plaintiff in a claim brought against Stabil Drill Specialties, LLC (“Stabil Drill”) in 2019 for allegedly infringing three patents that cover the design of a reaming tool used in oil and gas operations. On Sept. 23, 2024, the U.S. District Court for the Southern District of Texas granted Stabil Drill’s motion for summary judgment of non-infringement. On October 22, 2024, Extreme appealed the ruling to the Federal Circuit. The results or costs of further litigation on appeal, if granted, may have an adverse effect on our business.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98"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effective tax rates may fluctuate widely in the future, particularly if our business expands domestically or internationally. Future effective tax rates could be affected by operating losses in jurisdictions where no tax benefit can be recorded under U.S. generally accepted accounting principles (“GAAP”), changes in deferred tax assets and liabilities, or changes in tax laws. Factors that could materially affect our future effective tax rates include, but are not limited to: (a) changes in tax laws or the regulatory environment, (b) changes in accounting and tax standards or practices, (c) changes in the composition of operating income by tax jurisdiction and (d) pre-tax operating results of our business.</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Additionally, we are subject to significant income, withholding, and other tax obligations in the United States and may become subject to taxation in numerous additional U.S. state and local and non-U.S. jurisdictions with respect to income, operations and subsidiaries related to those jurisdictions. Our after-tax profitability and financial results could be subject to volatility or be affected by numerous factors, including (a) the availability of tax deductions, credits, exemptions, refunds and other benefits to reduce tax liabilities, (b) changes in the valuation of deferred tax assets and liabilities, if any, (c) the expected timing and amount of the release of any tax valuation allowances, (d) the tax treatment of stock-based compensation, (e) changes in the relative amount of earnings subject to tax in the various jurisdictions, (f) the potential business expansion into, or otherwise becoming subject to tax in, additional jurisdictions, (g) changes to existing intercompany structure (and any costs related thereto) and business operations, (h) the extent of intercompany transactions and the extent to which taxing authorities in relevant jurisdictions respect those intercompany transactions, and (i) the ability to structure business operations in an efficient and competitive manner. Outcomes from audits or examinations by taxing authorities could have an adverse effect on our after-tax profitability and financial condition. Additionally, the Internal Revenue Service (“IRS”) and several foreign tax authorities have increasingly focused attention on intercompany transfer pricing with respect to sales of products and services and the use of intangibles. Tax authorities could disagree with our intercompany charges, cross-jurisdictional transfer pricing or other matters and assess additional taxes. If we do not prevail in any such disagreements, our profitability may be affected.</w:t>
      </w:r>
    </w:p>
    <w:p>
      <w:pPr>
        <w:spacing w:after="0" w:line="187"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Our after-tax profitability and financial results may also be adversely affected by changes in relevant tax laws and tax rates, treaties, regulations, administrative practices and principles, judicial decisions and interpretations thereof, in each case, possibly with retroactive effect.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the Common Stock</w:t>
      </w:r>
    </w:p>
    <w:p>
      <w:pPr>
        <w:spacing w:after="0" w:line="11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the Common Stock.</w:t>
      </w:r>
    </w:p>
    <w:p>
      <w:pPr>
        <w:spacing w:after="0" w:line="6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comply with the Sarbanes-Oxley Act, which requires, among other things, that we maintain effective disclosure controls and procedures and internal control over financial reporting. We continue to refine our disclosure controls and other procedures that are designed to ensure that information required to be disclosed by us in filings with the SEC is recorded, processed, summarized and reported within the time periods specified in SEC rules, and that information required to be disclosed in reports under the Exchange Act is accumulated and communicated to our management, including our principal executive and financial officers.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continue to refine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have been engaging, and will continue to engage, in a process to document and evaluate our internal control over financial reporting. This process is both costly and challenging, and requires us to dedicate significant internal resources. We may also engage outside consultants and hire new employees with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ind w:right="80"/>
        <w:spacing w:after="0" w:line="277" w:lineRule="auto"/>
        <w:rPr>
          <w:sz w:val="20"/>
          <w:szCs w:val="20"/>
          <w:color w:val="auto"/>
        </w:rPr>
      </w:pPr>
      <w:r>
        <w:rPr>
          <w:rFonts w:ascii="Times New Roman" w:cs="Times New Roman" w:eastAsia="Times New Roman" w:hAnsi="Times New Roman"/>
          <w:sz w:val="17"/>
          <w:szCs w:val="17"/>
          <w:color w:val="auto"/>
        </w:rPr>
        <w:t>requisite skillset and experience. We are developing a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the Common Stock. In addition, we could be subject to sanctions or investigations by Nasdaq, the SEC and other regulatory authorities.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the Common Stock may be volatile, which could cause the value of your investment to decline.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market price of the Common Stock has been and may continue to be volatile and subject to wide fluctuations depending on a number of factors, including those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are beyond our control and may not be related to our operating performance. These fluctuations could cause you to lose all or part of your investment in the Common Stock. Factors affecting the trading price of the Common Stock may include:</w:t>
      </w:r>
    </w:p>
    <w:p>
      <w:pPr>
        <w:spacing w:after="0" w:line="72" w:lineRule="exact"/>
        <w:rPr>
          <w:sz w:val="20"/>
          <w:szCs w:val="20"/>
          <w:color w:val="auto"/>
        </w:rPr>
      </w:pPr>
    </w:p>
    <w:p>
      <w:pPr>
        <w:ind w:left="520" w:hanging="15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or the broader stock market;</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and operating results;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prepared by and recommendations provided by securities analysts concerning us or the market in general;</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success of the acquisitions;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products, services or technologies by us or our competitors;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the Common Stock;</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composition of the board of directors of DTIC ("the Board") or our management;</w:t>
      </w:r>
    </w:p>
    <w:p>
      <w:pPr>
        <w:spacing w:after="0" w:line="117" w:lineRule="exact"/>
        <w:rPr>
          <w:rFonts w:ascii="Times New Roman" w:cs="Times New Roman" w:eastAsia="Times New Roman" w:hAnsi="Times New Roman"/>
          <w:sz w:val="18"/>
          <w:szCs w:val="18"/>
          <w:color w:val="auto"/>
        </w:rPr>
      </w:pPr>
    </w:p>
    <w:p>
      <w:pPr>
        <w:ind w:left="520" w:right="540" w:hanging="15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trade wars, pandemics (such as COVID-19), currency fluctuations and acts of war or terrorism; and</w:t>
      </w:r>
    </w:p>
    <w:p>
      <w:pPr>
        <w:spacing w:after="0" w:line="51"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listed under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the Common Stock, regardless of our actual operating performance. The stock markets have, from time to time, experienced significant price and volume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xxviii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9" w:name="page30"/>
    <w:bookmarkEnd w:id="29"/>
    <w:p>
      <w:pPr>
        <w:spacing w:after="0" w:line="19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fluctuations that have affected and continue to affect the market prices of equity securities of many companies. Stock prices of many companies have fluctuated in a manner often unrelated to the operating performance of those companies. Shareholder activism, which could take many forms or arise in a variety of situations, has been increasing recently. Volatility in the market price of the Common Stock or other reasons may in the future cause us to become the target of securities litigation or shareholder activism. Shareholder activism or securities litigation could give rise to perceived uncertainties regarding the future of our business and it could subject us to substantial costs, divert resources and the attention of management from our business and adversely affect relationships with suppliers and other parties.</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Further, although the Common Stock is currently listed on Nasdaq, an active trading market for the Common Stock may not be sustained. Accordingly, if an active trading market for these securities is not maintained, the liquidity of the Common Stock, your ability to sell your shares of the Common Stock when desired and the prices that you may obtain for your shares will be adversely affected.</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expect our expenditures to continue to be significant in the foreseeable future as we expand our business, and that our level of expenditures will be significantly affected by the performance of the oil and gas industry. Our future capital requirements may be uncertain and actual capital requirements may be different from those currently anticipated, as we look to expand the size of our business, both in terms of fleet size and geographic scope. We may need to seek equity or debt financing to finance a portion of our capital expenditures. Such financing might not be available to us in a timely manner or on terms that are acceptable, or at all.</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may have to significantly reduce our spending, delay or cancel our planned activities or substantially change our corporate structure. We might not be able to obtain any funding, and we might not have sufficient resources to conduct our business as planned, both of which could mean that we would be forced to curtail or discontinue our operations.</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sell additional equity or debt securities or obtain additional borrowing capacity under a credit facility. The sale of additional equity or equity-linked securities could dilute our holders of Common Stock ("Stockholders"). Moreover, the net proceeds received by us from an offering of equity securities could be reduced if the price of the Common Stock is negatively impacted by a sale of a large number of the shares of Common Stock registered by the Registration Statement. The incurrence of indebtedness would result in increased debt service obligations and could subject us to operating and financing covenants that would restrict our operations or our ability to pay dividends to our Stockholders. If we cannot raise additional funds when we need or want them, our business, financial condition, and results of operations could be negatively impacted.</w:t>
      </w:r>
    </w:p>
    <w:p>
      <w:pPr>
        <w:spacing w:after="0" w:line="2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will incur significant increased expenses and administrative burdens which could have an adverse effect on our business, financial condition and operating results.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a public company, we face increased legal, accounting, administrative and other costs and expenses that we did not incur as a private company. These expenses may increase even more after we are no longer an “emerging growth company.” The Sarbanes-Oxley Act, including the requirements of Section 404, and rules and regulations subsequently implemented by the SEC, the Dodd-Frank Wall Street Reform and Consumer Protection Act of 2010 and the rules and regulations promulgated and to be promulgated thereunder, the PCAOB and Nasdaq, impose additional reporting and other obligations on public companies. Compliance with public company requirements will continue to lead to increased costs and make certain activities more time consuming. A number of those requirements require us to carry out activities we have not done previously. For example, we have created new board committees, have entered into new insurance policies and adopted new internal controls and disclosure controls and procedures. In addition, we have incurred, and will continue to incur, expenses associated with SEC</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xxix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reporting requirements. We have expanded our staff and may be required to continue expanding to ensure that our workforce has the requisite experience to implement these changes.</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Furthermore, if any issues in complying with those requirements are identified (for example, if management or our independent registered public accounting firm identifies a material weakness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the Board or as executive officers.</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result of disclosure of information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9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Second Amended and Restated Certificate of Incorporation of DTIC ("Certificate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6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or other employees for breach of fiduciary duty, any action asserting a claim arising pursuant to any provision of the General Corporation Law of the State of Delaware ("DGCL"), our Certificate of Incorporation or Bylaws, any action asserting a claim governed by the internal affairs doctrine of the State of Delaware or any other action asserting an “internal corporate claim” (as defined in Section 115 of the DGCL), confer jurisdiction to the Court of Chancery of the State of Delaware (or, if the Court of Chancery of the State of Delaware does not have jurisdiction, the federal district court for the District of Delaware or other state courts of the State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8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Salzberg,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Sciabacucchi </w:t>
      </w:r>
      <w:r>
        <w:rPr>
          <w:rFonts w:ascii="Times New Roman" w:cs="Times New Roman" w:eastAsia="Times New Roman" w:hAnsi="Times New Roman"/>
          <w:sz w:val="18"/>
          <w:szCs w:val="18"/>
          <w:color w:val="auto"/>
        </w:rPr>
        <w:t>which found that an exclusive forum provision providing for claims under the Securities Act to be brought in federal court is facially 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9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 litigation and regulatory inquiries and investigations are expensive and could harm our business, financial condition and operating results and could divert management attention.</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and/or shareholder derivative litigation and inquiries or investigations by regulatory authorities have often followed certain significant business transactions, such as the sale of a company or announcement of any other strategic transaction, such as the Merger. Any shareholder litigation and/or regulatory investigations against us, whether or not resolved in our favor, could result in substantial costs and divert our management’s attention from other business concerns, which could adversely affect our business and cash resources and the ultimate value of our securities.</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While we have not received demand letters, we may in the future receive demand letters or complaints, from purported holders of the Common Stock regarding certain actions taken in connection with the Merger, the adequacy of the registration statement filed therewith or this Annual Report on Form 10-K. These demand letters or complaints may lead to litigation against our directors and officers in connection with the Merger. Defending against any lawsuits could require us to incur significant costs and draw the attention of our management away from the day-to-day operations of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Past performance by our management team may not be indicative of future performance of an investment in us.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Information regarding performance by, or businesses associated with, our management team, directors, advisors and their respective affiliates is presented for informational purposes only. Past performance by our management team, directors, advisors and such affiliates is not a guarantee of the future success of our business and operations. You should not rely on the historical performance of our management team, directors and advisors or that of their respective affiliates as indicative of our future performance, of an investment in us, or the returns the Common Stock will, or is likely to, generate going forward.</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HHEP-Directional, L.P. and its affiliates, partners, and associated entities (“HHEP”) own a significant equity interest in us and may take actions that conflict with your interests.</w:t>
      </w:r>
    </w:p>
    <w:p>
      <w:pPr>
        <w:spacing w:after="0" w:line="5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interests of HHEP may not align with our interests and those of our Stockholders. HHEP is in the business of making investments in companies and may acquire and hold interests in businesses that compete directly or indirectly with us. HHEP may also pursue business opportunities that may be complementary to our business and, as a result, those business opportunities may not be available to us. Our Certificate of Incorporation provides that we renounce any interest or expectancy in, or being offered an opportunity to participate in, business opportunities that may be presented to any Stockholder, director, officer or any other person or entity (including, with respect to any of the foregoing that are entities, any affiliates and their respective directors, officers, partners, members and associated entities) in each case who is not a full-time employee of DTIC or any of its subsidiaries (each, an “Exempted Person”). Our Certificate of Incorporation further provides that no Exempted Person has a duty to communicate the receipt of knowledge of any potential circumstances, transaction, agreement, arrangement or other matter that may be Corporate Opportunity (as defined therein).</w:t>
      </w:r>
    </w:p>
    <w:p>
      <w:pPr>
        <w:spacing w:after="0" w:line="29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Common Stock in the public markets, or the perception that such sales could occur, could reduce the price that the Common Stock might otherwise attain.</w:t>
      </w:r>
    </w:p>
    <w:p>
      <w:pPr>
        <w:spacing w:after="0" w:line="5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the Common Stock in the public market, or the perception that such sales could occur, could adversely affect the market price of the Common Stock and may make it more difficult for investors to sell their shares of the Common Stock at a time and price that investors deem appropriate.</w:t>
      </w:r>
    </w:p>
    <w:p>
      <w:pPr>
        <w:spacing w:after="0" w:line="3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or other equity securities without your approval, which would dilute your ownership interests and may depress the market price of your shares.</w:t>
      </w:r>
    </w:p>
    <w:p>
      <w:pPr>
        <w:spacing w:after="0" w:line="5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may issue additional shares of Common Stock or other equity securities of equal or senior rank in the future in connection with, among other things, future acquisitions or repayment of outstanding indebtedness, without Stockholder approval, in a number of circumstances. The issuance of additional shares or other equity securities of equal or senior rank could have the following effects: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xxxi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ind w:left="520" w:hanging="15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proportionate ownership interest will decrease;</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share of Common Stock may be diminished; and</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Stock may decline.</w:t>
      </w:r>
    </w:p>
    <w:p>
      <w:pPr>
        <w:spacing w:after="0" w:line="35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access to a significant amount of cash and our management has broad discretion over the use of that cash. Our management may use the cash in ways that our Stockholders may not approve.</w:t>
      </w:r>
    </w:p>
    <w:p>
      <w:pPr>
        <w:spacing w:after="0" w:line="5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You may not agree with our use of such cash and cash equivalents. Our failure to apply these resources effectively could compromise our ability to pursue our growth strategy and we might not be able to yield a significant return, if any, on our investment of these assets. You will not have the opportunity to influence directly our decisions on how to use our cash resources.</w:t>
      </w:r>
    </w:p>
    <w:p>
      <w:pPr>
        <w:spacing w:after="0" w:line="280"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the Common Stock for the foreseeable future, you may not receive any return on investment unless you sell the Common Stock at a price greater than what you paid for it.</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and there are no current plans to pay any cash dividends for the foreseeable future. Any decision to declare and pay dividends in the future will be made by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DTIC or its subsidiaries incur. As a result, you may not receive any return on an investment in Common Stock unless you sell your shares of Common Stock for a price greater than that which you paid for it.</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DTIC’s sole material asset is its direct equity interest in DTIH and, accordingly, it is dependent upon distributions from DTIH to pay taxes and cover its corporate and other overhead expenses and pay dividends, if any, on the Common Stock.</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DTIC is a holding company and has no material assets other than its direct equity interest in DTIH. We have no independent means of generating revenue. To the extent DTIH has available cash, DTIC will cause DTIH to make distributions of cash to pay taxes, cover its corporate and other overhead expenses and pay dividends, if any, on the Common Stock. To the extent that DTIC needs funds and DTIH’s operating subsidiaries fail to generate sufficient cash flow to distribute funds to DTIC or is restricted from making such distributions or payments under applicable law or regulation or under the terms of DTIC’s financing arrangements, or is otherwise unable to provide such funds, DTIC’s liquidity and financial condition could be materially adversely affected.</w:t>
      </w:r>
    </w:p>
    <w:p>
      <w:pPr>
        <w:spacing w:after="0" w:line="29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Capital Market ("Nasdaq") may delist the Common Stock from trading, which could limit investors’ ability to execute transactions in the Common Stock and subject us to additional trading restrictions.</w:t>
      </w:r>
    </w:p>
    <w:p>
      <w:pPr>
        <w:spacing w:after="0" w:line="5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cannot assure you that the Common Stock will continue to be listed on Nasdaq. If Nasdaq delists the Common Stock from trading and we are unable to list the Common Stock on another national securities exchange, we expect the Common Stock could be quoted on an over-the-counter market. If this were to occur, we could face significant material adverse consequences, including:</w:t>
      </w:r>
    </w:p>
    <w:p>
      <w:pPr>
        <w:spacing w:after="0" w:line="68" w:lineRule="exact"/>
        <w:rPr>
          <w:sz w:val="20"/>
          <w:szCs w:val="20"/>
          <w:color w:val="auto"/>
        </w:rPr>
      </w:pPr>
    </w:p>
    <w:p>
      <w:pPr>
        <w:ind w:left="520" w:hanging="15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the Common Stock;</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the Common Stock;</w:t>
      </w:r>
    </w:p>
    <w:p>
      <w:pPr>
        <w:spacing w:after="0" w:line="117" w:lineRule="exact"/>
        <w:rPr>
          <w:rFonts w:ascii="Times New Roman" w:cs="Times New Roman" w:eastAsia="Times New Roman" w:hAnsi="Times New Roman"/>
          <w:sz w:val="18"/>
          <w:szCs w:val="18"/>
          <w:color w:val="auto"/>
        </w:rPr>
      </w:pPr>
    </w:p>
    <w:p>
      <w:pPr>
        <w:ind w:left="520" w:right="380" w:hanging="15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Common Stock is a “penny stock” which will require brokers trading in the Common Stock to adhere to more stringent rules and possibly result in a reduced level of trading activity in the secondary trading market for the Common Stock;</w:t>
      </w:r>
    </w:p>
    <w:p>
      <w:pPr>
        <w:spacing w:after="0" w:line="53"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17" w:lineRule="exact"/>
        <w:rPr>
          <w:rFonts w:ascii="Times New Roman" w:cs="Times New Roman" w:eastAsia="Times New Roman" w:hAnsi="Times New Roman"/>
          <w:sz w:val="18"/>
          <w:szCs w:val="18"/>
          <w:color w:val="auto"/>
        </w:rPr>
      </w:pPr>
    </w:p>
    <w:p>
      <w:pPr>
        <w:ind w:left="520" w:hanging="15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xxxii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the Common Stock is listed on Nasdaq, the Common Stock qualifies as a covered security. Although the states are preempted from regulating the sale of the Common Stock,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shares of Common Stock would not be covered securities and we would be subject to regulation in each state in which we offer the Common Stock.</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the Common Stock adversely, the price and trading volume of the Common Stock could decline.</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trading market for the Common Stock will be influenced by the research and reports that industry or securities analysts may publish about us, our business, our market or our competitors. If any of the analysts who cover us change their recommendation regarding our stock adversely, or provide more favorable relative recommendations about our competitors, the price of the Common Stock would likely decline. If an analyst that covers us ceases its coverage or fails to regularly publish reports on us, we could lose visibility in the financial markets, which could cause our stock price or trading volume to decline.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Identification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 cybersecurity Risk Management Policy in place that governs the life cycle in which cybersecurity risks, including:</w:t>
      </w:r>
    </w:p>
    <w:p>
      <w:pPr>
        <w:spacing w:after="0" w:line="333" w:lineRule="exact"/>
        <w:rPr>
          <w:sz w:val="20"/>
          <w:szCs w:val="20"/>
          <w:color w:val="auto"/>
        </w:rPr>
      </w:pPr>
    </w:p>
    <w:p>
      <w:pPr>
        <w:ind w:left="660" w:right="140" w:hanging="143"/>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Identification: through various initiatives performed, including, annual assessments, penetration tests, Incident Response tabletop exercises, vulnerability scans, system monitoring activities, and cybersecurity reviews of critical third-party vendor engagements, etc.</w:t>
      </w:r>
    </w:p>
    <w:p>
      <w:pPr>
        <w:spacing w:after="0" w:line="53" w:lineRule="exact"/>
        <w:rPr>
          <w:rFonts w:ascii="Times New Roman" w:cs="Times New Roman" w:eastAsia="Times New Roman" w:hAnsi="Times New Roman"/>
          <w:sz w:val="18"/>
          <w:szCs w:val="18"/>
          <w:color w:val="auto"/>
        </w:rPr>
      </w:pPr>
    </w:p>
    <w:p>
      <w:pPr>
        <w:ind w:left="660" w:right="40" w:hanging="143"/>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Evaluation &amp; Treatment: Identified issues, vulnerabilities, and exposures are captured within the Company’s Risk Register, which is updated periodically to reflect the most up to date treatment option selected by the Risk Owners.</w:t>
      </w:r>
    </w:p>
    <w:p>
      <w:pPr>
        <w:spacing w:after="0" w:line="53" w:lineRule="exact"/>
        <w:rPr>
          <w:rFonts w:ascii="Times New Roman" w:cs="Times New Roman" w:eastAsia="Times New Roman" w:hAnsi="Times New Roman"/>
          <w:sz w:val="18"/>
          <w:szCs w:val="18"/>
          <w:color w:val="auto"/>
        </w:rPr>
      </w:pPr>
    </w:p>
    <w:p>
      <w:pPr>
        <w:ind w:left="660" w:right="380" w:hanging="143"/>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Reporting and Ongoing Management: Potentially material risks are shared as part of a monthly Cybersecurity Governance Forum, that’s attended by leadership. Risk Mitigations are tracked to completion through various project updates.</w:t>
      </w:r>
    </w:p>
    <w:p>
      <w:pPr>
        <w:spacing w:after="0" w:line="37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foundation of the Company’s cybersecurity framework is based on written policies that govern different process areas. Risks are identified through various processes that employees perform through their daily operations and are mitigated, managed and/or governed through these established processes.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is not aware of any cybersecurity risks that have materially affected or are reasonably likely to materially affect the Company’s business strategy, results of operations or financial condition. However, the Company cannot provide assurance that the Company will not be materially affected in the future by such risks or any future material incidents.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xxxiii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Leveraging the Company’s Cybersecurity Risk Management &amp; Governance process, it has identified cybersecurity risk factors that are inherent to the Company’s business and industry. The risk factors discussed in this section should be considered together with information included elsewhere in this Annual Report on Form 10-K and should not be considered the only risks to which the Company is exposed. Additionally, mitigation of these risk factors is tracked by management as part of the Cybersecurity Maturity Roadmap.</w:t>
      </w:r>
    </w:p>
    <w:p>
      <w:pPr>
        <w:spacing w:after="0" w:line="288" w:lineRule="exact"/>
        <w:rPr>
          <w:sz w:val="20"/>
          <w:szCs w:val="20"/>
          <w:color w:val="auto"/>
        </w:rPr>
      </w:pPr>
    </w:p>
    <w:p>
      <w:pPr>
        <w:ind w:left="660" w:hanging="143"/>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Company’s supply chain could result in an adverse impact on results of operations.</w:t>
      </w:r>
    </w:p>
    <w:p>
      <w:pPr>
        <w:spacing w:after="0" w:line="117" w:lineRule="exact"/>
        <w:rPr>
          <w:rFonts w:ascii="Times New Roman" w:cs="Times New Roman" w:eastAsia="Times New Roman" w:hAnsi="Times New Roman"/>
          <w:sz w:val="18"/>
          <w:szCs w:val="18"/>
          <w:color w:val="auto"/>
        </w:rPr>
      </w:pPr>
    </w:p>
    <w:p>
      <w:pPr>
        <w:ind w:left="660" w:right="580" w:hanging="143"/>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compromise or equipment sabotage could impact the operations of the manufacturing or distribution sites which could impact the revenue.</w:t>
      </w:r>
    </w:p>
    <w:p>
      <w:pPr>
        <w:spacing w:after="0" w:line="53" w:lineRule="exact"/>
        <w:rPr>
          <w:rFonts w:ascii="Times New Roman" w:cs="Times New Roman" w:eastAsia="Times New Roman" w:hAnsi="Times New Roman"/>
          <w:sz w:val="18"/>
          <w:szCs w:val="18"/>
          <w:color w:val="auto"/>
        </w:rPr>
      </w:pPr>
    </w:p>
    <w:p>
      <w:pPr>
        <w:ind w:left="660" w:right="580" w:hanging="143"/>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including breaches of confidential information, sensitive data, personal information, or intellectual property could damage the Company’s reputation, disrupt operations, increase costs, and impact revenues.</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 state attacks due to current geopolitical and economic climate could impact oil and gas industry.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of Third Parties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 uses an IT Managed Service Provider in conjunction with a Cybersecurity Advisory firm to perform various functions, guiding the Company’s cybersecurity posture, and providing ongoing support to the Company’s cybersecurity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Incident Response retainer services that can be leveraged, when needed.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cybersecurity advisory firm to conduct annual risk assessments and penetration tests.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Oversight of Cybersecurity Matters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cybersecurity dashboard with roadmap progress is shared with the board of directors regularly, which includes actions completed and any topics that need board awareness / sponsorship such as approval of budgets which include cyber security project initiatives.</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An in-depth update regarding cyber security is discussed during quarterly meetings with the Audit Committee. The Audit Committee is ultimately responsible for overseeing management’s execution of the Company’s cybersecurity risk management program.</w:t>
      </w:r>
    </w:p>
    <w:p>
      <w:pPr>
        <w:spacing w:after="0" w:line="16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Chief Financial Officer (CFO) and designees are responsible for reviewing and approving the Cybersecurity Risk Management processes, or exceptions to such processes.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External Counsel is consulted on legal matters related to Cybersecurity Risk or Incident Management as deemed necessary by leadership.</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Additionally, the Cybersecurity Risk Committee holds periodic Cybersecurity Governance Forums, in which detailed cybersecurity program updates and metrics are reported.</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Chief Financial Officer and VP of Finance are responsible for the oversight and communication of cybersecurity threats and risks to the Company’s Board of Directors. They meet regularly with the Board of Directors where a Cybersecurity roadmap progress is shared with the board.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xxxiv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3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2024, our one reporting segment operated out of 16 facilities in 13 locations, 12 of which are located in the United States and one of which is located in Canada. Internationally, we operated out of 3 facilities in 3 locations. Our properties are comprised of service centers and manufacturing facilities, 100% of which are leased. Please see the table below for additional information on our properties: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Location</w:t>
            </w:r>
          </w:p>
        </w:tc>
        <w:tc>
          <w:tcPr>
            <w:tcW w:w="400" w:type="dxa"/>
            <w:vAlign w:val="bottom"/>
          </w:tcPr>
          <w:p>
            <w:pPr>
              <w:spacing w:after="0"/>
              <w:rPr>
                <w:sz w:val="20"/>
                <w:szCs w:val="20"/>
                <w:color w:val="auto"/>
              </w:rPr>
            </w:pPr>
          </w:p>
        </w:tc>
        <w:tc>
          <w:tcPr>
            <w:tcW w:w="34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Type</w:t>
            </w:r>
          </w:p>
        </w:tc>
        <w:tc>
          <w:tcPr>
            <w:tcW w:w="400" w:type="dxa"/>
            <w:vAlign w:val="bottom"/>
          </w:tcPr>
          <w:p>
            <w:pPr>
              <w:spacing w:after="0"/>
              <w:rPr>
                <w:sz w:val="20"/>
                <w:szCs w:val="20"/>
                <w:color w:val="auto"/>
              </w:rPr>
            </w:pPr>
          </w:p>
        </w:tc>
        <w:tc>
          <w:tcPr>
            <w:tcW w:w="34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Own/Lease</w:t>
            </w:r>
          </w:p>
        </w:tc>
      </w:tr>
      <w:tr>
        <w:trPr>
          <w:trHeight w:val="209"/>
        </w:trPr>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United States:</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spacing w:after="0"/>
              <w:rPr>
                <w:sz w:val="18"/>
                <w:szCs w:val="18"/>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Bakersfield, CA</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Broussard, LA</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 Manufacturing Facility</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Iberia, LA</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Shreveport, LA</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Williston, ND</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Oklahoma City, OK</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Charleroi, PA</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Houston, TX</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 Manufacturing Facility</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Midland, TX </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Odessa, TX </w:t>
            </w:r>
            <w:r>
              <w:rPr>
                <w:rFonts w:ascii="Times New Roman" w:cs="Times New Roman" w:eastAsia="Times New Roman" w:hAnsi="Times New Roman"/>
                <w:sz w:val="24"/>
                <w:szCs w:val="24"/>
                <w:color w:val="auto"/>
                <w:vertAlign w:val="superscript"/>
              </w:rPr>
              <w:t>(1)</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 Manufacturing Facility</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Carlsbad, NM</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Casper, WY</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Vernal, UT</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Canada:</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Nisku, Canada</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Middle East:</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spacing w:after="0"/>
              <w:rPr>
                <w:sz w:val="18"/>
                <w:szCs w:val="18"/>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Dubai, UAE</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United Kingdom:</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spacing w:after="0"/>
              <w:rPr>
                <w:sz w:val="18"/>
                <w:szCs w:val="18"/>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Aberdeen, Scotland</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Europe:</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spacing w:after="0"/>
              <w:rPr>
                <w:sz w:val="18"/>
                <w:szCs w:val="18"/>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Amsterdam, The Netherlands</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Support Center</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Consists of two facilities</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33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Due to the nature of our business, we are, from time to time, involved in routine litigation or subject to disputes or claims related to our business activities, including workers’ compensation claims and employment related disputes. Although no assurance can be given with respect to the outcome of these or any other pending legal and administrative proceedings and the effect such outcomes may have, in the opinion of our management, there is no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xxxv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pending litigation, dispute or claim against us that, if decided adversely, will have a material adverse effect on our results of operations, financial condition or cash flows. See Note 15, </w:t>
      </w:r>
      <w:r>
        <w:rPr>
          <w:rFonts w:ascii="Times New Roman" w:cs="Times New Roman" w:eastAsia="Times New Roman" w:hAnsi="Times New Roman"/>
          <w:sz w:val="18"/>
          <w:szCs w:val="18"/>
          <w:i w:val="1"/>
          <w:iCs w:val="1"/>
          <w:color w:val="auto"/>
        </w:rPr>
        <w:t>Commitments and Contingencies.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xxxvi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0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Common Stock is listed on Nasdaq under the symbol “DTI”. On December 31, 2024, the closing price of the Common Stock was $3.27 per share. As of December 31, 2024, there were approximately 42 holders of record of Common Stock. Such number does not include beneficial owners holding shares of the Common Stock through nominees.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the Common Stock. We currently intend to retain any future earnings and do not expect to pay any dividends in the foreseeable future. Our ability to pay dividends on the Common Stock could be restricted by the terms of the Credit Facility Agreement or the terms of any agreement governing other indebtedness we may incur. Any future determination to declare cash dividends will be made at the discretion of the Board, subject to applicable laws, and will depend on a number of factors, including our financial condition, results of operations, capital requirements, contractual restrictions, general business conditions and other factors that the Board may deem relevant.</w:t>
      </w:r>
    </w:p>
    <w:p>
      <w:pPr>
        <w:spacing w:after="0" w:line="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relating to our equity compensation plans required by Item 5. “Market for Registrant’s Common Equity, Related Stockholder Matters and Issuer Purchases of Equity Securities” is incorporated by reference to such information as set forth in Item 12. “Security Ownership of Certain Beneficial Owners and Management and Related Stockholder Matters” contained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Drilling Tools International Holdings, Inc. (“DTIH”) entered into a business combination agreement (the “Agreement”) with ROC Energy Acquisition Corp. (“ROC”) on February 13, 2023. The transactions contemplated by the Agreement (the “Merger”) were completed on June 20, 2023, and in conjunction therewith ROC changed its name to Drilling Tools International Corporation (“DTIC” and, together with its subsidiaries, “DTI”, the “Company”, “we”, “us” or “our”, unless the context otherwise requires).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annual financial statements and the related notes included under Item 8 – Consolidated Financial Statements and Supplementary Data of this Annual Report on Form 10-K (the “Report”) as well as DTIH’s audited consolidated financial statements and notes thereto included in the prospectus/proxy statement/consent solicitation statement, dated May 12, 2023, and filed with the SEC. The discussion and the analysis should also be read together with the information set forth in the section entitled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 following discussion contains forward-looking statements based upon current expectations that involve risks, uncertainties and assumptions. Our actual results may differ materially from those anticipated in these forward-looking statements as a result of various factors, including those set forth under the sections titled “Risk Factors” and “Cautionary Note Regarding Forward-Looking Statements” or in other parts of this Report. Our historical results are not necessarily indicative of the results that may be expected for any period in the future.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a global oilfield services company that designs, engineers, manufactures and provides a differentiated, rental-focused offering of tools for use in onshore and offshore horizontal and directional drilling operations, as well as other cutting-edge solutions across the well life cycle. We now operate from 16 service and support centers across North America and 11 international service and support centers across the Europe, Middle East, Africa ("EMEA") regions and Asia-Pacific ("APAC") regions.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xxxvii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spacing w:after="0" w:line="1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business model primarily centers on revenue generated from tool rentals and product sales. We generated revenue from tool rentals and product sales of $154.4 million and $152.0 million for the years ended December 31, 2024 and 2023, respectively, and had net income of $3.0 million and $14.7 million for those same periods. We historically incurred significant operating losses since inception. As of December 31, 2024 and 2023, we had an accumulated deficit of $3.6 million and $6.3 million,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future financial performance will be driven by continued investment in oil and gas drilling following years of industry underinvestment.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Factors</w:t>
      </w:r>
    </w:p>
    <w:p>
      <w:pPr>
        <w:spacing w:after="0" w:line="33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Demand for our services and products depends primarily upon the general level of activity in the oil and gas industry, including the number of active drilling rigs, the number of wells drilled, the depth and working pressure of these wells, the number of well completions, the level of well remediation activity, the volume of production and the corresponding capital spending by oil and natural gas companies. Oil and gas activity is in turn heavily influenced by, among other factors, investor sentiment, availability of capital and oil and gas prices locally and worldwide, which have historically been volatile.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tool rental revenues are primarily dependent on drilling activity and our ability to gain or maintain market share with a sustainable pricing model.</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product sales revenues are primarily dependent on oil and gas companies paying for tools that are lost or damaged in their drilling programs as well as the customers need to replace aging or consumable products and our ability to provide competitive pricing. With the addition of Deep Casing Tools, we now sell tools to the end users for use in constructing their wells.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All of these factors may be influenced by the oil and gas region in which our customers are operating. While these factors may lead to differing revenues, we have generally been able to forecast our product needs and anticipated revenue levels based on historic trends in a given region and with a specific customer.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and Trends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first half of 2024, the oil and gas market witnessed a dynamic interplay of geopolitical tensions, supply concerns, and global demand fluctuations. Crude oil prices remained volatile, with benchmarks such as Brent and WTI experiencing fluctuations driven by a multitude of factors. Geopolitical tensions in key oil-producing regions, such as the Middle East, continued to influence market sentiment, leading to sporadic spikes in prices. Additionally, concerns over supply disruptions, particularly amidst conflicts and geopolitical uncertainties, added to the market’s unease. As the global market for crude oil has continued its recovery, technical recessions, specifically in China, have slowed progress and created fluctuations in global demand. As of December 31, 2024, the WTI oil price was approximately $72.44 per barrel.</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Despite the volatility in spot oil prices described above, our customers tend to be more focused on medium-term and long term commodity prices when making investment decisions due to the longer lead times for onshore and offshore projects. These forward prices experienced far less volatility in 2022 and 2023 and have maintained levels in 2024 which are highly constructive for onshore and offshore project demand.</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Prices for natural gas decreased somewhat throughout the first half of 2024 relative to the fourth quarter of 2023 in the U.S. due to several factors, including a mild winter in key consuming regions and increased production and availability, both of which led to an oversupply in the market. Additionally, constrained storage capacity and delivery delays resulted in uncertainty around liquified natural gas exports in the U.S. Despite these factors, the price of natural gas rebounded in the second half of 2024, to a point in which the December 2024 average price exceeded the December 2023 average price. Henry Hub natural gas spot prices have increased from an average of $2.52 per one million British Thermal Units (“MMBtu”) in December 2023 to $3.01 per MMBtu in December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xxxviii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ongoing conflict in Ukraine and the Israel-Hamas conflict have caused uncertainty in the oil and natural gas markets, and the financial markets, both globally and in the U.S. Such uncertainty already has and could continue to cause stock price volatility and supply chain disruptions as well as higher oil and natural gas prices. These could result in higher inflation worldwide, impact consumer spending and negatively impact demand for our goods and services. Moreover, additional interest rate increases by the U.S. Federal Reserve to combat inflation could further increase the probability of a recession.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Notwithstanding the significant commodity price volatility over the past several years, we have seen decreases in drilling activity in the Western Hemisphere. Conversely, Eastern Hemisphere drilling activity has increased year over year. For the years ended December 31, 2024 and 2023, the monthly average Western Hemisphere rig count was 940 and 1,040 rigs, respectively, or a decrease of 10%. For the years ended December 31, 2024 and 2023, the monthly average Eastern Hemisphere rig count was 747 and 732 rigs, respectively, or an increase of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Increased Costs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are experiencing the impacts of global inflation, both in increased personnel costs and the prices of goods and services required to operate our rigs and execute capital projects. While we are currently unable to estimate the ultimate impact of rising prices, we do expect that our costs will continue to rise in the near term and will impact our profitability.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Evaluate Our Operations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use a number of financial and operational measures to routinely analyze and evaluate the performance of our business, including revenue, net and non-GAAP measures Adjusted EBITDA.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analyze our performance by comparing actual monthly revenue to revenue trends and revenue forecasts by product line as well as tool activity trends for each month. Our revenue is primarily derived from tool rental and product sales.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regularly evaluate our financial performance using Adjusted EBITDA. Our management believes Adjusted EBITDA is a useful financial performance measure as it excludes non-cash charges and other transactions not related to our core operating activities and allows more meaningful analysis of the trends and performance of our core operations.</w:t>
      </w:r>
    </w:p>
    <w:p>
      <w:pPr>
        <w:spacing w:after="0" w:line="6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Please refer to the section titled “Non-GAAP Financial Measures” below for a reconciliation of Adjusted EBITDA to net income, the most directly comparable financial performance measure calculated and presented in accordance with GAAP.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Beginning in the first quarter of fiscal year 2024, we revised our presentation of non-GAAP measures to exclude the presentation of free cash flow in alignment with industry practices and to enhance comparability with our peers. The Company has determined that GAAP disclosures regarding the Company’s liquidity and capital resources, in the form provided in the Company’s recent periodic reports and without further enhancement through the inclusion of non-GAAP free cash flow information, provide investors with sufficient information on the Company’s cash available for investments, acquisitions, and working capital requirements.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xxxix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86"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The discussion below relating to significant line items from our consolidated statements of operations and comprehensive income are based on available information and represent our analysis of significant changes or events that impact the comparability of the reported amount. Where appropriate, we have identified specific events and changes that affect comparability or trends and, where reasonably practicable, we have quantified the impact of such items.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currently generate our revenue, net from tool rental services and product sales. Tool rental services consist of rental services, inspection services, and repair services and is accounted for in accordance Topic 842. We recognize revenues from renting tools on a straight-line basis. Our rental contract periods are daily, monthly, per well, or based on footage. As part of this straight-line methodology, when the equipment is returned, we recognize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rental tool recovery component of product sales revenue is recognized when a tool is deemed to be lost-in-hole, damaged-beyond-repair, or lost-in-transit while in the care, custody, or control of the customer. Other made to order product sales revenue is recognized when the product is picked up by the customer and control is transferred. Product sale revenue is accounted for in accordance with Topic 606.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tool rental services revenue to increase due to an expected increase in drilling activity, customer pricing and market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product sales revenue will increase as aged and consumable products will continue to be replaced in order to maintain or increase capacity.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product sale focused acquisitions are expected to further increase product sale revenue.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costs and expenses consist of cost of revenue, selling, general and administrative expense, and depreciation and amortization expense.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cost of revenue consists primarily of all direct and indirect expenses related to providing our tool rental services offering and delivering our product sales, including personnel-related expenses and costs associated with maintaining the facilities.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expect our total cost of tool rental revenue and our total cost of product sale revenue to increase in absolute dollars in future periods, corresponding to our anticipated growth in revenue and employee headcount. This increase in headcount is intended to support our customers and maintain the manufacturing, operations and field service team. The expected increase in these two costs builds-in some expected cost inflation.</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expect that gross margins will continue to improve slightly as we leverage our existing cost structure to increase our business activity. However, we expect to see continued pricing pressure from customers which may offset any incremental gains.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salaries, benefits and stock-based compensation for personnel, and outside professional services expenses including legal, audit and accounting services, insurance, other administrative expenses and allocated facility costs for our administrative functions.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xl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1" w:name="page42"/>
    <w:bookmarkEnd w:id="41"/>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our operating expenses to increase in absolute dollars for the foreseeable future as a result of operating as a public company as well as the Company continues to grow and scale operations. In particular, we expect our legal, accounting, tax, personnel-related expenses and directors’ and officers’ insurance costs reported within general and administrative expense to increase as we establish more comprehensive compliance and governance functions, increase security and IT compliance functions, review internal controls over financial reporting in accordance with the Sarbanes-Oxley Act and prepare and distribute periodic reports as required by the rules and regulations of the SEC. As a result, our historical results of operations may not be indicative of our results of operations in future periods.</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Selling expenses consist primarily of personnel-related expenses, including salaries, benefits and stock-based compensation for personnel, direct advertising, marketing and promotional material costs, sales commission expense, consulting fees and allocated facility costs for our sales and marketing functions.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intend to increase investments in our sales and marketing organization to increase revenue, expand our global customer base, and broaden our brand awareness. We expect our sales and marketing expenses to continue to increase in absolute dollars for the foreseeable future.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relates to the consumption of our property and equipment, which consists of rental tools, shop equipment, computer equipment, furniture and fixtures and leasehold improvements, and the amortization of our intangible assets mainly related to customer relationships, patents, and developed technology.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other expense, net is primarily comprised of interest income (expense), gain on sale of property, unrealized gain (loss) on securities, transaction related expenses, and other miscellaneous income and expense unrelated to our core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 forth our results of operations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5"/>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 rental</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117,926</w:t>
            </w:r>
          </w:p>
        </w:tc>
        <w:tc>
          <w:tcPr>
            <w:tcW w:w="140" w:type="dxa"/>
            <w:vAlign w:val="bottom"/>
          </w:tcPr>
          <w:p>
            <w:pPr>
              <w:spacing w:after="0"/>
              <w:rPr>
                <w:sz w:val="18"/>
                <w:szCs w:val="18"/>
                <w:color w:val="auto"/>
              </w:rPr>
            </w:pPr>
          </w:p>
        </w:tc>
        <w:tc>
          <w:tcPr>
            <w:tcW w:w="38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sale</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36,520</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32,795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154,446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1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20,352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141,018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1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27,899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(3,369 )</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(1,103 )</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property</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asset disposal</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(489 )</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remeasurement of previously held equity interest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(7,503 )</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(6,359 )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(10,444 )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(8,105 )</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(5,046 )</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right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48"/>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Our revenue, net consists of tool rental and product sale revenues.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Tool rental</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117,926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119,239</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(1,313 )</w:t>
            </w:r>
          </w:p>
        </w:tc>
        <w:tc>
          <w:tcPr>
            <w:tcW w:w="2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36,520</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32,795</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-3765550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-2925445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-2925445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-1811020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-1811020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-1236980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-1219835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-1236980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-1219835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Tool rental revenue decreased $1.3 million, or 1%, to $117.9 million for the year ended December 31, 2024 as compared to $119.2 million for the year ended December 31, 2023. The decrease was primarily driven by decreased market activity and customer pricing across all divisions, especially in relation to our Directional Tool Rentals ("DTR") division, the revenue of which decreased $6.0 million, our Premium Tools Division ("PTD"), the revenue of which decreased $0.3 million. These decreases were offset by increases at our Wellbore Optimization Tools ("WOT") division, the revenue of which increased $3.3 million and additional tool rental revenue added of $1.9 million as a result of the acquisition of Deep Casing Tools ("DCT") which was acquired in March 2024 and European Drilling Projects ("EDP) which was acquired in October 2024.</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Product sale revenue increased $3.7 million, or 11%, to $36.5 million for the year ended December 31, 2024 as compared to $32.8 million for the year ended December 31, 2023. The increase was primarily driven by the addition of DCT in March 2024 and DPD in August 2024. This increase was offset by a decrease in tool recovery revenue as a result of lower than average recovery events in 2024 as compared to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 of revenue consists of cost of tool rental revenue and cost of product sale revenue.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xlii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3"/>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(4,160 )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tool rental revenue decreased $4.2 million, or 15%, to $24.1 million for the year ended December 31, 2024 as compared to $28.3 million for the for the year ended December 31, 2023. Across all divisions, the decrease in cost of tool rental revenue was primarily driven by decreased labor and repair costs due to decreased rental activity as these expenses correlate directly to activity.</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Cost of product sale revenue increased $7.1 million, or 98%, to $14.4 million for the year ended December 31, 2024 as compared to $7.2 million for the for the year ended December 31, 2023. The increase in cost of product sale revenue was primarily driven by the addition of DCT, whose predominantly a product sales business, in March 2024 and the addition of DPD in August 2024. Additionally, for the recovery events that occurred in 2024, the net book value of the tools lost-in-hole or damaged-beyond-repair were higher than historical averages, indicating that the tools had a longer remaining useful life than in prior years. As a result, cost of product sales associated with recovery events remained flat year over year while revenue from recovery events decreased year over year.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78,695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68,264</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increased $10.4 million, or 15%, to $78.7 million for the year ended December 31, 2024 as compared to $68.3 million for the year ended December 31, 2023. This increase was primarily driven by an increase in personnel-related expenses directly related to the acquisitions completed this year of $6.1 million. Additionally, there were addtional increases in expenses incurred attributable to the acquisitions and the first full year of being a public company. Specifically, there was a $0.8 million increase in rent related expenses, a $1.4 million increase in accounting, legal, and advertising related expenses, and a $1.4 million increase in insurance expenses. No other driver of this increase was individually significant.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20,352</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increased $3.5 million, or 17%, to $23.8 million for the year ended December 31, 2024 as compared to $20.4 million for the year ended December 31, 2023. The increase was primarily due an increase in depreciation expense resulting from a higher property, plant and equipment balance as of December 31, 2024 as well as an increase in amortization expense as result of intangible assets recognized during purchase price accounting for the acquisitions.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5"/>
                <w:szCs w:val="15"/>
                <w:color w:val="auto"/>
              </w:rPr>
            </w:pPr>
          </w:p>
        </w:tc>
        <w:tc>
          <w:tcPr>
            <w:tcW w:w="27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(3,369 )  $</w:t>
            </w:r>
          </w:p>
        </w:tc>
        <w:tc>
          <w:tcPr>
            <w:tcW w:w="13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(1,103 )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Interest expense, net increased $2.3 million, or 205%, to $3.4 million for the year ended December 31, 2024 as compared to $1.1 million for the year ended December 31, 2023. The increase was a result of increased interest 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xliii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4" w:name="page45"/>
    <w:bookmarkEnd w:id="44"/>
    <w:p>
      <w:pPr>
        <w:ind w:right="180"/>
        <w:spacing w:after="0" w:line="282" w:lineRule="auto"/>
        <w:rPr>
          <w:sz w:val="20"/>
          <w:szCs w:val="20"/>
          <w:color w:val="auto"/>
        </w:rPr>
      </w:pPr>
      <w:r>
        <w:rPr>
          <w:rFonts w:ascii="Times New Roman" w:cs="Times New Roman" w:eastAsia="Times New Roman" w:hAnsi="Times New Roman"/>
          <w:sz w:val="18"/>
          <w:szCs w:val="18"/>
          <w:color w:val="auto"/>
        </w:rPr>
        <w:t>the term loan entered into in March 2024 as well as the various draws on the credit facility throughout 2024, the funds of which were used to acquire new businesses.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5"/>
                <w:szCs w:val="15"/>
                <w:color w:val="auto"/>
              </w:rPr>
            </w:pPr>
          </w:p>
        </w:tc>
        <w:tc>
          <w:tcPr>
            <w:tcW w:w="27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(7,503 )  $</w:t>
            </w:r>
          </w:p>
        </w:tc>
        <w:tc>
          <w:tcPr>
            <w:tcW w:w="13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(6,359 )  $</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(1,144 )</w:t>
            </w: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Other expenses, net increased by $1.1 million, or 18%, to $7.5 million for the year ended December 31, 2024 as compared to $6.4 million for the year ended December 31, 2023. The increase was primarily due to transaction costs related to the acquisitions completed in 2024, which totaled $7.0 million, as compared to transaction costs of $6.0 million in 2023 related to the merger.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and presented in accordance with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use the non-GAAP financial measure Adjusted EBITDA, which is defined as net income (loss); excluding: interest income; interest expense; other income (expense), including those that do not reflect our core operating activities, net; income tax benefit (expense); depreciation and amortization; and certain other non-cash items impacting net income (loss) from time to time. We believe that Adjusted EBITDA helps identify underlying trends in our business that could otherwise be masked by the effect of the expenses that we exclude in Adjusted EBITDA.</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These non-GAAP financial measures should not be considered in isolation from, or as substitutes for, financial information prepared in accordance with GAAP. There are a number of limitations related to the use of these non-GAAP financial measures compared to the closest comparable GAAP measure. Some of these limitations are that:</w:t>
      </w:r>
    </w:p>
    <w:p>
      <w:pPr>
        <w:spacing w:after="0" w:line="68" w:lineRule="exact"/>
        <w:rPr>
          <w:sz w:val="20"/>
          <w:szCs w:val="20"/>
          <w:color w:val="auto"/>
        </w:rPr>
      </w:pPr>
    </w:p>
    <w:p>
      <w:pPr>
        <w:ind w:left="660" w:right="40" w:hanging="143"/>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certain recurring, non-cash charges such as depreciation of fixed assets and amortization of acquired intangible assets and, although these are non-cash charges, the assets being depreciated and amortized may have to be replaced in the future;</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income tax benefit (expense).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xliv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Adjusted EBITDA to net income for the years ended December 31, 2024 and 2023 (non-recurring transaction expenses recorded to other (income) expense are presented separately within Adjusted EBITDA):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vMerge w:val="restart"/>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5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option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Management fees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 on sale of property</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asset disposal</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(gain) on remeasurement of previously held equity interest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expense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40,101</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December 31, 2024 and 2023, we had $6.2 million and $6.0 million of cash and cash equivalents, respectively. Our primary sources of liquidity and capital resources are cash on hand, cash flows generated by operating activities and, if necessary, borrowings under the Credit Facility Agreement. We may use additional cash generated to execute strategic acquisitions or for general corporate purposes. We believe that our existing cash on hand, cash generated from operations and available borrowings under the Credit Facility Agreement will be sufficient for at least the next 12 months to meet working capital requirements and anticipated capital expenditures.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Agreement</w:t>
      </w:r>
    </w:p>
    <w:p>
      <w:pPr>
        <w:spacing w:after="0" w:line="119"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color w:val="auto"/>
        </w:rPr>
        <w:t xml:space="preserve">Reference is made to the disclosure set forth under the heading “Revolving Credit Facility” in Note 8, </w:t>
      </w: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of the notes to the consolidated financial statements included elsewhere in this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capital expenditures relate to capital additions or improvements that add to our rental or repair capacity or extend the useful life of our drilling tools and related infrastructure. Also, our capital expenditures relate to the replacement of tools that are lost or damaged by a customer, and such expenditures are funded by a rental tool recovery sale amount paid by the customer. We regularly incur capital expenditures on an on-going basis to (i) increase the size of or maintain our rental tool fleet and equipment, (ii) extend the useful life of our rental tools and equipment and (iii) acquire or upgrade computer hardware and software. The amount of our capital expenditures is influenced by, among other things, demand for our services, recovery of lost or damaged tools, schedules for refurbishing our various rental tools and equipment, cash flow generated by our operations, expected rates of return and cash required for other purposes.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 xml:space="preserve">Our material contractual obligations arise from leases of facilities and vehicles under non-cancellable operating leases agreements. See Note 15,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the notes to the consolidated financial statements included elsewhere in this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xlv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6" w:name="page47"/>
    <w:bookmarkEnd w:id="4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Obligations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We currently have available federal net operating loss carryforwards to offset our federal taxable income, and we expect that these carryforwards will substantially reduce our cash tax payments over the next several years. If we forfeit these carryforwards for any reason or deplete them faster than anticipated, our cash tax obligations could increase substantially. For additional information,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the consolidated financial statements included elsewhere in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flows for the period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vMerge w:val="restart"/>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5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from:</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(53,586 )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(23,864 )</w:t>
            </w: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changes in foreign exchange rate</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(175 )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09"/>
        </w:trPr>
        <w:tc>
          <w:tcPr>
            <w:tcW w:w="77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Operating Activities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2024 was $6.1 million resulting from our net income of $3.0 million, adjusted for non-cash charges of $29.3 million in depreciation, amortization, deferred financing, and leases, $2.1 million of stock-based compensation expense and $0.5 million of other non-cash charges. This was partially offset by a $10.0 million gain on rental tool recovery sales, $0.8 million in deferred tax benefits, $0.4 million in unrealized gains on equity securities, and $17.6 million in net changes from operating assets and liabilities. The $17.6 million in cash used in operating assets and liabilities is primarily due to a $4.0 million cash outflow in accounts receivable associated with higher revenues in 2024, a $4.3 million cash outflow related to increased inventory purchases, a $4.8 million cash outflow from operating lease liabilities as we increase right-of-use assets on hand, and a $5.3 million cash outflow due to a decrease in the account payable and accrued expenses balances. These outflows were offset by a cash inflow related to prepaid expenses of $0.9 million. We will continue to evaluate our capital requirements for both short-term and long-term liquidity needs, which could be affected by various risks and uncertainties, including, but not limited to, the effects of the current inflationary environment, rising interest rates, and other risks detailed in the section of this Report entitled “Risk Factors.”</w:t>
      </w:r>
    </w:p>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was $23.3 million resulting from our net income of $14.7 million, adjusted for non-cash charges of $25.0 million in depreciation, amortization, deferred financing, and leases, $4.0 million of stock-based compensation expense as a result of the Merger, $0.5 million of losses on asset disposals, $3.4 million in deferred tax expense, and $0.3 million of other non-cash charges. This was partially offset by a $16.7 million gain on rental tool recovery sales and $8.1 million in net changes from operating assets and liabilities. The $8.1 million in cash used in operating assets and liabilities is primarily due to a $1.0 million cash outflow in accounts receivable associated with an increase in sales and higher revenues during 2023 compared to 2022, a $4.4 million cash outflow from operating lease liabilities as we increase right-of-use assets on hand, a $1.7 million cash outflow from inventories due to purchased inventory related to our attempt to reduce risk and uncertainties in our supply chain, and a $1.5 million cash out flow in accounts payable due to differences in the timing of disbursements. This was partially offset by a $0.6 million cash inflow in accrued expenses due to differences in the timing of disbursements. We will continue to evaluate our capital requirements for both short-term and long-term liquidity needs, which could be affected by various risks and uncertainties,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xlvi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including, but not limited to, the effects of the current inflationary environment, rising interest rates, and other risks detailed in the section of this Report entitled “Risk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Investing Activities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$53.6 million. Purchases of property, plant, and equipment of $22.9 million and cash spent in business acquisitions of $47.3 million were partially offset by proceeds from rental tool recovery sales of $15.3 million and proceeds from sale of equity securities of $1.2 million.</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$23.9 million. Purchases of property, plant, and equipment of $43.8 million were partially offset by proceeds from rental tool recovery sales of $19.7 million and proceeds from sale of property of $0.2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$47.9 million resulting from proceeds from the revolving line of credit of $38.6 million and proceeds from long-term debt of $25.0 million. These inflows were offset by payments on the revolving credit facility of $11.5 million, payments on long-term debt of $3.5 million, and payments of debt issuance costs of $0.7 million.</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$4.3 million resulting from proceeds from the Merger and PIPE Financing, net of transaction costs, of $23.1 million. This was partially offset by a complete paydown on the Credit Facility Agreement of $18.3 million, payments of deferred financing costs of $0.3 million, and payments to holders of DTIH convertible preferred stock in connection with the Merger of $0.2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preparing our annual financial statements in accordance with generally accepted accounting principles in the United States of America (“GAAP”),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available data or is not otherwise capable of being readily calculated based on generally accepted methodologies. In some cases, these estimates are particularly difficult to determine, and we must exercise significant judgment. Actual results could differ materially from the estimates and assumptions that we use in the preparation of our financial statements. We identify certain accounting policies as critical based on, among other things, their impact on the portrayal of our financial condition and results of operations and the degree of difficulty, subjectivity and complexity in their deployment. Note 1, Summary of significant accounting policies, to the financial statements included elsewhere in this Report includes a summary of the significant accounting policies used in the preparation of the accompanying consolidated financial statements.</w:t>
      </w:r>
    </w:p>
    <w:p>
      <w:pPr>
        <w:spacing w:after="0" w:line="18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 xml:space="preserve">The critical accounting estimates, assumptions and judgments we believe to have the most significant impact on the annual financial statements are described below. See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financial statements included elsewhere in this Report for additional information related to critical accounting estimates and significant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January 1, 2019, we adopted Accounting Standards Codification (“ASC”) 606 on a modified retrospective basis for all contracts with customers. As a result of the adoption, there were no material changes to the timing of the revenue recognition or measurement of revenue. Therefore, the only changes to the financial statements related to the adoption are in the disclosures as included herein. We adopted ASC 842, Leases (“ASC 842”) as of January 1, 2022. ASC 842 was adopted using the modified retrospective transition approach, with no restatement of prior periods or cumulative adjustments to retained earnings.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xlvii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We recognize revenue in accordance with two different accounting standards: 1) Topic 606 (which addresses revenue from contracts with customers)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Topic 842 (which addresses lease revenue). We derive our revenue from two revenue types: tool rental services and product sales.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Tool Rental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Tool rental services consist of rental services, inspection services, and repair services. Tool rental services are accounted for under Topic 842.</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Owned tool rentals represent our most significant revenue type and are governed by our standard rental contract. We account for such rentals as operating leases. The lease terms are included in the contracts, and the determination of whether our contracts contain leases generally does not require significant assumptions or judgments. Owned tool rentals represent revenue from renting tools that we own. We do not generally provide an option for the lessee to purchase the rented equipment at the end of the lease.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recognizes revenues from renting tools on a straight-line basis. The Company’s rental contract periods are daily, monthly, or per well. As part of this straight-line methodology, when the equipment is returned, the Company recognizes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 In any given accounting period, the Company will have customers return the drilling tool and be contractually required to pay the Company more than the cumulative amount of revenue recognized to date under the straight-line methodology. Additionally, the Company has rental contracts that are based on usage, either on a per footage or per well basis. As these types of rental contracts consist of variable lease payments, which are unknown at commencement, as well as a fixed payment component, revenue is recognized when the changes in the factor on which the contingent lease payments are based occur, in an amount equal to the excess of the fixed component. When the customer returns the rental equipment and the footage or usage becomes known, the Company recognizes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the amounts billed to customers in excess of recognizable revenue as deferred revenue on our consolidated balance sheet.</w:t>
      </w:r>
    </w:p>
    <w:p>
      <w:pPr>
        <w:spacing w:after="0" w:line="15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noted above, we are unsure of when the customer will return rented drilling tools. As such, we do not know how much the customer will owe us upon return of the tool and we therefore cannot provide a maturity analysis of future lease payments. Our drilling tools are generally rented for short periods of time. Lessees do not provide residual value guarantees on rented equipment.</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expect to derive significant future benefits from our drilling tools following the end of the rental term. Our rentals are generally short-term in nature, and our tools are typically rented for the majority of the time that we own them.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Product sales consist of charges for rented tools that are damaged beyond repair, charges for lost-in-hole, and charges for lost-in-transit while in the care, custody or control of our customers, and other charges for made to order product sales. Product sales are accounted for under Topic 606.</w:t>
      </w:r>
    </w:p>
    <w:p>
      <w:pPr>
        <w:spacing w:after="0" w:line="16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our arrangements with customers, we: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account for a contract when we have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xlviii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9" w:name="page50"/>
    <w:bookmarkEnd w:id="49"/>
    <w:p>
      <w:pPr>
        <w:ind w:right="160"/>
        <w:spacing w:after="0" w:line="261" w:lineRule="auto"/>
        <w:rPr>
          <w:sz w:val="20"/>
          <w:szCs w:val="20"/>
          <w:color w:val="auto"/>
        </w:rPr>
      </w:pPr>
      <w:r>
        <w:rPr>
          <w:rFonts w:ascii="Times New Roman" w:cs="Times New Roman" w:eastAsia="Times New Roman" w:hAnsi="Times New Roman"/>
          <w:sz w:val="18"/>
          <w:szCs w:val="18"/>
          <w:color w:val="auto"/>
        </w:rPr>
        <w:t>and is the unit of account in the revenue standard. The transaction price is measured as consideration specified in a contract with a customer and excludes any sales incentives and taxes or other amounts collected on behalf of third parties. As each of our contracts with customers contain a single performance obligation to provide a product sale (in some cases, multiple products in one contract which each represent a single performance), we do not have any performance obligations requiring allocation of transaction prices.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performance obligation for made to order product sales is satisfied and revenue is recognized when control of the asset transfers to the customer, which typically occurs upon delivery of the product or when the product is picked up at our shipping dock. Additionally, pursuant to the contractual terms with our customers, the customer must notify us of, and purchase from us, any rented tools that are damaged beyond repair, lost-in-hole, or lost-in-transit while in the care, custody or control of such customer. Revenue is recognized for these products when the customer notifies us that one of these noted events has occurred.</w:t>
      </w:r>
    </w:p>
    <w:p>
      <w:pPr>
        <w:spacing w:after="0" w:line="18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do not have any material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 and judgments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accounted for under Topic 606 generally do not require significant estimates or judgments, primarily because:</w:t>
      </w:r>
    </w:p>
    <w:p>
      <w:pPr>
        <w:spacing w:after="0" w:line="117" w:lineRule="exact"/>
        <w:rPr>
          <w:sz w:val="20"/>
          <w:szCs w:val="20"/>
          <w:color w:val="auto"/>
        </w:rPr>
      </w:pPr>
    </w:p>
    <w:p>
      <w:pPr>
        <w:ind w:left="660" w:hanging="143"/>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is generally fixed and stated in our contracts;</w:t>
      </w:r>
    </w:p>
    <w:p>
      <w:pPr>
        <w:spacing w:after="0" w:line="117" w:lineRule="exact"/>
        <w:rPr>
          <w:rFonts w:ascii="Times New Roman" w:cs="Times New Roman" w:eastAsia="Times New Roman" w:hAnsi="Times New Roman"/>
          <w:sz w:val="18"/>
          <w:szCs w:val="18"/>
          <w:color w:val="auto"/>
        </w:rPr>
      </w:pPr>
    </w:p>
    <w:p>
      <w:pPr>
        <w:ind w:left="660" w:right="120" w:hanging="143"/>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out contracts generally do not include multiple performance obligations, and accordingly, do not require estimates of standalone selling price for each performance obligation;</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do not include variable consideration, or result in significant obligations associated with returns, refunds, or warranties; and</w:t>
      </w:r>
    </w:p>
    <w:p>
      <w:pPr>
        <w:spacing w:after="0" w:line="117" w:lineRule="exact"/>
        <w:rPr>
          <w:rFonts w:ascii="Times New Roman" w:cs="Times New Roman" w:eastAsia="Times New Roman" w:hAnsi="Times New Roman"/>
          <w:sz w:val="18"/>
          <w:szCs w:val="18"/>
          <w:color w:val="auto"/>
        </w:rPr>
      </w:pPr>
    </w:p>
    <w:p>
      <w:pPr>
        <w:ind w:left="660" w:right="80" w:hanging="143"/>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our revenue is recognized when the applicable performance obligations are readily determinable. As noted above, our Topic 606 revenue is generally recognized at the time of shipping or upon notification from our customers that a rented tool is damaged beyond repair, lost-in-hole, or lost-in-transit while in the care, custody, or control of our customers.</w:t>
      </w:r>
    </w:p>
    <w:p>
      <w:pPr>
        <w:spacing w:after="0" w:line="20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revenues accounted for under Topic 842 also generally do not require significant estimates or judgments. We monitor and review our estimated standalone selling prices on a regular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account for stock-based compensation in accordance with ASC 718, Compensation - Stock Compensation. ASC 718 requires that the cost of awards of equity instruments offered in exchange for employee services, including employee stock options and restricted stock awards, be measured based on the grant-date fair value of the award. We determine the fair value of stock options granted using the Black-Scholes-Merton option-pricing model (“Black-Scholes model”) and recognizes the cost over the period during which an employee is required to provide service in exchange for the award, generally the vesting period, with forfeitures accounted for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adopted ASC 842, Leases (“ASC 842”) as of January 1, 2022. ASC 842 was adopted using the modified retrospective transition approach, with no restatement of prior periods or cumulative adjustments to retained earnings. Upon adoption, we elected the package of transition practical expedients, which allowed us to carry forward prior conclusions related to whether any expired or existing contracts are or contain leases, the lease classification for any expired or existing leases and initial direct costs for existing leases. We elected the use-of-hindsight to reassess lease term. We elected not to recognize leases with an initial term of 12 months or less within the consolidated balance sheets and to recognize those lease payments on a straight-line basis in the consolidated statements of operation over the lease term. The new lease accounting standard also provides practical expedients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for an entity’s ongoing accounting. We elected the practical expedient to not separate lease and non-lease components for all leases.</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operating lease right-of-use (“ROU”) assets and current operating lease liabilities and operating lease liabilities, net of current portion on our consolidated balance sheets. We recognize lease expense for its operating leases on a straight-line basis over the term of the lease.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we also reassess the lease classification as of the effective date of the modification.</w:t>
      </w:r>
    </w:p>
    <w:p>
      <w:pPr>
        <w:spacing w:after="0" w:line="12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our incremental borrowing rate because the interest rate implicit in our leases is not readily determinable. The incremental borrowing rate is estimated to approximate the interest rate on a collateralized basis with similar terms and payments, and in economic environments where the leased asset is located.</w:t>
      </w:r>
    </w:p>
    <w:p>
      <w:pPr>
        <w:spacing w:after="0" w:line="17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lease terms include periods under options to extend or terminate the lease when it is reasonably certain that we will exercise that option in the measurement of its ROU assets and liabilities. We consider contractual-based factors such as the nature and terms of the renewal or termination, asset-based factors such as physical location of the asset and entity-based factors such as the importance of the leased asset to our operations to determine the lease term. We generally use the base, non-cancelable lease term when determining the ROU assets and lease liabilities. The ROU asset is tested for impairment in accordance with Accounting Standards Codification Topic 360, Property, Plant, and Equipment.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Lessor Accounting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of the economic benefits from the use of the identified asset throughout the period of use and (iii) the customer directs the use of the identified assets throughout the period of use.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lease agreement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operating lease revenue within the “Tool Rental Revenue” line on the consolidated statements of income and comprehensive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evaluate the recoverability of identifiable intangible assets whenever events or changes in circumstances indicate that an intangible asset’s carrying amount may not be recoverable. Such circumstances could include, but are not limited to, (1) a significant decrease in the market value of an asset, (2) a significant adverse change in the extent to or manner in which an asset is used, or (3) an accumulation of costs significantly in excess of the amount originally expected for the acquisition of an asset. We measure the carrying amount of the asset against the estimated undiscounted future cash flows associated with it. Should the sum of the expected future net cash flows be less than the carrying value of the asset being evaluated, an impairment loss would be recognized. The impairment loss would be calculated as the amount by which the carrying value of the asset exceeds its fair value. The fair value is measured based on quoted market prices, if available. If quoted market prices are not available, the estimate 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1" w:name="page52"/>
    <w:bookmarkEnd w:id="51"/>
    <w:p>
      <w:pPr>
        <w:spacing w:after="0" w:line="261" w:lineRule="auto"/>
        <w:rPr>
          <w:sz w:val="20"/>
          <w:szCs w:val="20"/>
          <w:color w:val="auto"/>
        </w:rPr>
      </w:pPr>
      <w:r>
        <w:rPr>
          <w:rFonts w:ascii="Times New Roman" w:cs="Times New Roman" w:eastAsia="Times New Roman" w:hAnsi="Times New Roman"/>
          <w:sz w:val="18"/>
          <w:szCs w:val="18"/>
          <w:color w:val="auto"/>
        </w:rPr>
        <w:t>fair value is based on various valuation techniques, including the discounted value of estimated future cash flows. The evaluation of asset impairment requires us to make assumptions about future cash flows over the life of the asset being evaluated. These assumptions require significant judgment and actual results may differ from assumed and estimated amounts. For the year ended December 31, 2024 and 2023, management determined that there was no impairment with regard to our intangible assets.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property, plant and equipment, events or circumstances indicating possible impairment may include a significant decrease in market value or a significant change in the business climate. An impairment loss is recognized when the carrying amount of an asset exceeds the estimated undiscounted future cash flows expected to result from the use of the asset and its eventual disposition. The amount of the impairment loss is the excess of the asset’s carrying amount over its fair value. For the year ended December 31, 2024 and 2023, management determined that there was no impairment with regard to our property, plant, and equipment.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We use the acquisition method to account for business combinations and, to the extent that the purchase price exceeds the fair value of the net assets acquired, we record goodwill. In accordance with U.S. GAAP, we are required to evaluate our goodwill at least annually. We perform our annual goodwill assessment as of December 31, or more frequently if indicators of impairment exist. Qualitative factors that indicate impairment could include, but are not limited to, (i) macroeconomic conditions, (ii) industry and market considerations, (iii) cost factors, (iv) overall financial performance of the reporting unit, and (v) other relevant entity-specific events. The first step in our annual goodwill assessment is to perform the optional qualitative assessment allowed by </w:t>
      </w:r>
      <w:r>
        <w:rPr>
          <w:rFonts w:ascii="Times New Roman" w:cs="Times New Roman" w:eastAsia="Times New Roman" w:hAnsi="Times New Roman"/>
          <w:sz w:val="18"/>
          <w:szCs w:val="18"/>
          <w:i w:val="1"/>
          <w:iCs w:val="1"/>
          <w:color w:val="auto"/>
        </w:rPr>
        <w:t xml:space="preserve">ASC Topic 350 “Intangibles - Goodwill and Other” </w:t>
      </w:r>
      <w:r>
        <w:rPr>
          <w:rFonts w:ascii="Times New Roman" w:cs="Times New Roman" w:eastAsia="Times New Roman" w:hAnsi="Times New Roman"/>
          <w:sz w:val="18"/>
          <w:szCs w:val="18"/>
          <w:color w:val="auto"/>
        </w:rPr>
        <w:t>(ASC 350). In our qualitative assessment, we evaluate relevant events or circumstances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it is more likely than not (i.e., greater than 50%) that the fair value of a reporting unit is less than its carrying amount. If we determine that it is more likely than not that the fair value of a reporting unit is less than its carrying amount, ASC 350 requires us to compare the fair value of such reporting unit to its carrying value including goodwill. To determine the fair value of our reporting units, we use multiple valuation techniques including a discounted cash flow analysis, using the applicable weighted average cost of capital, in combination with a market approach that uses market multiples and a selection of guideline public companies. This test requires us to make assumptions about the future growth of our business and the market in general, as well as other variables such as the level of investment in capital expenditure, growth in working capital requirements and the terminal or residual value of our reporting units beyond the periods of estimated annual cash flows. We may use a third-party valuation firm to assist us with this analysis. If the fair value of each reporting unit exceeds its carrying value, no action is required. Otherwise, an impairment loss is recorded to the extent that the carrying amount of the reporting unit including goodwill exceeds the fair value of that reporting unit. We believe the estimates and assumptions used in our impairment assessment are reasonable based on available market information, but variations in any of the assumptions could result in materially different calculations of fair value and determinations of whether or not an impairment is indicated during current or future periods.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in accordance with ASC 805, Business Combinations. On the acquisition date for a business combination, we allocate the total purchase consideration for the acquisition to the assets acquired and liabilities assumed based on their respective estimated fair values on the acquisition date. Additionally, we identify and attribute fair values and estimated lives to acquired intangible assets. We identify an acquired intangible asset apart from goodwill whenever the intangible asset arises from contractual or other legal rights, or when it can be separately sold, transferred, licensed, rented, or exchanged. We recognize goodwill, if any, in the amount by which the aggregate fair value of the total purchase consideration exceeds the aggregate fair value of the net assets (including intangible assets) acquired.</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determining the fair values of assets acquired (including intangible assets) and liabilities assumed, we utilize a variety of methods. Each asset acquired and liability assumed is measured at fair value from the perspective of a market participant. The methods used to estimate the fair values of intangible assets incorporate significant estimates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and assumptions regarding the estimates a market participant would make in order to evaluate an asset, including, but not limited to, a market participant’s use of the asset as well as forecasts for cash flows, revenue growth, asset lives, customer attrition rates, royalty rates, income tax rates, and discount rates.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estimated fair values assigned to the assets acquired and liabilities assumed are based on reasonable assumptions that a market participant would use. While we use our best estimates and assumptions to value assets acquired and liabilities assumed at the acquisition date, our estimates are inherently uncertain and subject to refinement. The use of different assumptions related to these uncertain factors at acquisition could result in material changes to the amounts initially recorded at acquisition, which could have a material impact on our consolidated financial statements. When appropriate, we engage third-party valuation specialists to assist in determining the fair values of assets acquired and liabilities assumed.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initial accounting for a business combination has not been completed by the end of the reporting period in which the business combination occurs, provisional amounts are reported to present information about facts and circumstances that existed as of the acquisition date. We must complete the accounting for each business combination during its measurement period, which cannot exceed one year from the acquisition date. Adjustments made during the measurement period could have a material impact on our consolidated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that are directly attributable to business combinations are expensed as incurred within other expenses, net, on the consolidated statements of income and comprehensive income. The results of operations of acquisitions are included in the consolidated financial statements from the date of acquisition.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19"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color w:val="auto"/>
        </w:rPr>
        <w:t xml:space="preserve">A discussion of recent accounting pronouncements is included in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elsewhere in this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DTI will take advantage of these exemptions until such earlier time that it is no longer an emerging growth company. DTI would cease to be an emerging growth company on the date that is the earliest of (i) the last day of the fiscal year following the fifth anniversary of the date of the completion of the offering on December 6, 2021; (ii) the last day of the fiscal year in which its total annual gross revenue is equal to or more than $1.235 billion (iii) the date on which it has issued more than $1.0 billion in nonconvertible debt during the previous three years or (iv) the date on which it is deemed to be a large accelerated filer under the rules of the Securities and Exchange Commission.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3" w:name="page54"/>
    <w:bookmarkEnd w:id="5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principally of cash and accounts receivable. We maintain cash and cash equivalents with major and reputable financial institutions. Deposits held with these financial institutions may exceed the amount of insurance provided by the Federal Deposit Insurance Corporation and Canadian Deposit Insurance Corporation on such deposits but may be redeemed upon demand. We perform periodic evaluations of the relative credit standing of these financial institutions. With respect to accounts receivable, we monitor the credit quality of our customers as well as maintain an allowance for doubtful accounts for estimated losses resulting from the inability of customers to make required payments.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risk</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28% of our total revenue was earned from two of our customers. During the years ended December 31, 2023, 39% of our total revenue was earned from three of our customers. Amounts due from these customers included in accounts receivable at December 31, 2024 and December 31, 2023 were approximately $6.3 million and $11.1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customers are primarily located in the United States and Canada, but through the recent acquisitions, this has expanded to include customers located located in countries all across the globe. Therefore, foreign exchange risk exposures arise from transactions denominated in currencies other than the U.S. dollar, which is our functional and reporting currency. To date, a majority of our sales have been denominated in United States and Canadian dollars but we expect more sales to be denominated in other foreign currencies as we continue to expand globally.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to minimize the impact of these fluctuations in the exchange rates. We will periodically reassess our approach to manage our risk relating to fluctuations in currency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foreign currency risk had a material effect on our business, financial condition, or results of operations during the periods presented.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expect we will continue to experience inflationary pressures on our cost structure for the foreseeable future. However, tightness in overseas freight and transit times from have eased. Nonetheless, we cannot be confident that transit times or input prices will return to the lower levels experienced in prior years. Continued inflation and looming concerns regarding a possible recession weigh on the outlook for oil demand which could in turn negatively impact demand for our goods and services.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DRILLING TOOLS INTERNATIONAL CORPORATION</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Number 410)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Income and Comprehensive Income for the Years Ended December 31, 2024 and 2023</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Consolidated Statements of Changes in Redeemable Convertible Preferred Stock and Shareholder's Equity for the Years Ended December 31 2024, and 2023</w:t>
      </w:r>
    </w:p>
    <w:p>
      <w:pPr>
        <w:spacing w:after="0" w:line="54" w:lineRule="exact"/>
        <w:rPr>
          <w:sz w:val="20"/>
          <w:szCs w:val="20"/>
          <w:color w:val="auto"/>
        </w:rPr>
      </w:pPr>
    </w:p>
    <w:p>
      <w:pPr>
        <w:ind w:right="4480"/>
        <w:spacing w:after="0" w:line="407" w:lineRule="auto"/>
        <w:rPr>
          <w:sz w:val="20"/>
          <w:szCs w:val="20"/>
          <w:color w:val="auto"/>
        </w:rPr>
      </w:pPr>
      <w:r>
        <w:rPr>
          <w:rFonts w:ascii="Times New Roman" w:cs="Times New Roman" w:eastAsia="Times New Roman" w:hAnsi="Times New Roman"/>
          <w:sz w:val="18"/>
          <w:szCs w:val="18"/>
          <w:color w:val="auto"/>
        </w:rPr>
        <w:t>Consolidated Statement of Cash Flows for the Years Ended December 31, 2024 and 2023 Notes to the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liv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55" w:name="page56"/>
    <w:bookmarkEnd w:id="55"/>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Drilling Tools International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Drilling Tools International Corporation (the “Company”) as of December 31, 2024 and 2023, and the related consolidated statements of income and comprehensive income, consolidated statements of changes in redeemable convertible preferred stock and shareholders’ equity and consolidated statements of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 / Weaver and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bl>
      <w:tblPr>
        <w:tblLayout w:type="fixed"/>
        <w:tblInd w:w="0" w:type="dxa"/>
        <w:tblCellMar>
          <w:top w:w="0" w:type="dxa"/>
          <w:left w:w="0" w:type="dxa"/>
          <w:bottom w:w="0" w:type="dxa"/>
          <w:right w:w="0" w:type="dxa"/>
        </w:tblCellMar>
      </w:tblPr>
      <w:tr>
        <w:trPr>
          <w:trHeight w:val="146"/>
        </w:trPr>
        <w:tc>
          <w:tcPr>
            <w:tcW w:w="7120" w:type="dxa"/>
            <w:vAlign w:val="bottom"/>
          </w:tcPr>
          <w:p>
            <w:pPr>
              <w:spacing w:after="0"/>
              <w:rPr>
                <w:sz w:val="12"/>
                <w:szCs w:val="12"/>
                <w:color w:val="auto"/>
              </w:rPr>
            </w:pPr>
          </w:p>
        </w:tc>
        <w:tc>
          <w:tcPr>
            <w:tcW w:w="13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tcPr>
          <w:p>
            <w:pPr>
              <w:jc w:val="right"/>
              <w:ind w:right="637"/>
              <w:spacing w:after="0" w:line="146"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5"/>
        </w:trPr>
        <w:tc>
          <w:tcPr>
            <w:tcW w:w="7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except share data)</w:t>
            </w:r>
          </w:p>
        </w:tc>
        <w:tc>
          <w:tcPr>
            <w:tcW w:w="13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28"/>
        </w:trPr>
        <w:tc>
          <w:tcPr>
            <w:tcW w:w="71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ASSETS</w:t>
            </w:r>
          </w:p>
        </w:tc>
        <w:tc>
          <w:tcPr>
            <w:tcW w:w="13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r>
      <w:tr>
        <w:trPr>
          <w:trHeight w:val="135"/>
        </w:trPr>
        <w:tc>
          <w:tcPr>
            <w:tcW w:w="71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135"/>
        </w:trPr>
        <w:tc>
          <w:tcPr>
            <w:tcW w:w="7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Cash</w:t>
            </w:r>
          </w:p>
        </w:tc>
        <w:tc>
          <w:tcPr>
            <w:tcW w:w="1320" w:type="dxa"/>
            <w:vAlign w:val="bottom"/>
            <w:shd w:val="clear" w:color="auto" w:fill="CFF0FC"/>
          </w:tcPr>
          <w:p>
            <w:pPr>
              <w:jc w:val="right"/>
              <w:ind w:right="11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6,185</w:t>
            </w:r>
          </w:p>
        </w:tc>
        <w:tc>
          <w:tcPr>
            <w:tcW w:w="500" w:type="dxa"/>
            <w:vAlign w:val="bottom"/>
            <w:gridSpan w:val="2"/>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6,003</w:t>
            </w:r>
          </w:p>
        </w:tc>
      </w:tr>
      <w:tr>
        <w:trPr>
          <w:trHeight w:val="135"/>
        </w:trPr>
        <w:tc>
          <w:tcPr>
            <w:tcW w:w="7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1320" w:type="dxa"/>
            <w:vAlign w:val="bottom"/>
          </w:tcPr>
          <w:p>
            <w:pPr>
              <w:spacing w:after="0"/>
              <w:rPr>
                <w:sz w:val="11"/>
                <w:szCs w:val="11"/>
                <w:color w:val="auto"/>
              </w:rPr>
            </w:pPr>
          </w:p>
        </w:tc>
        <w:tc>
          <w:tcPr>
            <w:tcW w:w="6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39,606</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29,929</w:t>
            </w:r>
          </w:p>
        </w:tc>
      </w:tr>
      <w:tr>
        <w:trPr>
          <w:trHeight w:val="135"/>
        </w:trPr>
        <w:tc>
          <w:tcPr>
            <w:tcW w:w="7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Related party note receivable, current</w:t>
            </w:r>
          </w:p>
        </w:tc>
        <w:tc>
          <w:tcPr>
            <w:tcW w:w="13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909</w:t>
            </w: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Inventories, net</w:t>
            </w:r>
          </w:p>
        </w:tc>
        <w:tc>
          <w:tcPr>
            <w:tcW w:w="1320" w:type="dxa"/>
            <w:vAlign w:val="bottom"/>
          </w:tcPr>
          <w:p>
            <w:pPr>
              <w:spacing w:after="0"/>
              <w:rPr>
                <w:sz w:val="11"/>
                <w:szCs w:val="11"/>
                <w:color w:val="auto"/>
              </w:rPr>
            </w:pPr>
          </w:p>
        </w:tc>
        <w:tc>
          <w:tcPr>
            <w:tcW w:w="6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17,502</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5,034</w:t>
            </w:r>
          </w:p>
        </w:tc>
      </w:tr>
      <w:tr>
        <w:trPr>
          <w:trHeight w:val="135"/>
        </w:trPr>
        <w:tc>
          <w:tcPr>
            <w:tcW w:w="7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13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3,874</w:t>
            </w: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4,553</w:t>
            </w:r>
          </w:p>
        </w:tc>
      </w:tr>
      <w:tr>
        <w:trPr>
          <w:trHeight w:val="135"/>
        </w:trPr>
        <w:tc>
          <w:tcPr>
            <w:tcW w:w="7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Investments - equity securities, at fair value</w:t>
            </w:r>
          </w:p>
        </w:tc>
        <w:tc>
          <w:tcPr>
            <w:tcW w:w="1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888</w:t>
            </w:r>
          </w:p>
        </w:tc>
      </w:tr>
      <w:tr>
        <w:trPr>
          <w:trHeight w:val="128"/>
        </w:trPr>
        <w:tc>
          <w:tcPr>
            <w:tcW w:w="71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13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68,076</w:t>
            </w: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7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46,408</w:t>
            </w:r>
          </w:p>
        </w:tc>
      </w:tr>
      <w:tr>
        <w:trPr>
          <w:trHeight w:val="135"/>
        </w:trPr>
        <w:tc>
          <w:tcPr>
            <w:tcW w:w="7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1320" w:type="dxa"/>
            <w:vAlign w:val="bottom"/>
          </w:tcPr>
          <w:p>
            <w:pPr>
              <w:spacing w:after="0"/>
              <w:rPr>
                <w:sz w:val="11"/>
                <w:szCs w:val="11"/>
                <w:color w:val="auto"/>
              </w:rPr>
            </w:pPr>
          </w:p>
        </w:tc>
        <w:tc>
          <w:tcPr>
            <w:tcW w:w="6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75,571</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65,800</w:t>
            </w:r>
          </w:p>
        </w:tc>
      </w:tr>
      <w:tr>
        <w:trPr>
          <w:trHeight w:val="135"/>
        </w:trPr>
        <w:tc>
          <w:tcPr>
            <w:tcW w:w="7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Operating lease right-of-use asset</w:t>
            </w:r>
          </w:p>
        </w:tc>
        <w:tc>
          <w:tcPr>
            <w:tcW w:w="13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22,718</w:t>
            </w: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18,786</w:t>
            </w:r>
          </w:p>
        </w:tc>
      </w:tr>
      <w:tr>
        <w:trPr>
          <w:trHeight w:val="135"/>
        </w:trPr>
        <w:tc>
          <w:tcPr>
            <w:tcW w:w="7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Intangible assets, net</w:t>
            </w:r>
          </w:p>
        </w:tc>
        <w:tc>
          <w:tcPr>
            <w:tcW w:w="1320" w:type="dxa"/>
            <w:vAlign w:val="bottom"/>
          </w:tcPr>
          <w:p>
            <w:pPr>
              <w:spacing w:after="0"/>
              <w:rPr>
                <w:sz w:val="11"/>
                <w:szCs w:val="11"/>
                <w:color w:val="auto"/>
              </w:rPr>
            </w:pPr>
          </w:p>
        </w:tc>
        <w:tc>
          <w:tcPr>
            <w:tcW w:w="6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37,232</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216</w:t>
            </w:r>
          </w:p>
        </w:tc>
      </w:tr>
      <w:tr>
        <w:trPr>
          <w:trHeight w:val="135"/>
        </w:trPr>
        <w:tc>
          <w:tcPr>
            <w:tcW w:w="7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13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12,147</w:t>
            </w: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Deferred financing costs, net</w:t>
            </w:r>
          </w:p>
        </w:tc>
        <w:tc>
          <w:tcPr>
            <w:tcW w:w="1320" w:type="dxa"/>
            <w:vAlign w:val="bottom"/>
          </w:tcPr>
          <w:p>
            <w:pPr>
              <w:spacing w:after="0"/>
              <w:rPr>
                <w:sz w:val="11"/>
                <w:szCs w:val="11"/>
                <w:color w:val="auto"/>
              </w:rPr>
            </w:pPr>
          </w:p>
        </w:tc>
        <w:tc>
          <w:tcPr>
            <w:tcW w:w="6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817</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409</w:t>
            </w:r>
          </w:p>
        </w:tc>
      </w:tr>
      <w:tr>
        <w:trPr>
          <w:trHeight w:val="135"/>
        </w:trPr>
        <w:tc>
          <w:tcPr>
            <w:tcW w:w="7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Related party note receivable, less current portion</w:t>
            </w:r>
          </w:p>
        </w:tc>
        <w:tc>
          <w:tcPr>
            <w:tcW w:w="13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4,262</w:t>
            </w: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Deposits and other long-term assets</w:t>
            </w:r>
          </w:p>
        </w:tc>
        <w:tc>
          <w:tcPr>
            <w:tcW w:w="1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1,608</w:t>
            </w:r>
          </w:p>
        </w:tc>
        <w:tc>
          <w:tcPr>
            <w:tcW w:w="1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879</w:t>
            </w:r>
          </w:p>
        </w:tc>
      </w:tr>
      <w:tr>
        <w:trPr>
          <w:trHeight w:val="168"/>
        </w:trPr>
        <w:tc>
          <w:tcPr>
            <w:tcW w:w="71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320" w:type="dxa"/>
            <w:vAlign w:val="bottom"/>
            <w:shd w:val="clear" w:color="auto" w:fill="CFF0FC"/>
          </w:tcPr>
          <w:p>
            <w:pPr>
              <w:jc w:val="right"/>
              <w:ind w:right="117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222,431</w:t>
            </w:r>
          </w:p>
        </w:tc>
        <w:tc>
          <w:tcPr>
            <w:tcW w:w="500" w:type="dxa"/>
            <w:vAlign w:val="bottom"/>
            <w:gridSpan w:val="2"/>
            <w:shd w:val="clear" w:color="auto" w:fill="CFF0FC"/>
          </w:tcPr>
          <w:p>
            <w:pPr>
              <w:jc w:val="right"/>
              <w:ind w:right="19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132,498</w:t>
            </w:r>
          </w:p>
        </w:tc>
      </w:tr>
      <w:tr>
        <w:trPr>
          <w:trHeight w:val="116"/>
        </w:trPr>
        <w:tc>
          <w:tcPr>
            <w:tcW w:w="7120" w:type="dxa"/>
            <w:vAlign w:val="bottom"/>
            <w:tcBorders>
              <w:top w:val="single" w:sz="8" w:color="CFF0FC"/>
            </w:tcBorders>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13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r>
      <w:tr>
        <w:trPr>
          <w:trHeight w:val="135"/>
        </w:trPr>
        <w:tc>
          <w:tcPr>
            <w:tcW w:w="71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Current liabilities</w:t>
            </w:r>
          </w:p>
        </w:tc>
        <w:tc>
          <w:tcPr>
            <w:tcW w:w="13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r>
      <w:tr>
        <w:trPr>
          <w:trHeight w:val="135"/>
        </w:trPr>
        <w:tc>
          <w:tcPr>
            <w:tcW w:w="7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320" w:type="dxa"/>
            <w:vAlign w:val="bottom"/>
          </w:tcPr>
          <w:p>
            <w:pPr>
              <w:jc w:val="right"/>
              <w:ind w:right="11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11,983</w:t>
            </w:r>
          </w:p>
        </w:tc>
        <w:tc>
          <w:tcPr>
            <w:tcW w:w="500" w:type="dxa"/>
            <w:vAlign w:val="bottom"/>
            <w:gridSpan w:val="2"/>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7,751</w:t>
            </w:r>
          </w:p>
        </w:tc>
      </w:tr>
      <w:tr>
        <w:trPr>
          <w:trHeight w:val="135"/>
        </w:trPr>
        <w:tc>
          <w:tcPr>
            <w:tcW w:w="7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3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7,864</w:t>
            </w: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10,579</w:t>
            </w:r>
          </w:p>
        </w:tc>
      </w:tr>
      <w:tr>
        <w:trPr>
          <w:trHeight w:val="135"/>
        </w:trPr>
        <w:tc>
          <w:tcPr>
            <w:tcW w:w="7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1320" w:type="dxa"/>
            <w:vAlign w:val="bottom"/>
          </w:tcPr>
          <w:p>
            <w:pPr>
              <w:spacing w:after="0"/>
              <w:rPr>
                <w:sz w:val="11"/>
                <w:szCs w:val="11"/>
                <w:color w:val="auto"/>
              </w:rPr>
            </w:pPr>
          </w:p>
        </w:tc>
        <w:tc>
          <w:tcPr>
            <w:tcW w:w="6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4,121</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3,958</w:t>
            </w:r>
          </w:p>
        </w:tc>
      </w:tr>
      <w:tr>
        <w:trPr>
          <w:trHeight w:val="135"/>
        </w:trPr>
        <w:tc>
          <w:tcPr>
            <w:tcW w:w="7120" w:type="dxa"/>
            <w:vAlign w:val="bottom"/>
            <w:tcBorders>
              <w:bottom w:val="single" w:sz="8" w:color="CFF0FC"/>
            </w:tcBorders>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Current maturities of long-term debt</w:t>
            </w:r>
          </w:p>
        </w:tc>
        <w:tc>
          <w:tcPr>
            <w:tcW w:w="132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6,995</w:t>
            </w: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17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71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320" w:type="dxa"/>
            <w:vAlign w:val="bottom"/>
          </w:tcPr>
          <w:p>
            <w:pPr>
              <w:spacing w:after="0"/>
              <w:rPr>
                <w:sz w:val="11"/>
                <w:szCs w:val="11"/>
                <w:color w:val="auto"/>
              </w:rPr>
            </w:pPr>
          </w:p>
        </w:tc>
        <w:tc>
          <w:tcPr>
            <w:tcW w:w="6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30,963</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22,288</w:t>
            </w:r>
          </w:p>
        </w:tc>
      </w:tr>
      <w:tr>
        <w:trPr>
          <w:trHeight w:val="135"/>
        </w:trPr>
        <w:tc>
          <w:tcPr>
            <w:tcW w:w="7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Operating lease liabilities, less current portion</w:t>
            </w:r>
          </w:p>
        </w:tc>
        <w:tc>
          <w:tcPr>
            <w:tcW w:w="13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18,765</w:t>
            </w: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14,893</w:t>
            </w:r>
          </w:p>
        </w:tc>
      </w:tr>
      <w:tr>
        <w:trPr>
          <w:trHeight w:val="135"/>
        </w:trPr>
        <w:tc>
          <w:tcPr>
            <w:tcW w:w="7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Long term debt, net of current portion</w:t>
            </w:r>
          </w:p>
        </w:tc>
        <w:tc>
          <w:tcPr>
            <w:tcW w:w="1320" w:type="dxa"/>
            <w:vAlign w:val="bottom"/>
          </w:tcPr>
          <w:p>
            <w:pPr>
              <w:spacing w:after="0"/>
              <w:rPr>
                <w:sz w:val="11"/>
                <w:szCs w:val="11"/>
                <w:color w:val="auto"/>
              </w:rPr>
            </w:pPr>
          </w:p>
        </w:tc>
        <w:tc>
          <w:tcPr>
            <w:tcW w:w="6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19,676</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Revolving line of credit</w:t>
            </w:r>
          </w:p>
        </w:tc>
        <w:tc>
          <w:tcPr>
            <w:tcW w:w="13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27,142</w:t>
            </w: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r>
      <w:tr>
        <w:trPr>
          <w:trHeight w:val="135"/>
        </w:trPr>
        <w:tc>
          <w:tcPr>
            <w:tcW w:w="7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Deferred tax liabilities, net</w:t>
            </w:r>
          </w:p>
        </w:tc>
        <w:tc>
          <w:tcPr>
            <w:tcW w:w="1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5,926</w:t>
            </w:r>
          </w:p>
        </w:tc>
        <w:tc>
          <w:tcPr>
            <w:tcW w:w="1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6,627</w:t>
            </w:r>
          </w:p>
        </w:tc>
      </w:tr>
      <w:tr>
        <w:trPr>
          <w:trHeight w:val="128"/>
        </w:trPr>
        <w:tc>
          <w:tcPr>
            <w:tcW w:w="71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13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102,472</w:t>
            </w: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7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43,808</w:t>
            </w:r>
          </w:p>
        </w:tc>
      </w:tr>
      <w:tr>
        <w:trPr>
          <w:trHeight w:val="135"/>
        </w:trPr>
        <w:tc>
          <w:tcPr>
            <w:tcW w:w="71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Commitments and contingencies (See Note 15)</w:t>
            </w: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135"/>
        </w:trPr>
        <w:tc>
          <w:tcPr>
            <w:tcW w:w="71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 equity</w:t>
            </w:r>
          </w:p>
        </w:tc>
        <w:tc>
          <w:tcPr>
            <w:tcW w:w="13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r>
      <w:tr>
        <w:trPr>
          <w:trHeight w:val="117"/>
        </w:trPr>
        <w:tc>
          <w:tcPr>
            <w:tcW w:w="712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Common stock, $0.0001 par value, shares authorized 500,000,000 as of December 31, 2024 and December 31, 2023,</w:t>
            </w:r>
          </w:p>
        </w:tc>
        <w:tc>
          <w:tcPr>
            <w:tcW w:w="1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35"/>
        </w:trPr>
        <w:tc>
          <w:tcPr>
            <w:tcW w:w="7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w w:val="99"/>
              </w:rPr>
              <w:t>34,704,696 shares issued and outstanding as of December 31, 2024 and 29,768,568 shares issued and outstanding as of December 31,</w:t>
            </w: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153"/>
        </w:trPr>
        <w:tc>
          <w:tcPr>
            <w:tcW w:w="7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2023</w:t>
            </w:r>
          </w:p>
        </w:tc>
        <w:tc>
          <w:tcPr>
            <w:tcW w:w="1320" w:type="dxa"/>
            <w:vAlign w:val="bottom"/>
          </w:tcPr>
          <w:p>
            <w:pPr>
              <w:spacing w:after="0"/>
              <w:rPr>
                <w:sz w:val="13"/>
                <w:szCs w:val="13"/>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r>
      <w:tr>
        <w:trPr>
          <w:trHeight w:val="135"/>
        </w:trPr>
        <w:tc>
          <w:tcPr>
            <w:tcW w:w="7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Additional paid-in-capital</w:t>
            </w:r>
          </w:p>
        </w:tc>
        <w:tc>
          <w:tcPr>
            <w:tcW w:w="132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125,415</w:t>
            </w: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95,218</w:t>
            </w:r>
          </w:p>
        </w:tc>
      </w:tr>
      <w:tr>
        <w:trPr>
          <w:trHeight w:val="135"/>
        </w:trPr>
        <w:tc>
          <w:tcPr>
            <w:tcW w:w="7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Accumulated deficit</w:t>
            </w:r>
          </w:p>
        </w:tc>
        <w:tc>
          <w:tcPr>
            <w:tcW w:w="13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(3,582 )</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(6,306 )</w:t>
            </w:r>
          </w:p>
        </w:tc>
      </w:tr>
      <w:tr>
        <w:trPr>
          <w:trHeight w:val="135"/>
        </w:trPr>
        <w:tc>
          <w:tcPr>
            <w:tcW w:w="7120" w:type="dxa"/>
            <w:vAlign w:val="bottom"/>
            <w:tcBorders>
              <w:bottom w:val="single" w:sz="8" w:color="CFF0FC"/>
            </w:tcBorders>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132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(1,877 )</w:t>
            </w: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1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(225 )</w:t>
            </w:r>
          </w:p>
        </w:tc>
      </w:tr>
      <w:tr>
        <w:trPr>
          <w:trHeight w:val="129"/>
        </w:trPr>
        <w:tc>
          <w:tcPr>
            <w:tcW w:w="71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119,959</w:t>
            </w:r>
          </w:p>
        </w:tc>
        <w:tc>
          <w:tcPr>
            <w:tcW w:w="1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88,690</w:t>
            </w:r>
          </w:p>
        </w:tc>
      </w:tr>
      <w:tr>
        <w:trPr>
          <w:trHeight w:val="168"/>
        </w:trPr>
        <w:tc>
          <w:tcPr>
            <w:tcW w:w="712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1320" w:type="dxa"/>
            <w:vAlign w:val="bottom"/>
            <w:tcBorders>
              <w:bottom w:val="single" w:sz="8" w:color="auto"/>
            </w:tcBorders>
            <w:shd w:val="clear" w:color="auto" w:fill="CFF0FC"/>
          </w:tcPr>
          <w:p>
            <w:pPr>
              <w:jc w:val="right"/>
              <w:ind w:right="117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222,431</w:t>
            </w: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ind w:right="1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132,498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-1971040</wp:posOffset>
            </wp:positionV>
            <wp:extent cx="1028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-1953895</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-1430655</wp:posOffset>
            </wp:positionV>
            <wp:extent cx="102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-213995</wp:posOffset>
            </wp:positionV>
            <wp:extent cx="1028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1028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1028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Revenue, net:</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Tool rental</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117,926</w:t>
            </w:r>
          </w:p>
        </w:tc>
        <w:tc>
          <w:tcPr>
            <w:tcW w:w="5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119,239</w:t>
            </w:r>
          </w:p>
        </w:tc>
      </w:tr>
      <w:tr>
        <w:trPr>
          <w:trHeight w:val="20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 sale</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36,520</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32,795</w:t>
            </w: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154,446</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152,034</w:t>
            </w: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tool rental revenue</w:t>
            </w: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24,110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28,270</w:t>
            </w: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product sale revenue</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14,381</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7,249</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78,695</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68,264</w:t>
            </w:r>
          </w:p>
        </w:tc>
      </w:tr>
      <w:tr>
        <w:trPr>
          <w:trHeight w:val="20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23,832</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20,352</w:t>
            </w: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costs and expenses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141,018</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124,135</w:t>
            </w: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13,428</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27,899</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(3,369 )</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(1,103 )</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property</w:t>
            </w: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asset disposal</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(489 )</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remeasurement of previously held equity interest</w:t>
            </w: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(255 )</w:t>
            </w:r>
          </w:p>
        </w:tc>
      </w:tr>
      <w:tr>
        <w:trPr>
          <w:trHeight w:val="20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(7,503 )</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(6,359 )</w:t>
            </w: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expense, net</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(10,444 )</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(8,105 )</w:t>
            </w: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income tax expense</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2,984</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19,794</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(expense)/benefit</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(5,046 )</w:t>
            </w: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3,014</w:t>
            </w:r>
          </w:p>
        </w:tc>
        <w:tc>
          <w:tcPr>
            <w:tcW w:w="54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14,748</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dividends on redeemable convertible preferred stock</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314</w:t>
            </w:r>
          </w:p>
        </w:tc>
      </w:tr>
      <w:tr>
        <w:trPr>
          <w:trHeight w:val="19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3,014</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14,434</w:t>
            </w: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0.09</w:t>
            </w:r>
          </w:p>
        </w:tc>
        <w:tc>
          <w:tcPr>
            <w:tcW w:w="5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0.67</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0.09</w:t>
            </w:r>
          </w:p>
        </w:tc>
        <w:tc>
          <w:tcPr>
            <w:tcW w:w="54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0.59</w:t>
            </w:r>
          </w:p>
        </w:tc>
      </w:tr>
      <w:tr>
        <w:trPr>
          <w:trHeight w:val="183"/>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Basic weighted-average common shares outstanding</w:t>
            </w:r>
          </w:p>
        </w:tc>
        <w:tc>
          <w:tcPr>
            <w:tcW w:w="3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31,938,847</w:t>
            </w:r>
          </w:p>
        </w:tc>
        <w:tc>
          <w:tcPr>
            <w:tcW w:w="18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21,421,610</w:t>
            </w:r>
          </w:p>
        </w:tc>
      </w:tr>
      <w:tr>
        <w:trPr>
          <w:trHeight w:val="20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weighted-average common shares outstanding</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32,308,179</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25,131,024</w:t>
            </w: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3,014</w:t>
            </w:r>
          </w:p>
        </w:tc>
        <w:tc>
          <w:tcPr>
            <w:tcW w:w="54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14,748</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(1,652 )</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(114 )</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comprehensive income</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1,362</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-3762375</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-2982595</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-1936750</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-1130935</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-839470</wp:posOffset>
            </wp:positionV>
            <wp:extent cx="1111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-822325</wp:posOffset>
            </wp:positionV>
            <wp:extent cx="111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-556895</wp:posOffset>
            </wp:positionV>
            <wp:extent cx="1111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spacing w:after="0" w:line="200" w:lineRule="exact"/>
        <w:rPr>
          <w:sz w:val="20"/>
          <w:szCs w:val="20"/>
          <w:color w:val="auto"/>
        </w:rPr>
      </w:pPr>
    </w:p>
    <w:p>
      <w:pPr>
        <w:spacing w:after="0" w:line="206"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SHAREHOLDERS’ EQUITY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9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92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2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8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60"/>
        </w:trPr>
        <w:tc>
          <w:tcPr>
            <w:tcW w:w="266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i w:val="1"/>
                <w:iCs w:val="1"/>
                <w:color w:val="auto"/>
              </w:rPr>
              <w:t>(In thousands, except share and per share</w:t>
            </w: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368"/>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Pr>
          <w:p>
            <w:pPr>
              <w:spacing w:after="0"/>
              <w:rPr>
                <w:sz w:val="13"/>
                <w:szCs w:val="13"/>
                <w:color w:val="auto"/>
              </w:rPr>
            </w:pPr>
          </w:p>
        </w:tc>
        <w:tc>
          <w:tcPr>
            <w:tcW w:w="1220" w:type="dxa"/>
            <w:vAlign w:val="bottom"/>
            <w:gridSpan w:val="2"/>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8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data)</w:t>
            </w: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 December 31,</w:t>
            </w: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6,719,641</w:t>
            </w:r>
          </w:p>
        </w:tc>
        <w:tc>
          <w:tcPr>
            <w:tcW w:w="12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17,878</w:t>
            </w: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11,951,137</w:t>
            </w:r>
          </w:p>
        </w:tc>
        <w:tc>
          <w:tcPr>
            <w:tcW w:w="1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52,388</w:t>
            </w:r>
          </w:p>
        </w:tc>
        <w:tc>
          <w:tcPr>
            <w:tcW w:w="10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(21,054 )</w:t>
            </w:r>
          </w:p>
        </w:tc>
        <w:tc>
          <w:tcPr>
            <w:tcW w:w="12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31,224</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CFF0FC"/>
            </w:tcBorders>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720" w:type="dxa"/>
            <w:vAlign w:val="bottom"/>
            <w:tcBorders>
              <w:bottom w:val="single" w:sz="8" w:color="auto"/>
            </w:tcBorders>
            <w:vMerge w:val="continue"/>
            <w:shd w:val="clear" w:color="auto" w:fill="CFF0FC"/>
          </w:tcPr>
          <w:p>
            <w:pPr>
              <w:spacing w:after="0"/>
              <w:rPr>
                <w:sz w:val="15"/>
                <w:szCs w:val="15"/>
                <w:color w:val="auto"/>
              </w:rPr>
            </w:pP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78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110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66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auto"/>
              </w:rPr>
              <w:t>Net exercise of stock options by DTIH</w:t>
            </w: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9"/>
                <w:szCs w:val="9"/>
                <w:color w:val="auto"/>
              </w:rPr>
            </w:pPr>
          </w:p>
        </w:tc>
        <w:tc>
          <w:tcPr>
            <w:tcW w:w="11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36,163</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 (Note 2)</w:t>
            </w: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Accretion of redeemable</w:t>
            </w:r>
          </w:p>
        </w:tc>
        <w:tc>
          <w:tcPr>
            <w:tcW w:w="9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 preferred stock to redemption</w:t>
            </w: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314</w:t>
            </w:r>
          </w:p>
        </w:tc>
        <w:tc>
          <w:tcPr>
            <w:tcW w:w="140" w:type="dxa"/>
            <w:vAlign w:val="bottom"/>
            <w:tcBorders>
              <w:right w:val="single" w:sz="8" w:color="auto"/>
            </w:tcBorders>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(314 )</w:t>
            </w: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value prior to closing of the Merger</w:t>
            </w: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Exchange of DTIH redeemable convertible</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for DTIC Common Stock</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(6,719,641 )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(18,192 )</w:t>
            </w:r>
          </w:p>
        </w:tc>
        <w:tc>
          <w:tcPr>
            <w:tcW w:w="140" w:type="dxa"/>
            <w:vAlign w:val="bottom"/>
            <w:tcBorders>
              <w:right w:val="single" w:sz="8" w:color="auto"/>
            </w:tcBorders>
          </w:tcPr>
          <w:p>
            <w:pPr>
              <w:spacing w:after="0"/>
              <w:rPr>
                <w:sz w:val="12"/>
                <w:szCs w:val="12"/>
                <w:color w:val="auto"/>
              </w:rPr>
            </w:pPr>
          </w:p>
        </w:tc>
        <w:tc>
          <w:tcPr>
            <w:tcW w:w="11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6,719,641</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7,192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7,193</w:t>
            </w:r>
          </w:p>
        </w:tc>
        <w:tc>
          <w:tcPr>
            <w:tcW w:w="0" w:type="dxa"/>
            <w:vAlign w:val="bottom"/>
          </w:tcPr>
          <w:p>
            <w:pPr>
              <w:spacing w:after="0"/>
              <w:rPr>
                <w:sz w:val="1"/>
                <w:szCs w:val="1"/>
                <w:color w:val="auto"/>
              </w:rPr>
            </w:pPr>
          </w:p>
        </w:tc>
      </w:tr>
      <w:tr>
        <w:trPr>
          <w:trHeight w:val="171"/>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 2)</w:t>
            </w: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DTIC Common Stock to</w:t>
            </w:r>
          </w:p>
        </w:tc>
        <w:tc>
          <w:tcPr>
            <w:tcW w:w="9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former holders of DTIH redeemable</w:t>
            </w: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 preferred stock in connection</w:t>
            </w: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2,042,181</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10,805</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10,805</w:t>
            </w: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with Exchange Agreements (Note 2)</w:t>
            </w: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Merger, net of redemptions and transaction</w:t>
            </w: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0"/>
                <w:szCs w:val="10"/>
                <w:color w:val="auto"/>
              </w:rPr>
            </w:pPr>
          </w:p>
        </w:tc>
        <w:tc>
          <w:tcPr>
            <w:tcW w:w="11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5,711,721</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(8,839 )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(8,838 )</w:t>
            </w:r>
          </w:p>
        </w:tc>
        <w:tc>
          <w:tcPr>
            <w:tcW w:w="0" w:type="dxa"/>
            <w:vAlign w:val="bottom"/>
          </w:tcPr>
          <w:p>
            <w:pPr>
              <w:spacing w:after="0"/>
              <w:rPr>
                <w:sz w:val="1"/>
                <w:szCs w:val="1"/>
                <w:color w:val="auto"/>
              </w:rPr>
            </w:pPr>
          </w:p>
        </w:tc>
      </w:tr>
      <w:tr>
        <w:trPr>
          <w:trHeight w:val="171"/>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(Note 2)</w:t>
            </w: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DTIC Common Stock in</w:t>
            </w:r>
          </w:p>
        </w:tc>
        <w:tc>
          <w:tcPr>
            <w:tcW w:w="9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connection with the consummation of the</w:t>
            </w: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2,970,296</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PIPE Financing (Note 2)</w:t>
            </w: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2"/>
                <w:szCs w:val="12"/>
                <w:color w:val="auto"/>
              </w:rPr>
            </w:pPr>
          </w:p>
        </w:tc>
        <w:tc>
          <w:tcPr>
            <w:tcW w:w="11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337,429</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3,986</w:t>
            </w:r>
          </w:p>
        </w:tc>
        <w:tc>
          <w:tcPr>
            <w:tcW w:w="0" w:type="dxa"/>
            <w:vAlign w:val="bottom"/>
          </w:tcPr>
          <w:p>
            <w:pPr>
              <w:spacing w:after="0"/>
              <w:rPr>
                <w:sz w:val="1"/>
                <w:szCs w:val="1"/>
                <w:color w:val="auto"/>
              </w:rPr>
            </w:pPr>
          </w:p>
        </w:tc>
      </w:tr>
      <w:tr>
        <w:trPr>
          <w:trHeight w:val="126"/>
        </w:trPr>
        <w:tc>
          <w:tcPr>
            <w:tcW w:w="26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12"/>
                <w:szCs w:val="12"/>
                <w:color w:val="auto"/>
              </w:rPr>
            </w:pPr>
          </w:p>
        </w:tc>
        <w:tc>
          <w:tcPr>
            <w:tcW w:w="100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14,748</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14,748</w:t>
            </w:r>
          </w:p>
        </w:tc>
        <w:tc>
          <w:tcPr>
            <w:tcW w:w="0" w:type="dxa"/>
            <w:vAlign w:val="bottom"/>
          </w:tcPr>
          <w:p>
            <w:pPr>
              <w:spacing w:after="0"/>
              <w:rPr>
                <w:sz w:val="1"/>
                <w:szCs w:val="1"/>
                <w:color w:val="auto"/>
              </w:rPr>
            </w:pPr>
          </w:p>
        </w:tc>
      </w:tr>
      <w:tr>
        <w:trPr>
          <w:trHeight w:val="182"/>
        </w:trPr>
        <w:tc>
          <w:tcPr>
            <w:tcW w:w="26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98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gridSpan w:val="2"/>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29,768,568</w:t>
            </w:r>
          </w:p>
        </w:tc>
        <w:tc>
          <w:tcPr>
            <w:tcW w:w="1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5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95,218</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(6,306 )</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(225 )</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88,690</w:t>
            </w:r>
          </w:p>
        </w:tc>
        <w:tc>
          <w:tcPr>
            <w:tcW w:w="0" w:type="dxa"/>
            <w:vAlign w:val="bottom"/>
          </w:tcPr>
          <w:p>
            <w:pPr>
              <w:spacing w:after="0"/>
              <w:rPr>
                <w:sz w:val="1"/>
                <w:szCs w:val="1"/>
                <w:color w:val="auto"/>
              </w:rPr>
            </w:pPr>
          </w:p>
        </w:tc>
      </w:tr>
      <w:tr>
        <w:trPr>
          <w:trHeight w:val="129"/>
        </w:trPr>
        <w:tc>
          <w:tcPr>
            <w:tcW w:w="26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1"/>
                <w:szCs w:val="11"/>
                <w:color w:val="auto"/>
              </w:rPr>
            </w:pPr>
          </w:p>
        </w:tc>
        <w:tc>
          <w:tcPr>
            <w:tcW w:w="11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1,647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126"/>
        </w:trPr>
        <w:tc>
          <w:tcPr>
            <w:tcW w:w="26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due to vesting of restricted</w:t>
            </w: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74,440</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units</w:t>
            </w: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2"/>
                <w:szCs w:val="12"/>
                <w:color w:val="auto"/>
              </w:rPr>
            </w:pPr>
          </w:p>
        </w:tc>
        <w:tc>
          <w:tcPr>
            <w:tcW w:w="11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16,556</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26"/>
        </w:trPr>
        <w:tc>
          <w:tcPr>
            <w:tcW w:w="26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 to</w:t>
            </w: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4,845,132</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27,714</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27,714</w:t>
            </w: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business combinations</w:t>
            </w: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Accelerated vesting of substitute stock</w:t>
            </w: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spacing w:after="0"/>
              <w:rPr>
                <w:sz w:val="10"/>
                <w:szCs w:val="10"/>
                <w:color w:val="auto"/>
              </w:rPr>
            </w:pPr>
          </w:p>
        </w:tc>
        <w:tc>
          <w:tcPr>
            <w:tcW w:w="11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71"/>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(1,652 )</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(1,652 )</w:t>
            </w:r>
          </w:p>
        </w:tc>
        <w:tc>
          <w:tcPr>
            <w:tcW w:w="0" w:type="dxa"/>
            <w:vAlign w:val="bottom"/>
          </w:tcPr>
          <w:p>
            <w:pPr>
              <w:spacing w:after="0"/>
              <w:rPr>
                <w:sz w:val="1"/>
                <w:szCs w:val="1"/>
                <w:color w:val="auto"/>
              </w:rPr>
            </w:pPr>
          </w:p>
        </w:tc>
      </w:tr>
      <w:tr>
        <w:trPr>
          <w:trHeight w:val="171"/>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12"/>
                <w:szCs w:val="12"/>
                <w:color w:val="auto"/>
              </w:rPr>
            </w:pPr>
          </w:p>
        </w:tc>
        <w:tc>
          <w:tcPr>
            <w:tcW w:w="100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3,014</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3,014</w:t>
            </w:r>
          </w:p>
        </w:tc>
        <w:tc>
          <w:tcPr>
            <w:tcW w:w="0" w:type="dxa"/>
            <w:vAlign w:val="bottom"/>
          </w:tcPr>
          <w:p>
            <w:pPr>
              <w:spacing w:after="0"/>
              <w:rPr>
                <w:sz w:val="1"/>
                <w:szCs w:val="1"/>
                <w:color w:val="auto"/>
              </w:rPr>
            </w:pPr>
          </w:p>
        </w:tc>
      </w:tr>
      <w:tr>
        <w:trPr>
          <w:trHeight w:val="182"/>
        </w:trPr>
        <w:tc>
          <w:tcPr>
            <w:tcW w:w="26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98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gridSpan w:val="2"/>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34,704,696</w:t>
            </w:r>
          </w:p>
        </w:tc>
        <w:tc>
          <w:tcPr>
            <w:tcW w:w="1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5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125,415</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(3,582 )</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(1,877 )</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119,959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-3299460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-3282315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-3860800</wp:posOffset>
            </wp:positionV>
            <wp:extent cx="89535" cy="6000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9535" cy="6000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-3299460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-3282315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-3299460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-3282315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-3299460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-3282315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-3299460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-3282315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-3299460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-3282315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-1190625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-1173480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-1400810</wp:posOffset>
            </wp:positionV>
            <wp:extent cx="89535" cy="2482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9535" cy="24828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-1190625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-1173480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-1190625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-1173480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-1190625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-1173480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-1190625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-1173480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-1190625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-1173480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-24765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-7620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-234950</wp:posOffset>
            </wp:positionV>
            <wp:extent cx="89535" cy="2482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9535" cy="24828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70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i w:val="1"/>
                <w:iCs w:val="1"/>
                <w:color w:val="auto"/>
              </w:rPr>
              <w:t>(In thousands)</w:t>
            </w: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746"/>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746"/>
              <w:spacing w:after="0" w:line="115" w:lineRule="exact"/>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15"/>
        </w:trPr>
        <w:tc>
          <w:tcPr>
            <w:tcW w:w="77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380" w:type="dxa"/>
            <w:vAlign w:val="bottom"/>
          </w:tcPr>
          <w:p>
            <w:pPr>
              <w:jc w:val="right"/>
              <w:ind w:right="2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3,014</w:t>
            </w:r>
          </w:p>
        </w:tc>
        <w:tc>
          <w:tcPr>
            <w:tcW w:w="720" w:type="dxa"/>
            <w:vAlign w:val="bottom"/>
            <w:gridSpan w:val="2"/>
          </w:tcPr>
          <w:p>
            <w:pPr>
              <w:jc w:val="right"/>
              <w:ind w:right="4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14,748</w:t>
            </w:r>
          </w:p>
        </w:tc>
        <w:tc>
          <w:tcPr>
            <w:tcW w:w="0" w:type="dxa"/>
            <w:vAlign w:val="bottom"/>
          </w:tcPr>
          <w:p>
            <w:pPr>
              <w:spacing w:after="0"/>
              <w:rPr>
                <w:sz w:val="1"/>
                <w:szCs w:val="1"/>
                <w:color w:val="auto"/>
              </w:rPr>
            </w:pPr>
          </w:p>
        </w:tc>
      </w:tr>
      <w:tr>
        <w:trPr>
          <w:trHeight w:val="122"/>
        </w:trPr>
        <w:tc>
          <w:tcPr>
            <w:tcW w:w="77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Adjustments to reconcile net income to net cash from operating activities:</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380" w:type="dxa"/>
            <w:vAlign w:val="bottom"/>
          </w:tcPr>
          <w:p>
            <w:pPr>
              <w:spacing w:after="0"/>
              <w:rPr>
                <w:sz w:val="10"/>
                <w:szCs w:val="10"/>
                <w:color w:val="auto"/>
              </w:rPr>
            </w:pPr>
          </w:p>
        </w:tc>
        <w:tc>
          <w:tcPr>
            <w:tcW w:w="13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23,832</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20,352</w:t>
            </w:r>
          </w:p>
        </w:tc>
        <w:tc>
          <w:tcPr>
            <w:tcW w:w="0" w:type="dxa"/>
            <w:vAlign w:val="bottom"/>
          </w:tcPr>
          <w:p>
            <w:pPr>
              <w:spacing w:after="0"/>
              <w:rPr>
                <w:sz w:val="1"/>
                <w:szCs w:val="1"/>
                <w:color w:val="auto"/>
              </w:rPr>
            </w:pP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Amortization of deferred financing costs</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313</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139</w:t>
            </w:r>
          </w:p>
        </w:tc>
        <w:tc>
          <w:tcPr>
            <w:tcW w:w="0" w:type="dxa"/>
            <w:vAlign w:val="bottom"/>
          </w:tcPr>
          <w:p>
            <w:pPr>
              <w:spacing w:after="0"/>
              <w:rPr>
                <w:sz w:val="1"/>
                <w:szCs w:val="1"/>
                <w:color w:val="auto"/>
              </w:rPr>
            </w:pPr>
          </w:p>
        </w:tc>
      </w:tr>
      <w:tr>
        <w:trPr>
          <w:trHeight w:val="121"/>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Non-cash lease expense</w:t>
            </w:r>
          </w:p>
        </w:tc>
        <w:tc>
          <w:tcPr>
            <w:tcW w:w="380" w:type="dxa"/>
            <w:vAlign w:val="bottom"/>
          </w:tcPr>
          <w:p>
            <w:pPr>
              <w:spacing w:after="0"/>
              <w:rPr>
                <w:sz w:val="10"/>
                <w:szCs w:val="10"/>
                <w:color w:val="auto"/>
              </w:rPr>
            </w:pPr>
          </w:p>
        </w:tc>
        <w:tc>
          <w:tcPr>
            <w:tcW w:w="13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5,121</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4,515</w:t>
            </w:r>
          </w:p>
        </w:tc>
        <w:tc>
          <w:tcPr>
            <w:tcW w:w="0" w:type="dxa"/>
            <w:vAlign w:val="bottom"/>
          </w:tcPr>
          <w:p>
            <w:pPr>
              <w:spacing w:after="0"/>
              <w:rPr>
                <w:sz w:val="1"/>
                <w:szCs w:val="1"/>
                <w:color w:val="auto"/>
              </w:rPr>
            </w:pP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Unrealized loss on currency remeasurement</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225</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Provision for excess and obsolete inventory</w:t>
            </w:r>
          </w:p>
        </w:tc>
        <w:tc>
          <w:tcPr>
            <w:tcW w:w="380" w:type="dxa"/>
            <w:vAlign w:val="bottom"/>
          </w:tcPr>
          <w:p>
            <w:pPr>
              <w:spacing w:after="0"/>
              <w:rPr>
                <w:sz w:val="10"/>
                <w:szCs w:val="10"/>
                <w:color w:val="auto"/>
              </w:rPr>
            </w:pPr>
          </w:p>
        </w:tc>
        <w:tc>
          <w:tcPr>
            <w:tcW w:w="13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75</w:t>
            </w:r>
          </w:p>
        </w:tc>
        <w:tc>
          <w:tcPr>
            <w:tcW w:w="0" w:type="dxa"/>
            <w:vAlign w:val="bottom"/>
          </w:tcPr>
          <w:p>
            <w:pPr>
              <w:spacing w:after="0"/>
              <w:rPr>
                <w:sz w:val="1"/>
                <w:szCs w:val="1"/>
                <w:color w:val="auto"/>
              </w:rPr>
            </w:pP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Provision for excess and obsolete property and equipment</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122</w:t>
            </w:r>
          </w:p>
        </w:tc>
        <w:tc>
          <w:tcPr>
            <w:tcW w:w="0" w:type="dxa"/>
            <w:vAlign w:val="bottom"/>
          </w:tcPr>
          <w:p>
            <w:pPr>
              <w:spacing w:after="0"/>
              <w:rPr>
                <w:sz w:val="1"/>
                <w:szCs w:val="1"/>
                <w:color w:val="auto"/>
              </w:rPr>
            </w:pP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Provision for credit losses</w:t>
            </w:r>
          </w:p>
        </w:tc>
        <w:tc>
          <w:tcPr>
            <w:tcW w:w="380" w:type="dxa"/>
            <w:vAlign w:val="bottom"/>
          </w:tcPr>
          <w:p>
            <w:pPr>
              <w:spacing w:after="0"/>
              <w:rPr>
                <w:sz w:val="10"/>
                <w:szCs w:val="10"/>
                <w:color w:val="auto"/>
              </w:rPr>
            </w:pPr>
          </w:p>
        </w:tc>
        <w:tc>
          <w:tcPr>
            <w:tcW w:w="13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424</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117</w:t>
            </w:r>
          </w:p>
        </w:tc>
        <w:tc>
          <w:tcPr>
            <w:tcW w:w="0" w:type="dxa"/>
            <w:vAlign w:val="bottom"/>
          </w:tcPr>
          <w:p>
            <w:pPr>
              <w:spacing w:after="0"/>
              <w:rPr>
                <w:sz w:val="1"/>
                <w:szCs w:val="1"/>
                <w:color w:val="auto"/>
              </w:rPr>
            </w:pPr>
          </w:p>
        </w:tc>
      </w:tr>
      <w:tr>
        <w:trPr>
          <w:trHeight w:val="121"/>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Deferred tax expense/(benefit)</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(778 )</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3,443</w:t>
            </w:r>
          </w:p>
        </w:tc>
        <w:tc>
          <w:tcPr>
            <w:tcW w:w="0" w:type="dxa"/>
            <w:vAlign w:val="bottom"/>
          </w:tcPr>
          <w:p>
            <w:pPr>
              <w:spacing w:after="0"/>
              <w:rPr>
                <w:sz w:val="1"/>
                <w:szCs w:val="1"/>
                <w:color w:val="auto"/>
              </w:rPr>
            </w:pP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Loss on asset disposal</w:t>
            </w:r>
          </w:p>
        </w:tc>
        <w:tc>
          <w:tcPr>
            <w:tcW w:w="380" w:type="dxa"/>
            <w:vAlign w:val="bottom"/>
          </w:tcPr>
          <w:p>
            <w:pPr>
              <w:spacing w:after="0"/>
              <w:rPr>
                <w:sz w:val="10"/>
                <w:szCs w:val="10"/>
                <w:color w:val="auto"/>
              </w:rPr>
            </w:pPr>
          </w:p>
        </w:tc>
        <w:tc>
          <w:tcPr>
            <w:tcW w:w="13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489</w:t>
            </w:r>
          </w:p>
        </w:tc>
        <w:tc>
          <w:tcPr>
            <w:tcW w:w="0" w:type="dxa"/>
            <w:vAlign w:val="bottom"/>
          </w:tcPr>
          <w:p>
            <w:pPr>
              <w:spacing w:after="0"/>
              <w:rPr>
                <w:sz w:val="1"/>
                <w:szCs w:val="1"/>
                <w:color w:val="auto"/>
              </w:rPr>
            </w:pP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Gain on sale of property</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(60 )</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(101 )</w:t>
            </w:r>
          </w:p>
        </w:tc>
        <w:tc>
          <w:tcPr>
            <w:tcW w:w="0" w:type="dxa"/>
            <w:vAlign w:val="bottom"/>
          </w:tcPr>
          <w:p>
            <w:pPr>
              <w:spacing w:after="0"/>
              <w:rPr>
                <w:sz w:val="1"/>
                <w:szCs w:val="1"/>
                <w:color w:val="auto"/>
              </w:rPr>
            </w:pP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Realized loss on equity securities</w:t>
            </w:r>
          </w:p>
        </w:tc>
        <w:tc>
          <w:tcPr>
            <w:tcW w:w="380" w:type="dxa"/>
            <w:vAlign w:val="bottom"/>
          </w:tcPr>
          <w:p>
            <w:pPr>
              <w:spacing w:after="0"/>
              <w:rPr>
                <w:sz w:val="10"/>
                <w:szCs w:val="10"/>
                <w:color w:val="auto"/>
              </w:rPr>
            </w:pPr>
          </w:p>
        </w:tc>
        <w:tc>
          <w:tcPr>
            <w:tcW w:w="13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Unrealized (gain) loss on equity securities</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(368 )</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255</w:t>
            </w:r>
          </w:p>
        </w:tc>
        <w:tc>
          <w:tcPr>
            <w:tcW w:w="0" w:type="dxa"/>
            <w:vAlign w:val="bottom"/>
          </w:tcPr>
          <w:p>
            <w:pPr>
              <w:spacing w:after="0"/>
              <w:rPr>
                <w:sz w:val="1"/>
                <w:szCs w:val="1"/>
                <w:color w:val="auto"/>
              </w:rPr>
            </w:pPr>
          </w:p>
        </w:tc>
      </w:tr>
      <w:tr>
        <w:trPr>
          <w:trHeight w:val="121"/>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Realized loss on interest rate swap</w:t>
            </w:r>
          </w:p>
        </w:tc>
        <w:tc>
          <w:tcPr>
            <w:tcW w:w="380" w:type="dxa"/>
            <w:vAlign w:val="bottom"/>
          </w:tcPr>
          <w:p>
            <w:pPr>
              <w:spacing w:after="0"/>
              <w:rPr>
                <w:sz w:val="10"/>
                <w:szCs w:val="10"/>
                <w:color w:val="auto"/>
              </w:rPr>
            </w:pPr>
          </w:p>
        </w:tc>
        <w:tc>
          <w:tcPr>
            <w:tcW w:w="13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Gross profit from sale of lost-in-hole equipment</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(10,027 )</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(16,686 )</w:t>
            </w:r>
          </w:p>
        </w:tc>
        <w:tc>
          <w:tcPr>
            <w:tcW w:w="0" w:type="dxa"/>
            <w:vAlign w:val="bottom"/>
          </w:tcPr>
          <w:p>
            <w:pPr>
              <w:spacing w:after="0"/>
              <w:rPr>
                <w:sz w:val="1"/>
                <w:szCs w:val="1"/>
                <w:color w:val="auto"/>
              </w:rPr>
            </w:pP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380" w:type="dxa"/>
            <w:vAlign w:val="bottom"/>
          </w:tcPr>
          <w:p>
            <w:pPr>
              <w:spacing w:after="0"/>
              <w:rPr>
                <w:sz w:val="10"/>
                <w:szCs w:val="10"/>
                <w:color w:val="auto"/>
              </w:rPr>
            </w:pPr>
          </w:p>
        </w:tc>
        <w:tc>
          <w:tcPr>
            <w:tcW w:w="13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2,092</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3,986</w:t>
            </w:r>
          </w:p>
        </w:tc>
        <w:tc>
          <w:tcPr>
            <w:tcW w:w="0" w:type="dxa"/>
            <w:vAlign w:val="bottom"/>
          </w:tcPr>
          <w:p>
            <w:pPr>
              <w:spacing w:after="0"/>
              <w:rPr>
                <w:sz w:val="1"/>
                <w:szCs w:val="1"/>
                <w:color w:val="auto"/>
              </w:rPr>
            </w:pP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Interest Income on related party note receivable</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(151 )</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Accounts receivable, net</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(4,015 )</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(1,048 )</w:t>
            </w:r>
          </w:p>
        </w:tc>
        <w:tc>
          <w:tcPr>
            <w:tcW w:w="0" w:type="dxa"/>
            <w:vAlign w:val="bottom"/>
          </w:tcPr>
          <w:p>
            <w:pPr>
              <w:spacing w:after="0"/>
              <w:rPr>
                <w:sz w:val="1"/>
                <w:szCs w:val="1"/>
                <w:color w:val="auto"/>
              </w:rPr>
            </w:pP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Prepaid expenses and other current assets</w:t>
            </w:r>
          </w:p>
        </w:tc>
        <w:tc>
          <w:tcPr>
            <w:tcW w:w="380" w:type="dxa"/>
            <w:vAlign w:val="bottom"/>
          </w:tcPr>
          <w:p>
            <w:pPr>
              <w:spacing w:after="0"/>
              <w:rPr>
                <w:sz w:val="10"/>
                <w:szCs w:val="10"/>
                <w:color w:val="auto"/>
              </w:rPr>
            </w:pPr>
          </w:p>
        </w:tc>
        <w:tc>
          <w:tcPr>
            <w:tcW w:w="13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874</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519</w:t>
            </w:r>
          </w:p>
        </w:tc>
        <w:tc>
          <w:tcPr>
            <w:tcW w:w="0" w:type="dxa"/>
            <w:vAlign w:val="bottom"/>
          </w:tcPr>
          <w:p>
            <w:pPr>
              <w:spacing w:after="0"/>
              <w:rPr>
                <w:sz w:val="1"/>
                <w:szCs w:val="1"/>
                <w:color w:val="auto"/>
              </w:rPr>
            </w:pP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Inventories, net</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(4,320 )</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(1,716 )</w:t>
            </w:r>
          </w:p>
        </w:tc>
        <w:tc>
          <w:tcPr>
            <w:tcW w:w="0" w:type="dxa"/>
            <w:vAlign w:val="bottom"/>
          </w:tcPr>
          <w:p>
            <w:pPr>
              <w:spacing w:after="0"/>
              <w:rPr>
                <w:sz w:val="1"/>
                <w:szCs w:val="1"/>
                <w:color w:val="auto"/>
              </w:rPr>
            </w:pP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Deposits and other current assets</w:t>
            </w:r>
          </w:p>
        </w:tc>
        <w:tc>
          <w:tcPr>
            <w:tcW w:w="380" w:type="dxa"/>
            <w:vAlign w:val="bottom"/>
          </w:tcPr>
          <w:p>
            <w:pPr>
              <w:spacing w:after="0"/>
              <w:rPr>
                <w:sz w:val="10"/>
                <w:szCs w:val="10"/>
                <w:color w:val="auto"/>
              </w:rPr>
            </w:pPr>
          </w:p>
        </w:tc>
        <w:tc>
          <w:tcPr>
            <w:tcW w:w="13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(496 )</w:t>
            </w:r>
          </w:p>
        </w:tc>
        <w:tc>
          <w:tcPr>
            <w:tcW w:w="0" w:type="dxa"/>
            <w:vAlign w:val="bottom"/>
          </w:tcPr>
          <w:p>
            <w:pPr>
              <w:spacing w:after="0"/>
              <w:rPr>
                <w:sz w:val="1"/>
                <w:szCs w:val="1"/>
                <w:color w:val="auto"/>
              </w:rPr>
            </w:pPr>
          </w:p>
        </w:tc>
      </w:tr>
      <w:tr>
        <w:trPr>
          <w:trHeight w:val="121"/>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Operating lease liabilities</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(4,832 )</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(4,415 )</w:t>
            </w:r>
          </w:p>
        </w:tc>
        <w:tc>
          <w:tcPr>
            <w:tcW w:w="0" w:type="dxa"/>
            <w:vAlign w:val="bottom"/>
          </w:tcPr>
          <w:p>
            <w:pPr>
              <w:spacing w:after="0"/>
              <w:rPr>
                <w:sz w:val="1"/>
                <w:szCs w:val="1"/>
                <w:color w:val="auto"/>
              </w:rPr>
            </w:pP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Accounts payable</w:t>
            </w:r>
          </w:p>
        </w:tc>
        <w:tc>
          <w:tcPr>
            <w:tcW w:w="380" w:type="dxa"/>
            <w:vAlign w:val="bottom"/>
          </w:tcPr>
          <w:p>
            <w:pPr>
              <w:spacing w:after="0"/>
              <w:rPr>
                <w:sz w:val="10"/>
                <w:szCs w:val="10"/>
                <w:color w:val="auto"/>
              </w:rPr>
            </w:pPr>
          </w:p>
        </w:tc>
        <w:tc>
          <w:tcPr>
            <w:tcW w:w="13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(78 )</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(1,552 )</w:t>
            </w:r>
          </w:p>
        </w:tc>
        <w:tc>
          <w:tcPr>
            <w:tcW w:w="0" w:type="dxa"/>
            <w:vAlign w:val="bottom"/>
          </w:tcPr>
          <w:p>
            <w:pPr>
              <w:spacing w:after="0"/>
              <w:rPr>
                <w:sz w:val="1"/>
                <w:szCs w:val="1"/>
                <w:color w:val="auto"/>
              </w:rPr>
            </w:pPr>
          </w:p>
        </w:tc>
      </w:tr>
      <w:tr>
        <w:trPr>
          <w:trHeight w:val="122"/>
        </w:trPr>
        <w:tc>
          <w:tcPr>
            <w:tcW w:w="7700" w:type="dxa"/>
            <w:vAlign w:val="bottom"/>
            <w:tcBorders>
              <w:bottom w:val="single" w:sz="8" w:color="CFF0FC"/>
            </w:tcBorders>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380" w:type="dxa"/>
            <w:vAlign w:val="bottom"/>
            <w:tcBorders>
              <w:bottom w:val="single" w:sz="8" w:color="auto"/>
            </w:tcBorders>
            <w:shd w:val="clear" w:color="auto" w:fill="CFF0FC"/>
          </w:tcPr>
          <w:p>
            <w:pPr>
              <w:spacing w:after="0"/>
              <w:rPr>
                <w:sz w:val="10"/>
                <w:szCs w:val="10"/>
                <w:color w:val="auto"/>
              </w:rPr>
            </w:pPr>
          </w:p>
        </w:tc>
        <w:tc>
          <w:tcPr>
            <w:tcW w:w="132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(5,220 )</w:t>
            </w:r>
          </w:p>
        </w:tc>
        <w:tc>
          <w:tcPr>
            <w:tcW w:w="14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spacing w:after="0"/>
              <w:rPr>
                <w:sz w:val="10"/>
                <w:szCs w:val="10"/>
                <w:color w:val="auto"/>
              </w:rPr>
            </w:pPr>
          </w:p>
        </w:tc>
        <w:tc>
          <w:tcPr>
            <w:tcW w:w="11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583</w:t>
            </w:r>
          </w:p>
        </w:tc>
        <w:tc>
          <w:tcPr>
            <w:tcW w:w="0" w:type="dxa"/>
            <w:vAlign w:val="bottom"/>
          </w:tcPr>
          <w:p>
            <w:pPr>
              <w:spacing w:after="0"/>
              <w:rPr>
                <w:sz w:val="1"/>
                <w:szCs w:val="1"/>
                <w:color w:val="auto"/>
              </w:rPr>
            </w:pPr>
          </w:p>
        </w:tc>
      </w:tr>
      <w:tr>
        <w:trPr>
          <w:trHeight w:val="115"/>
        </w:trPr>
        <w:tc>
          <w:tcPr>
            <w:tcW w:w="770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Net cash flows from operating activities</w:t>
            </w: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6,058</w:t>
            </w:r>
          </w:p>
        </w:tc>
        <w:tc>
          <w:tcPr>
            <w:tcW w:w="1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23,334</w:t>
            </w:r>
          </w:p>
        </w:tc>
        <w:tc>
          <w:tcPr>
            <w:tcW w:w="0" w:type="dxa"/>
            <w:vAlign w:val="bottom"/>
          </w:tcPr>
          <w:p>
            <w:pPr>
              <w:spacing w:after="0"/>
              <w:rPr>
                <w:sz w:val="1"/>
                <w:szCs w:val="1"/>
                <w:color w:val="auto"/>
              </w:rPr>
            </w:pPr>
          </w:p>
        </w:tc>
      </w:tr>
      <w:tr>
        <w:trPr>
          <w:trHeight w:val="115"/>
        </w:trPr>
        <w:tc>
          <w:tcPr>
            <w:tcW w:w="77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Acquisition of a business, net of cash acquired</w:t>
            </w:r>
          </w:p>
        </w:tc>
        <w:tc>
          <w:tcPr>
            <w:tcW w:w="380" w:type="dxa"/>
            <w:vAlign w:val="bottom"/>
          </w:tcPr>
          <w:p>
            <w:pPr>
              <w:spacing w:after="0"/>
              <w:rPr>
                <w:sz w:val="10"/>
                <w:szCs w:val="10"/>
                <w:color w:val="auto"/>
              </w:rPr>
            </w:pPr>
          </w:p>
        </w:tc>
        <w:tc>
          <w:tcPr>
            <w:tcW w:w="13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(47,258 )</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Proceeds from sale of property and equipment</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79</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202</w:t>
            </w:r>
          </w:p>
        </w:tc>
        <w:tc>
          <w:tcPr>
            <w:tcW w:w="0" w:type="dxa"/>
            <w:vAlign w:val="bottom"/>
          </w:tcPr>
          <w:p>
            <w:pPr>
              <w:spacing w:after="0"/>
              <w:rPr>
                <w:sz w:val="1"/>
                <w:szCs w:val="1"/>
                <w:color w:val="auto"/>
              </w:rPr>
            </w:pPr>
          </w:p>
        </w:tc>
      </w:tr>
      <w:tr>
        <w:trPr>
          <w:trHeight w:val="121"/>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Purchase of property, plant and equipment</w:t>
            </w:r>
          </w:p>
        </w:tc>
        <w:tc>
          <w:tcPr>
            <w:tcW w:w="380" w:type="dxa"/>
            <w:vAlign w:val="bottom"/>
          </w:tcPr>
          <w:p>
            <w:pPr>
              <w:spacing w:after="0"/>
              <w:rPr>
                <w:sz w:val="10"/>
                <w:szCs w:val="10"/>
                <w:color w:val="auto"/>
              </w:rPr>
            </w:pPr>
          </w:p>
        </w:tc>
        <w:tc>
          <w:tcPr>
            <w:tcW w:w="13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(22,892 )</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(43,750 )</w:t>
            </w:r>
          </w:p>
        </w:tc>
        <w:tc>
          <w:tcPr>
            <w:tcW w:w="0" w:type="dxa"/>
            <w:vAlign w:val="bottom"/>
          </w:tcPr>
          <w:p>
            <w:pPr>
              <w:spacing w:after="0"/>
              <w:rPr>
                <w:sz w:val="1"/>
                <w:szCs w:val="1"/>
                <w:color w:val="auto"/>
              </w:rPr>
            </w:pP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Proceeds from sale of lost-in-hole equipment</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15,253</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19,684</w:t>
            </w:r>
          </w:p>
        </w:tc>
        <w:tc>
          <w:tcPr>
            <w:tcW w:w="0" w:type="dxa"/>
            <w:vAlign w:val="bottom"/>
          </w:tcPr>
          <w:p>
            <w:pPr>
              <w:spacing w:after="0"/>
              <w:rPr>
                <w:sz w:val="1"/>
                <w:szCs w:val="1"/>
                <w:color w:val="auto"/>
              </w:rPr>
            </w:pP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Proceeds from sale of equity securities</w:t>
            </w:r>
          </w:p>
        </w:tc>
        <w:tc>
          <w:tcPr>
            <w:tcW w:w="380" w:type="dxa"/>
            <w:vAlign w:val="bottom"/>
          </w:tcPr>
          <w:p>
            <w:pPr>
              <w:spacing w:after="0"/>
              <w:rPr>
                <w:sz w:val="10"/>
                <w:szCs w:val="10"/>
                <w:color w:val="auto"/>
              </w:rPr>
            </w:pPr>
          </w:p>
        </w:tc>
        <w:tc>
          <w:tcPr>
            <w:tcW w:w="13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1,244</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700" w:type="dxa"/>
            <w:vAlign w:val="bottom"/>
            <w:tcBorders>
              <w:bottom w:val="single" w:sz="8" w:color="CFF0FC"/>
            </w:tcBorders>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Purchases of intangible assets</w:t>
            </w:r>
          </w:p>
        </w:tc>
        <w:tc>
          <w:tcPr>
            <w:tcW w:w="380" w:type="dxa"/>
            <w:vAlign w:val="bottom"/>
            <w:tcBorders>
              <w:bottom w:val="single" w:sz="8" w:color="auto"/>
            </w:tcBorders>
            <w:shd w:val="clear" w:color="auto" w:fill="CFF0FC"/>
          </w:tcPr>
          <w:p>
            <w:pPr>
              <w:spacing w:after="0"/>
              <w:rPr>
                <w:sz w:val="10"/>
                <w:szCs w:val="10"/>
                <w:color w:val="auto"/>
              </w:rPr>
            </w:pPr>
          </w:p>
        </w:tc>
        <w:tc>
          <w:tcPr>
            <w:tcW w:w="132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(12 )</w:t>
            </w:r>
          </w:p>
        </w:tc>
        <w:tc>
          <w:tcPr>
            <w:tcW w:w="14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spacing w:after="0"/>
              <w:rPr>
                <w:sz w:val="10"/>
                <w:szCs w:val="10"/>
                <w:color w:val="auto"/>
              </w:rPr>
            </w:pPr>
          </w:p>
        </w:tc>
        <w:tc>
          <w:tcPr>
            <w:tcW w:w="11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770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Net cash flows from investing activities</w:t>
            </w: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(53,586 )</w:t>
            </w:r>
          </w:p>
        </w:tc>
        <w:tc>
          <w:tcPr>
            <w:tcW w:w="1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(23,864 )</w:t>
            </w:r>
          </w:p>
        </w:tc>
        <w:tc>
          <w:tcPr>
            <w:tcW w:w="0" w:type="dxa"/>
            <w:vAlign w:val="bottom"/>
          </w:tcPr>
          <w:p>
            <w:pPr>
              <w:spacing w:after="0"/>
              <w:rPr>
                <w:sz w:val="1"/>
                <w:szCs w:val="1"/>
                <w:color w:val="auto"/>
              </w:rPr>
            </w:pPr>
          </w:p>
        </w:tc>
      </w:tr>
      <w:tr>
        <w:trPr>
          <w:trHeight w:val="115"/>
        </w:trPr>
        <w:tc>
          <w:tcPr>
            <w:tcW w:w="77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Proceeds from Merger and PIPE Financing, net of transaction costs</w:t>
            </w:r>
          </w:p>
        </w:tc>
        <w:tc>
          <w:tcPr>
            <w:tcW w:w="380" w:type="dxa"/>
            <w:vAlign w:val="bottom"/>
          </w:tcPr>
          <w:p>
            <w:pPr>
              <w:spacing w:after="0"/>
              <w:rPr>
                <w:sz w:val="10"/>
                <w:szCs w:val="10"/>
                <w:color w:val="auto"/>
              </w:rPr>
            </w:pPr>
          </w:p>
        </w:tc>
        <w:tc>
          <w:tcPr>
            <w:tcW w:w="13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23,162</w:t>
            </w:r>
          </w:p>
        </w:tc>
        <w:tc>
          <w:tcPr>
            <w:tcW w:w="0" w:type="dxa"/>
            <w:vAlign w:val="bottom"/>
          </w:tcPr>
          <w:p>
            <w:pPr>
              <w:spacing w:after="0"/>
              <w:rPr>
                <w:sz w:val="1"/>
                <w:szCs w:val="1"/>
                <w:color w:val="auto"/>
              </w:rPr>
            </w:pP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Payment of deferred financing costs</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(722 )</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(324 )</w:t>
            </w:r>
          </w:p>
        </w:tc>
        <w:tc>
          <w:tcPr>
            <w:tcW w:w="0" w:type="dxa"/>
            <w:vAlign w:val="bottom"/>
          </w:tcPr>
          <w:p>
            <w:pPr>
              <w:spacing w:after="0"/>
              <w:rPr>
                <w:sz w:val="1"/>
                <w:szCs w:val="1"/>
                <w:color w:val="auto"/>
              </w:rPr>
            </w:pP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Proceeds from revolving line of credit</w:t>
            </w:r>
          </w:p>
        </w:tc>
        <w:tc>
          <w:tcPr>
            <w:tcW w:w="380" w:type="dxa"/>
            <w:vAlign w:val="bottom"/>
          </w:tcPr>
          <w:p>
            <w:pPr>
              <w:spacing w:after="0"/>
              <w:rPr>
                <w:sz w:val="10"/>
                <w:szCs w:val="10"/>
                <w:color w:val="auto"/>
              </w:rPr>
            </w:pPr>
          </w:p>
        </w:tc>
        <w:tc>
          <w:tcPr>
            <w:tcW w:w="13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38,618</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73,050</w:t>
            </w:r>
          </w:p>
        </w:tc>
        <w:tc>
          <w:tcPr>
            <w:tcW w:w="0" w:type="dxa"/>
            <w:vAlign w:val="bottom"/>
          </w:tcPr>
          <w:p>
            <w:pPr>
              <w:spacing w:after="0"/>
              <w:rPr>
                <w:sz w:val="1"/>
                <w:szCs w:val="1"/>
                <w:color w:val="auto"/>
              </w:rPr>
            </w:pP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Payments on revolving line of credit</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(11,476 )</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(91,399 )</w:t>
            </w:r>
          </w:p>
        </w:tc>
        <w:tc>
          <w:tcPr>
            <w:tcW w:w="0" w:type="dxa"/>
            <w:vAlign w:val="bottom"/>
          </w:tcPr>
          <w:p>
            <w:pPr>
              <w:spacing w:after="0"/>
              <w:rPr>
                <w:sz w:val="1"/>
                <w:szCs w:val="1"/>
                <w:color w:val="auto"/>
              </w:rPr>
            </w:pPr>
          </w:p>
        </w:tc>
      </w:tr>
      <w:tr>
        <w:trPr>
          <w:trHeight w:val="121"/>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Proceeds from long-term debt</w:t>
            </w:r>
          </w:p>
        </w:tc>
        <w:tc>
          <w:tcPr>
            <w:tcW w:w="380" w:type="dxa"/>
            <w:vAlign w:val="bottom"/>
          </w:tcPr>
          <w:p>
            <w:pPr>
              <w:spacing w:after="0"/>
              <w:rPr>
                <w:sz w:val="10"/>
                <w:szCs w:val="10"/>
                <w:color w:val="auto"/>
              </w:rPr>
            </w:pPr>
          </w:p>
        </w:tc>
        <w:tc>
          <w:tcPr>
            <w:tcW w:w="13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Payments on long-term debt</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(3,535 )</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7700" w:type="dxa"/>
            <w:vAlign w:val="bottom"/>
          </w:tcPr>
          <w:p>
            <w:pPr>
              <w:ind w:left="160"/>
              <w:spacing w:after="0" w:line="108" w:lineRule="exact"/>
              <w:rPr>
                <w:sz w:val="20"/>
                <w:szCs w:val="20"/>
                <w:color w:val="auto"/>
              </w:rPr>
            </w:pPr>
            <w:r>
              <w:rPr>
                <w:rFonts w:ascii="Times New Roman" w:cs="Times New Roman" w:eastAsia="Times New Roman" w:hAnsi="Times New Roman"/>
                <w:sz w:val="11"/>
                <w:szCs w:val="11"/>
                <w:color w:val="auto"/>
              </w:rPr>
              <w:t>Payments to holders of DTIH redeemable convertible preferred stock in connection with</w:t>
            </w:r>
          </w:p>
        </w:tc>
        <w:tc>
          <w:tcPr>
            <w:tcW w:w="380" w:type="dxa"/>
            <w:vAlign w:val="bottom"/>
          </w:tcPr>
          <w:p>
            <w:pPr>
              <w:spacing w:after="0"/>
              <w:rPr>
                <w:sz w:val="9"/>
                <w:szCs w:val="9"/>
                <w:color w:val="auto"/>
              </w:rPr>
            </w:pPr>
          </w:p>
        </w:tc>
        <w:tc>
          <w:tcPr>
            <w:tcW w:w="13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(194 )</w:t>
            </w:r>
          </w:p>
        </w:tc>
        <w:tc>
          <w:tcPr>
            <w:tcW w:w="0" w:type="dxa"/>
            <w:vAlign w:val="bottom"/>
          </w:tcPr>
          <w:p>
            <w:pPr>
              <w:spacing w:after="0"/>
              <w:rPr>
                <w:sz w:val="1"/>
                <w:szCs w:val="1"/>
                <w:color w:val="auto"/>
              </w:rPr>
            </w:pPr>
          </w:p>
        </w:tc>
      </w:tr>
      <w:tr>
        <w:trPr>
          <w:trHeight w:val="122"/>
        </w:trPr>
        <w:tc>
          <w:tcPr>
            <w:tcW w:w="770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retiring their DTI stock upon the Merger</w:t>
            </w: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700" w:type="dxa"/>
            <w:vAlign w:val="bottom"/>
            <w:tcBorders>
              <w:bottom w:val="single" w:sz="8" w:color="CFF0FC"/>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Net cash flows from financing activities</w:t>
            </w:r>
          </w:p>
        </w:tc>
        <w:tc>
          <w:tcPr>
            <w:tcW w:w="380" w:type="dxa"/>
            <w:vAlign w:val="bottom"/>
            <w:tcBorders>
              <w:bottom w:val="single" w:sz="8" w:color="auto"/>
            </w:tcBorders>
            <w:shd w:val="clear" w:color="auto" w:fill="CFF0FC"/>
          </w:tcPr>
          <w:p>
            <w:pPr>
              <w:spacing w:after="0"/>
              <w:rPr>
                <w:sz w:val="10"/>
                <w:szCs w:val="10"/>
                <w:color w:val="auto"/>
              </w:rPr>
            </w:pPr>
          </w:p>
        </w:tc>
        <w:tc>
          <w:tcPr>
            <w:tcW w:w="132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47,885</w:t>
            </w:r>
          </w:p>
        </w:tc>
        <w:tc>
          <w:tcPr>
            <w:tcW w:w="14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spacing w:after="0"/>
              <w:rPr>
                <w:sz w:val="10"/>
                <w:szCs w:val="10"/>
                <w:color w:val="auto"/>
              </w:rPr>
            </w:pPr>
          </w:p>
        </w:tc>
        <w:tc>
          <w:tcPr>
            <w:tcW w:w="112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4,295</w:t>
            </w:r>
          </w:p>
        </w:tc>
        <w:tc>
          <w:tcPr>
            <w:tcW w:w="0" w:type="dxa"/>
            <w:vAlign w:val="bottom"/>
          </w:tcPr>
          <w:p>
            <w:pPr>
              <w:spacing w:after="0"/>
              <w:rPr>
                <w:sz w:val="1"/>
                <w:szCs w:val="1"/>
                <w:color w:val="auto"/>
              </w:rPr>
            </w:pPr>
          </w:p>
        </w:tc>
      </w:tr>
      <w:tr>
        <w:trPr>
          <w:trHeight w:val="115"/>
        </w:trPr>
        <w:tc>
          <w:tcPr>
            <w:tcW w:w="770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Effect of Changes in Foreign Exchange Rate</w:t>
            </w:r>
          </w:p>
        </w:tc>
        <w:tc>
          <w:tcPr>
            <w:tcW w:w="380" w:type="dxa"/>
            <w:vAlign w:val="bottom"/>
          </w:tcPr>
          <w:p>
            <w:pPr>
              <w:spacing w:after="0"/>
              <w:rPr>
                <w:sz w:val="10"/>
                <w:szCs w:val="10"/>
                <w:color w:val="auto"/>
              </w:rPr>
            </w:pPr>
          </w:p>
        </w:tc>
        <w:tc>
          <w:tcPr>
            <w:tcW w:w="13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(175 )</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(114 )</w:t>
            </w:r>
          </w:p>
        </w:tc>
        <w:tc>
          <w:tcPr>
            <w:tcW w:w="0" w:type="dxa"/>
            <w:vAlign w:val="bottom"/>
          </w:tcPr>
          <w:p>
            <w:pPr>
              <w:spacing w:after="0"/>
              <w:rPr>
                <w:sz w:val="1"/>
                <w:szCs w:val="1"/>
                <w:color w:val="auto"/>
              </w:rPr>
            </w:pPr>
          </w:p>
        </w:tc>
      </w:tr>
      <w:tr>
        <w:trPr>
          <w:trHeight w:val="121"/>
        </w:trPr>
        <w:tc>
          <w:tcPr>
            <w:tcW w:w="77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Net Change in Cash</w:t>
            </w:r>
          </w:p>
        </w:tc>
        <w:tc>
          <w:tcPr>
            <w:tcW w:w="380" w:type="dxa"/>
            <w:vAlign w:val="bottom"/>
            <w:shd w:val="clear" w:color="auto" w:fill="CFF0FC"/>
          </w:tcPr>
          <w:p>
            <w:pPr>
              <w:spacing w:after="0"/>
              <w:rPr>
                <w:sz w:val="10"/>
                <w:szCs w:val="10"/>
                <w:color w:val="auto"/>
              </w:rPr>
            </w:pPr>
          </w:p>
        </w:tc>
        <w:tc>
          <w:tcPr>
            <w:tcW w:w="13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182</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3,651</w:t>
            </w:r>
          </w:p>
        </w:tc>
        <w:tc>
          <w:tcPr>
            <w:tcW w:w="0" w:type="dxa"/>
            <w:vAlign w:val="bottom"/>
          </w:tcPr>
          <w:p>
            <w:pPr>
              <w:spacing w:after="0"/>
              <w:rPr>
                <w:sz w:val="1"/>
                <w:szCs w:val="1"/>
                <w:color w:val="auto"/>
              </w:rPr>
            </w:pPr>
          </w:p>
        </w:tc>
      </w:tr>
      <w:tr>
        <w:trPr>
          <w:trHeight w:val="122"/>
        </w:trPr>
        <w:tc>
          <w:tcPr>
            <w:tcW w:w="7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Cash at Beginning of Period</w:t>
            </w: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6,003</w:t>
            </w:r>
          </w:p>
        </w:tc>
        <w:tc>
          <w:tcPr>
            <w:tcW w:w="1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2,352</w:t>
            </w:r>
          </w:p>
        </w:tc>
        <w:tc>
          <w:tcPr>
            <w:tcW w:w="0" w:type="dxa"/>
            <w:vAlign w:val="bottom"/>
          </w:tcPr>
          <w:p>
            <w:pPr>
              <w:spacing w:after="0"/>
              <w:rPr>
                <w:sz w:val="1"/>
                <w:szCs w:val="1"/>
                <w:color w:val="auto"/>
              </w:rPr>
            </w:pPr>
          </w:p>
        </w:tc>
      </w:tr>
      <w:tr>
        <w:trPr>
          <w:trHeight w:val="155"/>
        </w:trPr>
        <w:tc>
          <w:tcPr>
            <w:tcW w:w="77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Cash at End of Period</w:t>
            </w:r>
          </w:p>
        </w:tc>
        <w:tc>
          <w:tcPr>
            <w:tcW w:w="380" w:type="dxa"/>
            <w:vAlign w:val="bottom"/>
            <w:shd w:val="clear" w:color="auto" w:fill="CFF0FC"/>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6,185</w:t>
            </w:r>
          </w:p>
        </w:tc>
        <w:tc>
          <w:tcPr>
            <w:tcW w:w="720" w:type="dxa"/>
            <w:vAlign w:val="bottom"/>
            <w:gridSpan w:val="2"/>
            <w:shd w:val="clear" w:color="auto" w:fill="CFF0FC"/>
          </w:tcPr>
          <w:p>
            <w:pPr>
              <w:jc w:val="right"/>
              <w:ind w:right="4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6,003</w:t>
            </w:r>
          </w:p>
        </w:tc>
        <w:tc>
          <w:tcPr>
            <w:tcW w:w="0" w:type="dxa"/>
            <w:vAlign w:val="bottom"/>
          </w:tcPr>
          <w:p>
            <w:pPr>
              <w:spacing w:after="0"/>
              <w:rPr>
                <w:sz w:val="1"/>
                <w:szCs w:val="1"/>
                <w:color w:val="auto"/>
              </w:rPr>
            </w:pPr>
          </w:p>
        </w:tc>
      </w:tr>
      <w:tr>
        <w:trPr>
          <w:trHeight w:val="102"/>
        </w:trPr>
        <w:tc>
          <w:tcPr>
            <w:tcW w:w="7700" w:type="dxa"/>
            <w:vAlign w:val="bottom"/>
            <w:tcBorders>
              <w:top w:val="single" w:sz="8" w:color="CFF0FC"/>
            </w:tcBorders>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Supplemental cash flow information:</w:t>
            </w:r>
          </w:p>
        </w:tc>
        <w:tc>
          <w:tcPr>
            <w:tcW w:w="38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7700" w:type="dxa"/>
            <w:vAlign w:val="bottom"/>
            <w:tcBorders>
              <w:bottom w:val="single" w:sz="8" w:color="CFF0FC"/>
            </w:tcBorders>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Cash paid for interest</w:t>
            </w:r>
          </w:p>
        </w:tc>
        <w:tc>
          <w:tcPr>
            <w:tcW w:w="380" w:type="dxa"/>
            <w:vAlign w:val="bottom"/>
            <w:tcBorders>
              <w:bottom w:val="single" w:sz="8" w:color="auto"/>
            </w:tcBorders>
            <w:shd w:val="clear" w:color="auto" w:fill="CFF0FC"/>
          </w:tcPr>
          <w:p>
            <w:pPr>
              <w:jc w:val="right"/>
              <w:ind w:right="2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2,673</w:t>
            </w:r>
          </w:p>
        </w:tc>
        <w:tc>
          <w:tcPr>
            <w:tcW w:w="14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46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1,174</w:t>
            </w:r>
          </w:p>
        </w:tc>
        <w:tc>
          <w:tcPr>
            <w:tcW w:w="0" w:type="dxa"/>
            <w:vAlign w:val="bottom"/>
          </w:tcPr>
          <w:p>
            <w:pPr>
              <w:spacing w:after="0"/>
              <w:rPr>
                <w:sz w:val="1"/>
                <w:szCs w:val="1"/>
                <w:color w:val="auto"/>
              </w:rPr>
            </w:pPr>
          </w:p>
        </w:tc>
      </w:tr>
      <w:tr>
        <w:trPr>
          <w:trHeight w:val="102"/>
        </w:trPr>
        <w:tc>
          <w:tcPr>
            <w:tcW w:w="7700" w:type="dxa"/>
            <w:vAlign w:val="bottom"/>
          </w:tcPr>
          <w:p>
            <w:pPr>
              <w:ind w:left="160"/>
              <w:spacing w:after="0" w:line="102" w:lineRule="exact"/>
              <w:rPr>
                <w:sz w:val="20"/>
                <w:szCs w:val="20"/>
                <w:color w:val="auto"/>
              </w:rPr>
            </w:pPr>
            <w:r>
              <w:rPr>
                <w:rFonts w:ascii="Times New Roman" w:cs="Times New Roman" w:eastAsia="Times New Roman" w:hAnsi="Times New Roman"/>
                <w:sz w:val="11"/>
                <w:szCs w:val="11"/>
                <w:color w:val="auto"/>
              </w:rPr>
              <w:t>Cash paid for income taxes</w:t>
            </w:r>
          </w:p>
        </w:tc>
        <w:tc>
          <w:tcPr>
            <w:tcW w:w="380" w:type="dxa"/>
            <w:vAlign w:val="bottom"/>
          </w:tcPr>
          <w:p>
            <w:pPr>
              <w:jc w:val="right"/>
              <w:ind w:right="24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2,970</w:t>
            </w:r>
          </w:p>
        </w:tc>
        <w:tc>
          <w:tcPr>
            <w:tcW w:w="720" w:type="dxa"/>
            <w:vAlign w:val="bottom"/>
            <w:gridSpan w:val="2"/>
          </w:tcPr>
          <w:p>
            <w:pPr>
              <w:jc w:val="right"/>
              <w:ind w:right="4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3,006</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70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380" w:type="dxa"/>
            <w:vAlign w:val="bottom"/>
            <w:shd w:val="clear" w:color="auto" w:fill="CFF0FC"/>
          </w:tcPr>
          <w:p>
            <w:pPr>
              <w:spacing w:after="0"/>
              <w:rPr>
                <w:sz w:val="8"/>
                <w:szCs w:val="8"/>
                <w:color w:val="auto"/>
              </w:rPr>
            </w:pPr>
          </w:p>
        </w:tc>
        <w:tc>
          <w:tcPr>
            <w:tcW w:w="13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Fair value of CTG liabilities assumed in CTG Acquisition</w:t>
            </w:r>
          </w:p>
        </w:tc>
        <w:tc>
          <w:tcPr>
            <w:tcW w:w="380" w:type="dxa"/>
            <w:vAlign w:val="bottom"/>
          </w:tcPr>
          <w:p>
            <w:pPr>
              <w:jc w:val="right"/>
              <w:ind w:right="2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3,162</w:t>
            </w:r>
          </w:p>
        </w:tc>
        <w:tc>
          <w:tcPr>
            <w:tcW w:w="720" w:type="dxa"/>
            <w:vAlign w:val="bottom"/>
            <w:gridSpan w:val="2"/>
          </w:tcPr>
          <w:p>
            <w:pPr>
              <w:jc w:val="right"/>
              <w:ind w:right="4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00" w:type="dxa"/>
            <w:vAlign w:val="bottom"/>
            <w:tcBorders>
              <w:bottom w:val="single" w:sz="8" w:color="CFF0FC"/>
            </w:tcBorders>
            <w:shd w:val="clear" w:color="auto" w:fill="CFF0FC"/>
          </w:tcPr>
          <w:p>
            <w:pPr>
              <w:ind w:left="160"/>
              <w:spacing w:after="0" w:line="102" w:lineRule="exact"/>
              <w:rPr>
                <w:sz w:val="20"/>
                <w:szCs w:val="20"/>
                <w:color w:val="auto"/>
              </w:rPr>
            </w:pPr>
            <w:r>
              <w:rPr>
                <w:rFonts w:ascii="Times New Roman" w:cs="Times New Roman" w:eastAsia="Times New Roman" w:hAnsi="Times New Roman"/>
                <w:sz w:val="11"/>
                <w:szCs w:val="11"/>
                <w:color w:val="auto"/>
              </w:rPr>
              <w:t>Fair value of SDPI liabilities assumed in SDPI Acquisition</w:t>
            </w:r>
          </w:p>
        </w:tc>
        <w:tc>
          <w:tcPr>
            <w:tcW w:w="380" w:type="dxa"/>
            <w:vAlign w:val="bottom"/>
            <w:tcBorders>
              <w:bottom w:val="single" w:sz="8" w:color="auto"/>
            </w:tcBorders>
            <w:shd w:val="clear" w:color="auto" w:fill="CFF0FC"/>
          </w:tcPr>
          <w:p>
            <w:pPr>
              <w:jc w:val="right"/>
              <w:ind w:right="24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FF0FC"/>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6,246</w:t>
            </w:r>
          </w:p>
        </w:tc>
        <w:tc>
          <w:tcPr>
            <w:tcW w:w="1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466"/>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2"/>
        </w:trPr>
        <w:tc>
          <w:tcPr>
            <w:tcW w:w="7700" w:type="dxa"/>
            <w:vAlign w:val="bottom"/>
          </w:tcPr>
          <w:p>
            <w:pPr>
              <w:ind w:left="160"/>
              <w:spacing w:after="0" w:line="102" w:lineRule="exact"/>
              <w:rPr>
                <w:sz w:val="20"/>
                <w:szCs w:val="20"/>
                <w:color w:val="auto"/>
              </w:rPr>
            </w:pPr>
            <w:r>
              <w:rPr>
                <w:rFonts w:ascii="Times New Roman" w:cs="Times New Roman" w:eastAsia="Times New Roman" w:hAnsi="Times New Roman"/>
                <w:sz w:val="11"/>
                <w:szCs w:val="11"/>
                <w:color w:val="auto"/>
              </w:rPr>
              <w:t>Fair value of EDP liabilities assumed in EDP Acquisition</w:t>
            </w:r>
          </w:p>
        </w:tc>
        <w:tc>
          <w:tcPr>
            <w:tcW w:w="380" w:type="dxa"/>
            <w:vAlign w:val="bottom"/>
          </w:tcPr>
          <w:p>
            <w:pPr>
              <w:jc w:val="right"/>
              <w:ind w:right="24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1,769</w:t>
            </w:r>
          </w:p>
        </w:tc>
        <w:tc>
          <w:tcPr>
            <w:tcW w:w="720" w:type="dxa"/>
            <w:vAlign w:val="bottom"/>
            <w:gridSpan w:val="2"/>
          </w:tcPr>
          <w:p>
            <w:pPr>
              <w:jc w:val="right"/>
              <w:ind w:right="4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00" w:type="dxa"/>
            <w:vAlign w:val="bottom"/>
            <w:tcBorders>
              <w:bottom w:val="single" w:sz="8" w:color="CFF0FC"/>
            </w:tcBorders>
            <w:shd w:val="clear" w:color="auto" w:fill="CFF0FC"/>
          </w:tcPr>
          <w:p>
            <w:pPr>
              <w:ind w:left="160"/>
              <w:spacing w:after="0" w:line="102" w:lineRule="exact"/>
              <w:rPr>
                <w:sz w:val="20"/>
                <w:szCs w:val="20"/>
                <w:color w:val="auto"/>
              </w:rPr>
            </w:pPr>
            <w:r>
              <w:rPr>
                <w:rFonts w:ascii="Times New Roman" w:cs="Times New Roman" w:eastAsia="Times New Roman" w:hAnsi="Times New Roman"/>
                <w:sz w:val="11"/>
                <w:szCs w:val="11"/>
                <w:color w:val="auto"/>
              </w:rPr>
              <w:t>ROU assets obtained in exchange for lease liabilities</w:t>
            </w:r>
          </w:p>
        </w:tc>
        <w:tc>
          <w:tcPr>
            <w:tcW w:w="380" w:type="dxa"/>
            <w:vAlign w:val="bottom"/>
            <w:tcBorders>
              <w:bottom w:val="single" w:sz="8" w:color="auto"/>
            </w:tcBorders>
            <w:shd w:val="clear" w:color="auto" w:fill="CFF0FC"/>
          </w:tcPr>
          <w:p>
            <w:pPr>
              <w:jc w:val="right"/>
              <w:ind w:right="24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FF0FC"/>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5,737</w:t>
            </w:r>
          </w:p>
        </w:tc>
        <w:tc>
          <w:tcPr>
            <w:tcW w:w="1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466"/>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3,264</w:t>
            </w:r>
          </w:p>
        </w:tc>
        <w:tc>
          <w:tcPr>
            <w:tcW w:w="0" w:type="dxa"/>
            <w:vAlign w:val="bottom"/>
          </w:tcPr>
          <w:p>
            <w:pPr>
              <w:spacing w:after="0"/>
              <w:rPr>
                <w:sz w:val="1"/>
                <w:szCs w:val="1"/>
                <w:color w:val="auto"/>
              </w:rPr>
            </w:pPr>
          </w:p>
        </w:tc>
      </w:tr>
      <w:tr>
        <w:trPr>
          <w:trHeight w:val="102"/>
        </w:trPr>
        <w:tc>
          <w:tcPr>
            <w:tcW w:w="7700" w:type="dxa"/>
            <w:vAlign w:val="bottom"/>
          </w:tcPr>
          <w:p>
            <w:pPr>
              <w:ind w:left="160"/>
              <w:spacing w:after="0" w:line="102" w:lineRule="exact"/>
              <w:rPr>
                <w:sz w:val="20"/>
                <w:szCs w:val="20"/>
                <w:color w:val="auto"/>
              </w:rPr>
            </w:pPr>
            <w:r>
              <w:rPr>
                <w:rFonts w:ascii="Times New Roman" w:cs="Times New Roman" w:eastAsia="Times New Roman" w:hAnsi="Times New Roman"/>
                <w:sz w:val="11"/>
                <w:szCs w:val="11"/>
                <w:color w:val="auto"/>
              </w:rPr>
              <w:t>Non-cash recovery of note receivable</w:t>
            </w:r>
          </w:p>
        </w:tc>
        <w:tc>
          <w:tcPr>
            <w:tcW w:w="380" w:type="dxa"/>
            <w:vAlign w:val="bottom"/>
          </w:tcPr>
          <w:p>
            <w:pPr>
              <w:jc w:val="right"/>
              <w:ind w:right="24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453</w:t>
            </w:r>
          </w:p>
        </w:tc>
        <w:tc>
          <w:tcPr>
            <w:tcW w:w="720" w:type="dxa"/>
            <w:vAlign w:val="bottom"/>
            <w:gridSpan w:val="2"/>
          </w:tcPr>
          <w:p>
            <w:pPr>
              <w:jc w:val="right"/>
              <w:ind w:right="4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00" w:type="dxa"/>
            <w:vAlign w:val="bottom"/>
            <w:tcBorders>
              <w:bottom w:val="single" w:sz="8" w:color="CFF0FC"/>
            </w:tcBorders>
            <w:shd w:val="clear" w:color="auto" w:fill="CFF0FC"/>
          </w:tcPr>
          <w:p>
            <w:pPr>
              <w:ind w:left="160"/>
              <w:spacing w:after="0" w:line="102" w:lineRule="exact"/>
              <w:rPr>
                <w:sz w:val="20"/>
                <w:szCs w:val="20"/>
                <w:color w:val="auto"/>
              </w:rPr>
            </w:pPr>
            <w:r>
              <w:rPr>
                <w:rFonts w:ascii="Times New Roman" w:cs="Times New Roman" w:eastAsia="Times New Roman" w:hAnsi="Times New Roman"/>
                <w:sz w:val="11"/>
                <w:szCs w:val="11"/>
                <w:color w:val="auto"/>
              </w:rPr>
              <w:t>Net exercise of stock options</w:t>
            </w:r>
          </w:p>
        </w:tc>
        <w:tc>
          <w:tcPr>
            <w:tcW w:w="380" w:type="dxa"/>
            <w:vAlign w:val="bottom"/>
            <w:tcBorders>
              <w:bottom w:val="single" w:sz="8" w:color="auto"/>
            </w:tcBorders>
            <w:shd w:val="clear" w:color="auto" w:fill="CFF0FC"/>
          </w:tcPr>
          <w:p>
            <w:pPr>
              <w:jc w:val="right"/>
              <w:ind w:right="24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FF0FC"/>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254</w:t>
            </w:r>
          </w:p>
        </w:tc>
        <w:tc>
          <w:tcPr>
            <w:tcW w:w="1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466"/>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2"/>
        </w:trPr>
        <w:tc>
          <w:tcPr>
            <w:tcW w:w="7700" w:type="dxa"/>
            <w:vAlign w:val="bottom"/>
          </w:tcPr>
          <w:p>
            <w:pPr>
              <w:ind w:left="160"/>
              <w:spacing w:after="0" w:line="102" w:lineRule="exact"/>
              <w:rPr>
                <w:sz w:val="20"/>
                <w:szCs w:val="20"/>
                <w:color w:val="auto"/>
              </w:rPr>
            </w:pPr>
            <w:r>
              <w:rPr>
                <w:rFonts w:ascii="Times New Roman" w:cs="Times New Roman" w:eastAsia="Times New Roman" w:hAnsi="Times New Roman"/>
                <w:sz w:val="11"/>
                <w:szCs w:val="11"/>
                <w:color w:val="auto"/>
              </w:rPr>
              <w:t>Shares withheld from exercise of stock options for payment of taxes</w:t>
            </w:r>
          </w:p>
        </w:tc>
        <w:tc>
          <w:tcPr>
            <w:tcW w:w="380" w:type="dxa"/>
            <w:vAlign w:val="bottom"/>
          </w:tcPr>
          <w:p>
            <w:pPr>
              <w:jc w:val="right"/>
              <w:ind w:right="24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36</w:t>
            </w:r>
          </w:p>
        </w:tc>
        <w:tc>
          <w:tcPr>
            <w:tcW w:w="720" w:type="dxa"/>
            <w:vAlign w:val="bottom"/>
            <w:gridSpan w:val="2"/>
          </w:tcPr>
          <w:p>
            <w:pPr>
              <w:jc w:val="right"/>
              <w:ind w:right="4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7700" w:type="dxa"/>
            <w:vAlign w:val="bottom"/>
            <w:shd w:val="clear" w:color="auto" w:fill="CFF0FC"/>
          </w:tcPr>
          <w:p>
            <w:pPr>
              <w:ind w:left="160"/>
              <w:spacing w:after="0" w:line="89" w:lineRule="exact"/>
              <w:rPr>
                <w:sz w:val="20"/>
                <w:szCs w:val="20"/>
                <w:color w:val="auto"/>
              </w:rPr>
            </w:pPr>
            <w:r>
              <w:rPr>
                <w:rFonts w:ascii="Times New Roman" w:cs="Times New Roman" w:eastAsia="Times New Roman" w:hAnsi="Times New Roman"/>
                <w:sz w:val="10"/>
                <w:szCs w:val="10"/>
                <w:color w:val="auto"/>
              </w:rPr>
              <w:t>Purchases of inventory included in accounts payable and accrued expenses and other</w:t>
            </w:r>
          </w:p>
        </w:tc>
        <w:tc>
          <w:tcPr>
            <w:tcW w:w="380" w:type="dxa"/>
            <w:vAlign w:val="bottom"/>
            <w:vMerge w:val="restart"/>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1,176</w:t>
            </w:r>
          </w:p>
        </w:tc>
        <w:tc>
          <w:tcPr>
            <w:tcW w:w="140" w:type="dxa"/>
            <w:vAlign w:val="bottom"/>
            <w:shd w:val="clear" w:color="auto" w:fill="CFF0FC"/>
          </w:tcPr>
          <w:p>
            <w:pPr>
              <w:spacing w:after="0"/>
              <w:rPr>
                <w:sz w:val="7"/>
                <w:szCs w:val="7"/>
                <w:color w:val="auto"/>
              </w:rPr>
            </w:pPr>
          </w:p>
        </w:tc>
        <w:tc>
          <w:tcPr>
            <w:tcW w:w="580" w:type="dxa"/>
            <w:vAlign w:val="bottom"/>
            <w:vMerge w:val="restart"/>
            <w:shd w:val="clear" w:color="auto" w:fill="CFF0FC"/>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601</w:t>
            </w:r>
          </w:p>
        </w:tc>
        <w:tc>
          <w:tcPr>
            <w:tcW w:w="0" w:type="dxa"/>
            <w:vAlign w:val="bottom"/>
          </w:tcPr>
          <w:p>
            <w:pPr>
              <w:spacing w:after="0"/>
              <w:rPr>
                <w:sz w:val="1"/>
                <w:szCs w:val="1"/>
                <w:color w:val="auto"/>
              </w:rPr>
            </w:pPr>
          </w:p>
        </w:tc>
      </w:tr>
      <w:tr>
        <w:trPr>
          <w:trHeight w:val="135"/>
        </w:trPr>
        <w:tc>
          <w:tcPr>
            <w:tcW w:w="7700" w:type="dxa"/>
            <w:vAlign w:val="bottom"/>
            <w:tcBorders>
              <w:bottom w:val="single" w:sz="8" w:color="CFF0FC"/>
            </w:tcBorders>
            <w:shd w:val="clear" w:color="auto" w:fill="CFF0FC"/>
          </w:tcPr>
          <w:p>
            <w:pPr>
              <w:ind w:left="240"/>
              <w:spacing w:after="0" w:line="89" w:lineRule="exact"/>
              <w:rPr>
                <w:sz w:val="20"/>
                <w:szCs w:val="20"/>
                <w:color w:val="auto"/>
              </w:rPr>
            </w:pPr>
            <w:r>
              <w:rPr>
                <w:rFonts w:ascii="Times New Roman" w:cs="Times New Roman" w:eastAsia="Times New Roman" w:hAnsi="Times New Roman"/>
                <w:sz w:val="10"/>
                <w:szCs w:val="10"/>
                <w:color w:val="auto"/>
              </w:rPr>
              <w:t>current liabilities</w:t>
            </w:r>
          </w:p>
        </w:tc>
        <w:tc>
          <w:tcPr>
            <w:tcW w:w="380" w:type="dxa"/>
            <w:vAlign w:val="bottom"/>
            <w:tcBorders>
              <w:bottom w:val="single" w:sz="8" w:color="auto"/>
            </w:tcBorders>
            <w:vMerge w:val="continue"/>
            <w:shd w:val="clear" w:color="auto" w:fill="CFF0FC"/>
          </w:tcPr>
          <w:p>
            <w:pPr>
              <w:spacing w:after="0"/>
              <w:rPr>
                <w:sz w:val="11"/>
                <w:szCs w:val="11"/>
                <w:color w:val="auto"/>
              </w:rPr>
            </w:pPr>
          </w:p>
        </w:tc>
        <w:tc>
          <w:tcPr>
            <w:tcW w:w="1320" w:type="dxa"/>
            <w:vAlign w:val="bottom"/>
            <w:tcBorders>
              <w:bottom w:val="single" w:sz="8" w:color="auto"/>
            </w:tcBorders>
            <w:vMerge w:val="continue"/>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auto"/>
            </w:tcBorders>
            <w:vMerge w:val="continue"/>
            <w:shd w:val="clear" w:color="auto" w:fill="CFF0FC"/>
          </w:tcPr>
          <w:p>
            <w:pPr>
              <w:spacing w:after="0"/>
              <w:rPr>
                <w:sz w:val="11"/>
                <w:szCs w:val="11"/>
                <w:color w:val="auto"/>
              </w:rPr>
            </w:pPr>
          </w:p>
        </w:tc>
        <w:tc>
          <w:tcPr>
            <w:tcW w:w="1120" w:type="dxa"/>
            <w:vAlign w:val="bottom"/>
            <w:tcBorders>
              <w:bottom w:val="single" w:sz="8" w:color="auto"/>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7700" w:type="dxa"/>
            <w:vAlign w:val="bottom"/>
          </w:tcPr>
          <w:p>
            <w:pPr>
              <w:ind w:left="160"/>
              <w:spacing w:after="0" w:line="89" w:lineRule="exact"/>
              <w:rPr>
                <w:sz w:val="20"/>
                <w:szCs w:val="20"/>
                <w:color w:val="auto"/>
              </w:rPr>
            </w:pPr>
            <w:r>
              <w:rPr>
                <w:rFonts w:ascii="Times New Roman" w:cs="Times New Roman" w:eastAsia="Times New Roman" w:hAnsi="Times New Roman"/>
                <w:sz w:val="10"/>
                <w:szCs w:val="10"/>
                <w:color w:val="auto"/>
              </w:rPr>
              <w:t>Purchases of property and equipment included in accounts payable and accrued expenses and other</w:t>
            </w:r>
          </w:p>
        </w:tc>
        <w:tc>
          <w:tcPr>
            <w:tcW w:w="38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126</w:t>
            </w:r>
          </w:p>
        </w:tc>
        <w:tc>
          <w:tcPr>
            <w:tcW w:w="140" w:type="dxa"/>
            <w:vAlign w:val="bottom"/>
          </w:tcPr>
          <w:p>
            <w:pPr>
              <w:spacing w:after="0"/>
              <w:rPr>
                <w:sz w:val="7"/>
                <w:szCs w:val="7"/>
                <w:color w:val="auto"/>
              </w:rPr>
            </w:pPr>
          </w:p>
        </w:tc>
        <w:tc>
          <w:tcPr>
            <w:tcW w:w="580" w:type="dxa"/>
            <w:vAlign w:val="bottom"/>
            <w:vMerge w:val="restart"/>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1,422</w:t>
            </w:r>
          </w:p>
        </w:tc>
        <w:tc>
          <w:tcPr>
            <w:tcW w:w="0" w:type="dxa"/>
            <w:vAlign w:val="bottom"/>
          </w:tcPr>
          <w:p>
            <w:pPr>
              <w:spacing w:after="0"/>
              <w:rPr>
                <w:sz w:val="1"/>
                <w:szCs w:val="1"/>
                <w:color w:val="auto"/>
              </w:rPr>
            </w:pPr>
          </w:p>
        </w:tc>
      </w:tr>
      <w:tr>
        <w:trPr>
          <w:trHeight w:val="100"/>
        </w:trPr>
        <w:tc>
          <w:tcPr>
            <w:tcW w:w="7700" w:type="dxa"/>
            <w:vAlign w:val="bottom"/>
          </w:tcPr>
          <w:p>
            <w:pPr>
              <w:ind w:left="240"/>
              <w:spacing w:after="0" w:line="89" w:lineRule="exact"/>
              <w:rPr>
                <w:sz w:val="20"/>
                <w:szCs w:val="20"/>
                <w:color w:val="auto"/>
              </w:rPr>
            </w:pPr>
            <w:r>
              <w:rPr>
                <w:rFonts w:ascii="Times New Roman" w:cs="Times New Roman" w:eastAsia="Times New Roman" w:hAnsi="Times New Roman"/>
                <w:sz w:val="10"/>
                <w:szCs w:val="10"/>
                <w:color w:val="auto"/>
              </w:rPr>
              <w:t>current liabilities</w:t>
            </w:r>
          </w:p>
        </w:tc>
        <w:tc>
          <w:tcPr>
            <w:tcW w:w="38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00" w:type="dxa"/>
            <w:vAlign w:val="bottom"/>
            <w:tcBorders>
              <w:bottom w:val="single" w:sz="8" w:color="CFF0FC"/>
            </w:tcBorders>
            <w:shd w:val="clear" w:color="auto" w:fill="CFF0FC"/>
          </w:tcPr>
          <w:p>
            <w:pPr>
              <w:ind w:left="160"/>
              <w:spacing w:after="0" w:line="102" w:lineRule="exact"/>
              <w:rPr>
                <w:sz w:val="20"/>
                <w:szCs w:val="20"/>
                <w:color w:val="auto"/>
              </w:rPr>
            </w:pPr>
            <w:r>
              <w:rPr>
                <w:rFonts w:ascii="Times New Roman" w:cs="Times New Roman" w:eastAsia="Times New Roman" w:hAnsi="Times New Roman"/>
                <w:sz w:val="11"/>
                <w:szCs w:val="11"/>
                <w:color w:val="auto"/>
              </w:rPr>
              <w:t>Non-cash directors and officers insurance</w:t>
            </w:r>
          </w:p>
        </w:tc>
        <w:tc>
          <w:tcPr>
            <w:tcW w:w="380" w:type="dxa"/>
            <w:vAlign w:val="bottom"/>
            <w:tcBorders>
              <w:bottom w:val="single" w:sz="8" w:color="auto"/>
            </w:tcBorders>
            <w:shd w:val="clear" w:color="auto" w:fill="CFF0FC"/>
          </w:tcPr>
          <w:p>
            <w:pPr>
              <w:jc w:val="right"/>
              <w:ind w:right="24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FF0FC"/>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466"/>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695</w:t>
            </w:r>
          </w:p>
        </w:tc>
        <w:tc>
          <w:tcPr>
            <w:tcW w:w="0" w:type="dxa"/>
            <w:vAlign w:val="bottom"/>
          </w:tcPr>
          <w:p>
            <w:pPr>
              <w:spacing w:after="0"/>
              <w:rPr>
                <w:sz w:val="1"/>
                <w:szCs w:val="1"/>
                <w:color w:val="auto"/>
              </w:rPr>
            </w:pPr>
          </w:p>
        </w:tc>
      </w:tr>
      <w:tr>
        <w:trPr>
          <w:trHeight w:val="102"/>
        </w:trPr>
        <w:tc>
          <w:tcPr>
            <w:tcW w:w="7700" w:type="dxa"/>
            <w:vAlign w:val="bottom"/>
          </w:tcPr>
          <w:p>
            <w:pPr>
              <w:ind w:left="160"/>
              <w:spacing w:after="0" w:line="102" w:lineRule="exact"/>
              <w:rPr>
                <w:sz w:val="20"/>
                <w:szCs w:val="20"/>
                <w:color w:val="auto"/>
              </w:rPr>
            </w:pPr>
            <w:r>
              <w:rPr>
                <w:rFonts w:ascii="Times New Roman" w:cs="Times New Roman" w:eastAsia="Times New Roman" w:hAnsi="Times New Roman"/>
                <w:sz w:val="11"/>
                <w:szCs w:val="11"/>
                <w:color w:val="auto"/>
              </w:rPr>
              <w:t>Non-cash Merger financing</w:t>
            </w:r>
          </w:p>
        </w:tc>
        <w:tc>
          <w:tcPr>
            <w:tcW w:w="380" w:type="dxa"/>
            <w:vAlign w:val="bottom"/>
          </w:tcPr>
          <w:p>
            <w:pPr>
              <w:jc w:val="right"/>
              <w:ind w:right="24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4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2,000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7700" w:type="dxa"/>
            <w:vAlign w:val="bottom"/>
            <w:shd w:val="clear" w:color="auto" w:fill="CFF0FC"/>
          </w:tcPr>
          <w:p>
            <w:pPr>
              <w:ind w:left="160"/>
              <w:spacing w:after="0" w:line="89" w:lineRule="exact"/>
              <w:rPr>
                <w:sz w:val="20"/>
                <w:szCs w:val="20"/>
                <w:color w:val="auto"/>
              </w:rPr>
            </w:pPr>
            <w:r>
              <w:rPr>
                <w:rFonts w:ascii="Times New Roman" w:cs="Times New Roman" w:eastAsia="Times New Roman" w:hAnsi="Times New Roman"/>
                <w:sz w:val="10"/>
                <w:szCs w:val="10"/>
                <w:color w:val="auto"/>
              </w:rPr>
              <w:t>Exchange of DTIH redeemable convertible preferred stock for DTIC Common Stock in connection</w:t>
            </w:r>
          </w:p>
        </w:tc>
        <w:tc>
          <w:tcPr>
            <w:tcW w:w="380" w:type="dxa"/>
            <w:vAlign w:val="bottom"/>
            <w:vMerge w:val="restart"/>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7"/>
                <w:szCs w:val="7"/>
                <w:color w:val="auto"/>
              </w:rPr>
            </w:pPr>
          </w:p>
        </w:tc>
        <w:tc>
          <w:tcPr>
            <w:tcW w:w="580" w:type="dxa"/>
            <w:vAlign w:val="bottom"/>
            <w:vMerge w:val="restart"/>
            <w:shd w:val="clear" w:color="auto" w:fill="CFF0FC"/>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7,193</w:t>
            </w:r>
          </w:p>
        </w:tc>
        <w:tc>
          <w:tcPr>
            <w:tcW w:w="0" w:type="dxa"/>
            <w:vAlign w:val="bottom"/>
          </w:tcPr>
          <w:p>
            <w:pPr>
              <w:spacing w:after="0"/>
              <w:rPr>
                <w:sz w:val="1"/>
                <w:szCs w:val="1"/>
                <w:color w:val="auto"/>
              </w:rPr>
            </w:pPr>
          </w:p>
        </w:tc>
      </w:tr>
      <w:tr>
        <w:trPr>
          <w:trHeight w:val="135"/>
        </w:trPr>
        <w:tc>
          <w:tcPr>
            <w:tcW w:w="7700" w:type="dxa"/>
            <w:vAlign w:val="bottom"/>
            <w:tcBorders>
              <w:bottom w:val="single" w:sz="8" w:color="CFF0FC"/>
            </w:tcBorders>
            <w:shd w:val="clear" w:color="auto" w:fill="CFF0FC"/>
          </w:tcPr>
          <w:p>
            <w:pPr>
              <w:ind w:left="240"/>
              <w:spacing w:after="0" w:line="89" w:lineRule="exact"/>
              <w:rPr>
                <w:sz w:val="20"/>
                <w:szCs w:val="20"/>
                <w:color w:val="auto"/>
              </w:rPr>
            </w:pPr>
            <w:r>
              <w:rPr>
                <w:rFonts w:ascii="Times New Roman" w:cs="Times New Roman" w:eastAsia="Times New Roman" w:hAnsi="Times New Roman"/>
                <w:sz w:val="10"/>
                <w:szCs w:val="10"/>
                <w:color w:val="auto"/>
              </w:rPr>
              <w:t>with Merger</w:t>
            </w:r>
          </w:p>
        </w:tc>
        <w:tc>
          <w:tcPr>
            <w:tcW w:w="380" w:type="dxa"/>
            <w:vAlign w:val="bottom"/>
            <w:tcBorders>
              <w:bottom w:val="single" w:sz="8" w:color="auto"/>
            </w:tcBorders>
            <w:vMerge w:val="continue"/>
            <w:shd w:val="clear" w:color="auto" w:fill="CFF0FC"/>
          </w:tcPr>
          <w:p>
            <w:pPr>
              <w:spacing w:after="0"/>
              <w:rPr>
                <w:sz w:val="11"/>
                <w:szCs w:val="11"/>
                <w:color w:val="auto"/>
              </w:rPr>
            </w:pPr>
          </w:p>
        </w:tc>
        <w:tc>
          <w:tcPr>
            <w:tcW w:w="1320" w:type="dxa"/>
            <w:vAlign w:val="bottom"/>
            <w:tcBorders>
              <w:bottom w:val="single" w:sz="8" w:color="auto"/>
            </w:tcBorders>
            <w:vMerge w:val="continue"/>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auto"/>
            </w:tcBorders>
            <w:vMerge w:val="continue"/>
            <w:shd w:val="clear" w:color="auto" w:fill="CFF0FC"/>
          </w:tcPr>
          <w:p>
            <w:pPr>
              <w:spacing w:after="0"/>
              <w:rPr>
                <w:sz w:val="11"/>
                <w:szCs w:val="11"/>
                <w:color w:val="auto"/>
              </w:rPr>
            </w:pPr>
          </w:p>
        </w:tc>
        <w:tc>
          <w:tcPr>
            <w:tcW w:w="1120" w:type="dxa"/>
            <w:vAlign w:val="bottom"/>
            <w:tcBorders>
              <w:bottom w:val="single" w:sz="8" w:color="auto"/>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7700" w:type="dxa"/>
            <w:vAlign w:val="bottom"/>
          </w:tcPr>
          <w:p>
            <w:pPr>
              <w:ind w:left="160"/>
              <w:spacing w:after="0" w:line="89" w:lineRule="exact"/>
              <w:rPr>
                <w:sz w:val="20"/>
                <w:szCs w:val="20"/>
                <w:color w:val="auto"/>
              </w:rPr>
            </w:pPr>
            <w:r>
              <w:rPr>
                <w:rFonts w:ascii="Times New Roman" w:cs="Times New Roman" w:eastAsia="Times New Roman" w:hAnsi="Times New Roman"/>
                <w:sz w:val="10"/>
                <w:szCs w:val="10"/>
                <w:color w:val="auto"/>
              </w:rPr>
              <w:t>Issuance of DTIC Common Stock to former holders of DTIH redeemable convertible</w:t>
            </w:r>
          </w:p>
        </w:tc>
        <w:tc>
          <w:tcPr>
            <w:tcW w:w="38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7"/>
                <w:szCs w:val="7"/>
                <w:color w:val="auto"/>
              </w:rPr>
            </w:pPr>
          </w:p>
        </w:tc>
        <w:tc>
          <w:tcPr>
            <w:tcW w:w="580" w:type="dxa"/>
            <w:vAlign w:val="bottom"/>
            <w:vMerge w:val="restart"/>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10,805</w:t>
            </w:r>
          </w:p>
        </w:tc>
        <w:tc>
          <w:tcPr>
            <w:tcW w:w="0" w:type="dxa"/>
            <w:vAlign w:val="bottom"/>
          </w:tcPr>
          <w:p>
            <w:pPr>
              <w:spacing w:after="0"/>
              <w:rPr>
                <w:sz w:val="1"/>
                <w:szCs w:val="1"/>
                <w:color w:val="auto"/>
              </w:rPr>
            </w:pPr>
          </w:p>
        </w:tc>
      </w:tr>
      <w:tr>
        <w:trPr>
          <w:trHeight w:val="100"/>
        </w:trPr>
        <w:tc>
          <w:tcPr>
            <w:tcW w:w="7700" w:type="dxa"/>
            <w:vAlign w:val="bottom"/>
          </w:tcPr>
          <w:p>
            <w:pPr>
              <w:ind w:left="240"/>
              <w:spacing w:after="0" w:line="89" w:lineRule="exact"/>
              <w:rPr>
                <w:sz w:val="20"/>
                <w:szCs w:val="20"/>
                <w:color w:val="auto"/>
              </w:rPr>
            </w:pPr>
            <w:r>
              <w:rPr>
                <w:rFonts w:ascii="Times New Roman" w:cs="Times New Roman" w:eastAsia="Times New Roman" w:hAnsi="Times New Roman"/>
                <w:sz w:val="10"/>
                <w:szCs w:val="10"/>
                <w:color w:val="auto"/>
              </w:rPr>
              <w:t>preferred stock in connection with Exchange Agreements</w:t>
            </w:r>
          </w:p>
        </w:tc>
        <w:tc>
          <w:tcPr>
            <w:tcW w:w="38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00" w:type="dxa"/>
            <w:vAlign w:val="bottom"/>
            <w:tcBorders>
              <w:bottom w:val="single" w:sz="8" w:color="CFF0FC"/>
            </w:tcBorders>
            <w:shd w:val="clear" w:color="auto" w:fill="CFF0FC"/>
          </w:tcPr>
          <w:p>
            <w:pPr>
              <w:ind w:left="160"/>
              <w:spacing w:after="0" w:line="102" w:lineRule="exact"/>
              <w:rPr>
                <w:sz w:val="20"/>
                <w:szCs w:val="20"/>
                <w:color w:val="auto"/>
              </w:rPr>
            </w:pPr>
            <w:r>
              <w:rPr>
                <w:rFonts w:ascii="Times New Roman" w:cs="Times New Roman" w:eastAsia="Times New Roman" w:hAnsi="Times New Roman"/>
                <w:sz w:val="11"/>
                <w:szCs w:val="11"/>
                <w:color w:val="auto"/>
              </w:rPr>
              <w:t>Accretion of redeemable convertible preferred stock to redemption value</w:t>
            </w:r>
          </w:p>
        </w:tc>
        <w:tc>
          <w:tcPr>
            <w:tcW w:w="380" w:type="dxa"/>
            <w:vAlign w:val="bottom"/>
            <w:tcBorders>
              <w:bottom w:val="single" w:sz="8" w:color="auto"/>
            </w:tcBorders>
            <w:shd w:val="clear" w:color="auto" w:fill="CFF0FC"/>
          </w:tcPr>
          <w:p>
            <w:pPr>
              <w:jc w:val="right"/>
              <w:ind w:right="24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FF0FC"/>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466"/>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-3856990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-3222625</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-2356485</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-2030730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-2014220</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-1851025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-1833880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-1464945</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-1447800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-1259840</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-1242695</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-1053465</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-1036320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-796290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-779145</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-539115</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-521970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-281940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-264795</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Structure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Drilling Tools International Corporation, a Delaware corporation ("DTIC" or the "Company"), manufactures, rents, inspects, and refurbishes downhole drilling tools primarily to companies in the oil and natural gas industry for bottom hole assemblies used in onshore and offshore horizontal and directional drilling.</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On March 15, 2024 (the “CTG Acquisition Date”), we entered into a Share Purchase Agreement (the “Share Purchase Agreement”) with Casing Technologies Group Limited (“CTG”), certain shareholders of CTG, and a representative of CTG. Pursuant to the terms of the Share Purchase Agreement, the Company acquired one hundred percent (100%) of the shares of CTG (the “CTG Acquisition”), which wholly owns Deep Casing Tools Limited (“Deep Casing”), an energy technology development company, for approximately £16.2 million, or $20.9 million, based on the British pound sterling to United States dollar exchange rate on the CTG Acquisition Date. For further details regarding the acquisition, refer to </w:t>
      </w:r>
      <w:r>
        <w:rPr>
          <w:rFonts w:ascii="Times New Roman" w:cs="Times New Roman" w:eastAsia="Times New Roman" w:hAnsi="Times New Roman"/>
          <w:sz w:val="18"/>
          <w:szCs w:val="18"/>
          <w:i w:val="1"/>
          <w:iCs w:val="1"/>
          <w:color w:val="auto"/>
        </w:rPr>
        <w:t>Note 3 – “Business Combinations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On March 6, 2024, the Company entered into an agreement and plan of merger (the "Merger Agreement") by and among the Company, Superior Drilling Products, Inc., a Utah corporation (“SDPI”), DTI Merger Sub I, Inc., a Delaware corporation and directly wholly owned subsidiary of the Company (“Merger Sub I”), and Merger DTI Merger Sub II, LLC, a Delaware limited liability company and wholly owned subsidiary of the Company (“Merger Sub II”), pursuant to which Merger Sub I merged with and into SDPI (the “First Merger”), with SDPI surviving as a wholly owned subsidiary of DTI and upon the effective time of the First Merger (the “First Effective Time”), SDPI, as the surviving corporation of the First Merger, merged with and into Merger Sub II (the “Second Merger,” and together with the First Merger, the “Merger”), with Merger Sub II surviving as a wholly owned subsidiary of the Company. In accordance with the terms of the Merger Agreement, the closing of the Merger occurred on July 31, 2024 (the “SDPI Closing Date” or “SDPI Closing”) for total consideration of $47.9 million. For further details regarding the acquisition, refer to </w:t>
      </w:r>
      <w:r>
        <w:rPr>
          <w:rFonts w:ascii="Times New Roman" w:cs="Times New Roman" w:eastAsia="Times New Roman" w:hAnsi="Times New Roman"/>
          <w:sz w:val="18"/>
          <w:szCs w:val="18"/>
          <w:i w:val="1"/>
          <w:iCs w:val="1"/>
          <w:color w:val="auto"/>
        </w:rPr>
        <w:t>Note 3 - "Business Combinations."</w:t>
      </w:r>
    </w:p>
    <w:p>
      <w:pPr>
        <w:spacing w:after="0" w:line="19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 xml:space="preserve">On October 3, 2024, the Company’s wholly owned subsidiary, Drilling Tools International, Inc., entered the Share Purchase Agreement with European Drilling Projects B.V. (“EDP”), and the sole shareholder of EDP, to acquire 100% of the shares of EDP. The total purchase price of the acquisition was $13.9 million. For further details regarding the acquisition, refer to </w:t>
      </w:r>
      <w:r>
        <w:rPr>
          <w:rFonts w:ascii="Times New Roman" w:cs="Times New Roman" w:eastAsia="Times New Roman" w:hAnsi="Times New Roman"/>
          <w:sz w:val="18"/>
          <w:szCs w:val="18"/>
          <w:i w:val="1"/>
          <w:iCs w:val="1"/>
          <w:color w:val="auto"/>
        </w:rPr>
        <w:t>Note 3 – “Business Combinations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United States (“U.S.”) operations have locations in Texas, California, Louisiana, Oklahoma, Pennsylvania, North Dakota, New Mexico, Utah, and Wyoming. The Company’s international operations are located in Canada with additional stocking points in Europe, the Middle East, and Asia-Pacific. Operations outside the U.S. are subject to risks inherent in operating under different legal systems and various political and economic environments. Among the risks are changes in existing tax laws and possible limitations on foreign investment. The Company does not engage in hedging activities to mitigate its exposure to fluctuations in foreign currency exchange rates.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by the Company in accordance with accounting principles generally accepted in the United States of America (“U.S. GAAP”) as set forth by the Financial Accounting Standards Board ("FASB") and pursuant to the rules and regulations of the United States Securities and Exchange Commission (“SEC”). References to US GAAP issued by the FASB in these notes to the accompanying consolidated financial statements are to the FASB Accounting Standards Codifications (“ASC”) and Accounting Standards Update (“ASU”).</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until such time the Company is no longer considered to be an emerging growth company. At times, the Company may elect to early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1" w:name="page62"/>
    <w:bookmarkEnd w:id="61"/>
    <w:p>
      <w:pPr>
        <w:ind w:right="400"/>
        <w:spacing w:after="0" w:line="282" w:lineRule="auto"/>
        <w:rPr>
          <w:sz w:val="20"/>
          <w:szCs w:val="20"/>
          <w:color w:val="auto"/>
        </w:rPr>
      </w:pPr>
      <w:r>
        <w:rPr>
          <w:rFonts w:ascii="Times New Roman" w:cs="Times New Roman" w:eastAsia="Times New Roman" w:hAnsi="Times New Roman"/>
          <w:sz w:val="18"/>
          <w:szCs w:val="18"/>
          <w:color w:val="auto"/>
        </w:rPr>
        <w:t>adopt a new or revised standard. As such, the Company’s financial statements may not be comparable to companies that comply with public company effective 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revenue and expenses and the disclosure of contingent assets and liabilities in the Company’s consolidated financial statements and accompanying notes as of the date of the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In the current macroeconomic and business environment affected by the Russia-Ukraine and Israel-Hamas conflicts and inflationary pressures, these estimates require increased judgment and carry a higher degree of variability and volatility. As events continue to evolve and additional information becomes available, these estimates may change materially in future periods.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the Company and its wholly-owned subsidiaries. All intercompany accounts and transactions have been eliminated on consolidation. Further, the basis of consolidation incorporates the financial statements of our foreign entity, Casing Technologies Group Limited, which operates under UK Generally Accepted Accounting Principles ("UK GAAP"). Those financial statements are translated into U.S. GAAP for consolidation purposes. The translation process adheres to established accounting standards and guidelines to ensure consistency and comparability across our consolidated financial statements. This approach enables us to accurately reflect the financial position, results of operations, and cash flows of our consolidated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Translations and Transactions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United States dollars using the rate of exchange at the respective balance sheet date. Components of the consolidated statements of income and comprehensive income have been translated at the average rates for the year of the reporting period. Translation gains and losses are recorded in accumulated other comprehensive loss as a component of stockholders’ equity. Gains or losses arising from currency exchange rate fluctuations on transactions denominated in a currency other than the local functional currency are included in the consolidated statements of income and comprehensive income. For the years ended December 31, 2024 and 2023, the aggregate foreign currency exchange rate fluctuations on transactions included in the consolidated statements of income and comprehensive income totaled approximately $44.5 thousand and $0.1 million in losses,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customer concentration may impact its overall credit risk, either positively or negatively, in that these entities may be similarly affected by changes in economic or other conditions affecting the oil and gas industry.</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generated approximately 28% of its revenue from 2 customers. For the year ended December 31, 2023, the Company generated approximately 39% of its revenue from 3 customers. Amounts due from these customers included in accounts receivable at December 31, 2024 and December 31, 2023, were approximately $6.3 million and $11.1 million, respectively.</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none of our vendors accounted for more than 10% of total purchases. For the year ended December 31, 2023, the Company had 2 vendors that represented approximately 23% of its total purchases. Amounts due to these vendors included in accounts payable at December 31, 2023 were approximately $0.3 million.</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applies the acquisition method of accounting for business combinations,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 We use a reasonable measurement period to record any adjustment related to the opening balance sheet (generally, less than one year). These fair value measurements are considered level 3 fair value measurements.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accordance with Topic 842 (which addresses lease accounting) and Topic 606 (which addresses revenue from contracts with customers). The Company derives its revenue from two revenue types, tool rental services and product sales.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Tool Rental Services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Tool rental services consist of rental services, inspection services, and repair services. Tool rental services are accounted for under Topic 842.</w:t>
      </w:r>
    </w:p>
    <w:p>
      <w:pPr>
        <w:spacing w:after="0" w:line="225"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Owned tool rentals represent the most significant revenue type and are governed by the Company’s standard rental contract. The Company accounts for such rentals as operating leases. The lease terms are included in the contracts, and the determination of whether the Company’s contracts contain leases generally does not require significant assumptions or judgments. Owned tool rentals represent revenue from renting tools that the Company owns. The Company does not generally provide an option for the lessee to purchase the rented equipment at the end of the lease.</w:t>
      </w:r>
    </w:p>
    <w:p>
      <w:pPr>
        <w:spacing w:after="0" w:line="18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 recognizes revenues from renting tools on a straight-line basis. The Company’s rental contract periods are daily, monthly, or per well. As part of this straight-line methodology, when the equipment is returned, the Company recognizes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 In any given accounting period, the Company will have customers return the drilling tool and be contractually required to pay the Company more than the cumulative amount of revenue recognized to date under the straight-line methodology. Additionally, the Company has rental contracts that are based on usage, either on a per footage or per well basis. As these types of rental contracts primarily consist of variable lease payments, which are unknown at commencement, revenue is recognized when the changes in the factor on which the contingent lease payments are based occur. When the customer returns the rental equipment and the footage or usage becomes known, the Company recognizes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the amounts billed to customers in excess of recognizable revenue as deferred revenue on its consolidated balance sheet.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the Company is unsure of when the customer will return rented drilling tools. As such, the Company cannot provide a maturity analysis of future lease payments as it is unknown when the tool will be returned and what the customer will owe upon return of the tool. The Company’s drilling tools are generally rented for short periods of time (significantly less than a year). Lessees do not provide residual value guarantees on rented equipment.</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expects to derive significant future benefits from its drilling tools following the end of the rental term. The Company’s rentals are generally short-term in nature, and its tools are typically rented for the majority of the time that the Company owns them.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Sales</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Product sales consist of charges for rented tools that are damaged beyond repair, charges for lost-in-hole, and charges for lost-in-transit while in the care, custody or control of the Company’s customers, drill bit manufacturing and refurbishment, and other charges for made to order product sales as well. Product sales are accounted for under Topic 606.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3" w:name="page64"/>
    <w:bookmarkEnd w:id="63"/>
    <w:p>
      <w:pPr>
        <w:ind w:right="80"/>
        <w:spacing w:after="0" w:line="253"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the Company’s contracts with customers contain a single performance obligation to provide a product sale, the Company does not have any performance obligations requiring allocation of transaction prices.</w:t>
      </w:r>
    </w:p>
    <w:p>
      <w:pPr>
        <w:spacing w:after="0" w:line="1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performance obligation for made to order product sales is satisfied and revenue is recognized at a point in time when control of the asset transfers to the customer, which typically occurs upon customer pick up. Additionally, pursuant to the contractual terms with the Company’s customers, the customer must notify the Company of, and purchase from the Company, any rented tools that are damaged beyond repair, lost-in-hole, or lost-in-transit while in the care, custody or control of the Company’s customers. Revenue is recognized for these products at a point in time upon the customer’s notification to the Company of the occurrence of one of these noted events.</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does not have any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per geographic location</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Revenue generated was concentrated within the United States. For the years ended December 31, 2024 and 2023, the revenue generated within the United States was $125.3 million and $137.2 million, respectively, or 81% and 90% of total revenues. For the years ended December 31, 2024 and 2023, the revenue generated outside the United States, in Canada and International, was $29.2 million and $14.8 million, respectively, or 19% and 10% of total revenues.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Contract assets represent the Company’s rights to consideration for work completed but not billed. As of December 31, 2024 and 2023, the Company had contract assets of $5.4 million and $4.2 million, respectively. Contract assets were recorded in accounts receivable, net in the accompanying consolidated balance sheets. The changes in contract assets for the year ended December 31, 2024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Pr>
          <w:p>
            <w:pPr>
              <w:spacing w:after="0"/>
              <w:rPr>
                <w:sz w:val="20"/>
                <w:szCs w:val="20"/>
                <w:color w:val="auto"/>
              </w:rPr>
            </w:pPr>
          </w:p>
        </w:tc>
      </w:tr>
      <w:tr>
        <w:trPr>
          <w:trHeight w:val="216"/>
        </w:trPr>
        <w:tc>
          <w:tcPr>
            <w:tcW w:w="7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 recognized from contract assets</w:t>
            </w:r>
          </w:p>
        </w:tc>
        <w:tc>
          <w:tcPr>
            <w:tcW w:w="140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55,814</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 of contract assets into accounts receivable</w:t>
            </w:r>
          </w:p>
        </w:tc>
        <w:tc>
          <w:tcPr>
            <w:tcW w:w="140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(54,522 )</w:t>
            </w:r>
          </w:p>
        </w:tc>
      </w:tr>
      <w:tr>
        <w:trPr>
          <w:trHeight w:val="210"/>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0" w:type="dxa"/>
            <w:vAlign w:val="bottom"/>
            <w:tcBorders>
              <w:top w:val="single" w:sz="8" w:color="auto"/>
              <w:bottom w:val="single" w:sz="8" w:color="auto"/>
            </w:tcBorders>
            <w:shd w:val="clear" w:color="auto" w:fill="CFF0FC"/>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As of December 31, 2024 and 2023, the Company did not have any material contract liabilities. All deferred revenue were expected to be recognized during the following 12 months, and they were recorded in accrued expenses and other current liabilities in the accompanying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did not have any cash equivalents as of December 31, 2024 and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consists principally of uncollateralized amounts billed to customers. These receivables are generally due within 30 to 60 days of the period in which the corresponding sales or rentals occur and do not bear interest. They are recorded at net realizable value less an allowance for credit losses and are classified as account receivable, net on the consolidated balance sheets.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considers both current conditions and reasonable and supportable forecasts of future conditions when evaluating expected credit losses for uncollectible receivable balances. In our determination of the allowance for credit losses, we pool receivables by days outstanding and apply an expected credit loss percentage to each pool. The expected credit loss percentage is determined using historical loss data adjusted for current conditions and forecasts of future economic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allowance for credit losses for the year ended December 31, 2024 were as follows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40" w:type="dxa"/>
            <w:vAlign w:val="bottom"/>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(1,458 )</w:t>
            </w:r>
          </w:p>
        </w:tc>
      </w:tr>
      <w:tr>
        <w:trPr>
          <w:trHeight w:val="216"/>
        </w:trPr>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during 2024</w:t>
            </w:r>
          </w:p>
        </w:tc>
        <w:tc>
          <w:tcPr>
            <w:tcW w:w="1440" w:type="dxa"/>
            <w:vAlign w:val="bottom"/>
          </w:tcPr>
          <w:p>
            <w:pPr>
              <w:spacing w:after="0"/>
              <w:rPr>
                <w:sz w:val="18"/>
                <w:szCs w:val="18"/>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(439 )</w:t>
            </w:r>
          </w:p>
        </w:tc>
      </w:tr>
      <w:tr>
        <w:trPr>
          <w:trHeight w:val="216"/>
        </w:trPr>
        <w:tc>
          <w:tcPr>
            <w:tcW w:w="7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Utilization of allowance for credit losses</w:t>
            </w:r>
          </w:p>
        </w:tc>
        <w:tc>
          <w:tcPr>
            <w:tcW w:w="144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(1,690 )</w:t>
            </w:r>
          </w:p>
        </w:tc>
      </w:tr>
      <w:tr>
        <w:trPr>
          <w:trHeight w:val="20"/>
        </w:trPr>
        <w:tc>
          <w:tcPr>
            <w:tcW w:w="78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using the specific identification method, weighted average, or the first-in-first-out ("FIFO") method, depending on the type of inventory. Inventory that is obsolete or in excess of forecasted usage is written down to its net realizable value based on assumptions regarding future demand and market conditions. Inventory write-downs are charged to cost of rental revenue and cost of product sale revenue within operating costs section of the consolidated statements of income and comprehensive income and establish a new cost basis for the inventory. Inventory includes raw material and finished goods.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Property, plant and equipment purchased by the Company are recorded at cost less accumulated depreciation. Depreciation is recorded using the straight-line method based on the estimated useful lives of the depreciable property or, for leasehold improvements, the remaining term of the lease, whichever is shorter. Assets not yet placed in use are not depreciated.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acquired as part of a business acquisition is recorded at acquisition date fair value with subsequent additions at cost.</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cost of refurbishments and renewals are capitalized when the value of the property, plant or equipment is enhanced for an extended period. Expenditures to maintain and repair property, plant and equipment, which do not improve or extend the life of the related assets, are charged to operations when incurred. When property, plant and equipment is retired or otherwise disposed of, the related cost and accumulated depreciation are removed from the accounts and any resulting gain or loss is included in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Long-lived assets with finite lives include property, plant and equipment and acquired intangible assets. The Company evaluates long-lived assets, including acquired intangible assets for impairment whenever events or changes in circumstances indicate that the carrying amount of an asset may not be recoverable. The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18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and 2023, management determined that there were no triggering events necessitating impairment testing of property, plant, and equipment or intangible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as of January 1, 2022 using the modified retrospective transition approach, with no restatement of prior periods or cumulative adjustments to retained earnings. Upon adoption, the Company elected the package of transition practical expedients, which allowed it to carry forward prior conclusions related to whether any expired or existing contracts are or contain leases, the lease classification for any expired or existing leases and initial direct costs for existing leases. The Company elected the use-of-hindsight to reassess lease term. The Company elected not to recognize leases with an initial term of 12 months or less within the consolidated balance sheets and to recognize those lease payments on a straight-line basis in the consolidated statements of income and comprehensive income over the lease term. The new lease accounting standard also provides practical expedients for an entity’s ongoing accounting. The Company elected the practical expedient to not separate lease and non-lease components for all leases.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and current operating lease liabilities and operating lease liabilities, net of current portion on the consolidated balance sheets. The Company recognizes lease expense for its operating leases on a straight-line basis over the term of the lease.</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 the lease classification as of the effective date of the modification.</w:t>
      </w:r>
    </w:p>
    <w:p>
      <w:pPr>
        <w:spacing w:after="0" w:line="18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the Company’s leases is not readily determinable. The incremental borrowing rate is estimated to approximate the interest rate on a collateralized basis with similar terms and payments, and in economic environments where the leased asset is located.</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base, noncancelable, lease term when determining the ROU assets and lease liabilities. The right-of-use asset is tested for impairment in accordance with ASC Topic 360, </w:t>
      </w:r>
      <w:r>
        <w:rPr>
          <w:rFonts w:ascii="Times New Roman" w:cs="Times New Roman" w:eastAsia="Times New Roman" w:hAnsi="Times New Roman"/>
          <w:sz w:val="18"/>
          <w:szCs w:val="18"/>
          <w:i w:val="1"/>
          <w:iCs w:val="1"/>
          <w:color w:val="auto"/>
        </w:rPr>
        <w:t>Property, Plant, and Equipment.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Lessor Accounting</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of the economic benefits from the use of the identified asset throughout the period of use and (iii) the customer directs the use of the identified assets throughout the period of use.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lease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operating lease revenue within “Tool rental” on the consolidated statements of income and comprehensive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Intangibles</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Intangible assets with finite useful lives include customer relationships, trade name, patents, non-compete agreements and a supply agreement. These intangible assets are amortized either on a straight-line basis over the asset’s estimated useful life or on a basis that reflects the pattern in which the economic benefits of the intangible are realized.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purchase price paid over the fair value of the net assets of acquired businesses. We evaluate Goodwill at least annually for impairment. Goodwill is considered impaired if the carrying amount of the reporting unit exceeds its estimated fair value. We conduct our annual assessment of the recoverability of goodwill as of December 31 of each year. We first assess qualitative factors to determine whether it is more likely than not that the fair value of a reporting unit is less than its carrying amount as a basis for determining whether it is necessary to perform the goodwill impairment test. If the qualitative assessment indicates that it is more likely than not that the fair value of the reporting unit is less than its carrying amount or we elect not to perform a qualitative assessment, the quantitative assessment of goodwill test is performed. The goodwill impairment test is also performed whenever events or changes in circumstances indicate that the carrying value may not be recoverable. If it is necessary to perform the quantitative assessment to determine if our goodwill is impaired, we will utilize a discounted cash flow analysis using management’s projections that are subject to various risks and uncertainties of revenues, expenses and cash flows as well as assumptions regarding discount rates, terminal value and control premiums. Estimates of future cash flows and fair value are highly subjective and inherently imprecise. These estimates can change materially from period to period based on many factors. Accordingly, if conditions change in the future, we may record impairment losses, which could be material to any particular reporting period.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 Equity Securities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Equity securities are stated at fair value. Unrealized gains and losses are reflected in the consolidated statements of income and comprehensive income. The Company periodically reviews the securities for other than temporary declines in fair value below cost and more frequently when events or changes in circumstances indicate that the carrying amount of an asset may not be recoverable. For the year ended December 31, 2024 the Company settled all investments in equity securities for a realized loss of $12 thousand.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enter into derivative instruments to manage exposure to interest rate fluctuations. During 2016, the Company entered into an interest swap agreement with respect to amounts outstanding under its revolving line of credit.</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interest rate swap is a pay-fixed, receive-variable interest rate swap based on SOFR swap rate. The SOFR swap rate is observable at commonly quoted intervals for the full term of the swap and therefore is considered a Level 2 item. For interest rate swaps in an asset position, the credit standing of the counterparty is analyzed and factored into the fair value measurement of the asset. The impact of the Company’s creditworthiness has also been factored into the fair value measurement of the interest rate swap in a liability position. For the years ended December 31, 2024 and 2023, the application of valuation techniques applied to similar assets and liabilities has been consistent.</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This arrangement was designed to manage exposure to interest rate fluctuations by effectively exchanging existing obligations to pay interest based on floating rates for obligations to pay interest based on a fixed rate. These derivatives are marked-to-market at the end of each quarter and the realized/unrealized gain or loss is recorded as interest expense.</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interest swap agreement was settled on July 10, 2023. Upon settlement, the swap had a fair value of $0.4 million. No new interest rate swaps were entered into subsequently or during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There is a hierarchy based upon the transparency of inputs used in the valuation of an asset or liability. Classification within the hierarchy is based upon the lowest level of input that is significant to the fair value measurement. The valuation hierarchy contains three levels: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 inputs are unadjusted quoted market prices for identical assets or liabilities in active markets.</w:t>
      </w:r>
    </w:p>
    <w:p>
      <w:pPr>
        <w:spacing w:after="0" w:line="117" w:lineRule="exact"/>
        <w:rPr>
          <w:sz w:val="20"/>
          <w:szCs w:val="20"/>
          <w:color w:val="auto"/>
        </w:rPr>
      </w:pPr>
    </w:p>
    <w:p>
      <w:pPr>
        <w:ind w:left="52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 inputs are quoted prices for identical assets or liabilities in markets that are not active, quoted market prices for similar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liabilities in active markets and other observable inputs directly or indirectly related to the assets or liabilities being measured.</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 inputs are unobservable and significant to the fair value measurement.</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67" w:name="page68"/>
    <w:bookmarkEnd w:id="67"/>
    <w:p>
      <w:pPr>
        <w:ind w:right="320"/>
        <w:spacing w:after="0" w:line="282"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6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 determining the appropriate levels, the Company performs a detailed analysis of the assets and liabilities that are measured and reported on a fair value basis. At each reporting period, all assets and liabilities for which the fair value measurement is based on significant unobservable inputs are classified as Level 3. The valuation of assets and liabilities recognized in business combinations are considered level 3 fair value measurements on the closing date of the acquisition. These assets and liabilities are not remeasured at each reporting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and liabilities measured at fair value are summarized as follows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9"/>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Assets at Fair Value as of December 31, 2024</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equity securities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9"/>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Assets at Fair Value as of December 31, 2023</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equity securities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888</w:t>
            </w:r>
          </w:p>
        </w:tc>
        <w:tc>
          <w:tcPr>
            <w:tcW w:w="10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888</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-925195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-925195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-925195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-925195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the Company did not have any Level 2 or Level 3 assets or liabilities.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accounts receivable, and accounts payable. The carrying amount of such instruments approximates fair value due to their short-term nature. Additionally, the Company carries long-term debt at its amortized cost, which approximates fair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Prior to the closing of the Merger, there were outstanding shares of DTIH Series A redeemable convertible preferred stock (the "redeemable convertible preferred stock"), which was classified outside of permanent equity in mezzanine equity on the consolidated balance sheets as it was redeemable on a fixed date.</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Upon the closing of the Merger, all of the redeemable convertible preferred stock was canceled in exchange for DTIC Common Stock and the right to receive cash. Accordingly, there was no redeemable convertible preferred stock outstanding as of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the closing of the Merger, the Board have expressly granted authority to issue shares of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providing for the issue of such series and as may be permitted by the Delaware General Corporation Law.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9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Board of the Company has not issued any shares of any classes or series of preferred stock as of December 31, 2024, and through the date these financial statements were available to be issued.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recorded all operating costs associated with its product sales and tool rental revenue streams in cost of product sale revenue and cost of tool rental revenue, respectively, in the consolidated statements of income and comprehensive income. All indirect operating costs, including labor, freight, contract labor and others, are included in selling, general, and administrative expense in the consolidated statements of income and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stock-based compensation expenses over the requisite service period. The Company historically granted stock-based compensation awards with performance based vesting conditions. These options all vested upon the closing of the Merger with ROC. Subsequent to the closing of the merger with ROC, the Company’s stock-based compensation awards granted are subject to service based and performance based vesting conditions. Pursuant to ASC 718-10-35-8, the Company recognizes compensation cost for stock awards with only service conditions that have a graded vesting schedule on a straight-line basis over the service period for each separately vesting portion of the award as if the award was, in-substance, multiple awards. ASC 718 requires that the cost of awards of equity instruments offered in exchange for employee services, including employee stock options and restricted stock awards, be measured based on the grant-date fair value of the award. The Company determines the fair value of stock options granted using the Black-Scholes-Merton option-pricing model (“Black-Scholes model”) and recognizes the cost over the period during which an employee is required to provide service in exchange for the award, generally the vesting period, net of estimated forfeitures.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restricted stock units, the grant date fair value is determined based on quoted market price for the Company's common stock as of the grant date and the grant date fair value of the awards are recognized as compensation cost as awards vest over the requisite service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(loss) by the weighted-average number of common shares outstanding for the period. Diluted earnings is computed by adjusting net income (loss) to reallocate undistributed earnings based on the potential impact of dilutive securities. Diluted earnings is computed by dividing the diluted net income (loss) by the weighted-average number of common shares outstanding for the period, including potential dilutive common stock. For the purposes of this calculation, outstanding stock options and redeemable convertible preferred stock are considered potential dilutive common stock and are excluded from the computation of net loss per share if their effect is anti-dilutive.</w:t>
      </w:r>
    </w:p>
    <w:p>
      <w:pPr>
        <w:spacing w:after="0" w:line="183" w:lineRule="exact"/>
        <w:rPr>
          <w:sz w:val="20"/>
          <w:szCs w:val="20"/>
          <w:color w:val="auto"/>
        </w:rPr>
      </w:pPr>
    </w:p>
    <w:p>
      <w:pPr>
        <w:jc w:val="both"/>
        <w:ind w:right="600"/>
        <w:spacing w:after="0" w:line="282" w:lineRule="auto"/>
        <w:rPr>
          <w:sz w:val="20"/>
          <w:szCs w:val="20"/>
          <w:color w:val="auto"/>
        </w:rPr>
      </w:pPr>
      <w:r>
        <w:rPr>
          <w:rFonts w:ascii="Times New Roman" w:cs="Times New Roman" w:eastAsia="Times New Roman" w:hAnsi="Times New Roman"/>
          <w:sz w:val="18"/>
          <w:szCs w:val="18"/>
          <w:color w:val="auto"/>
        </w:rPr>
        <w:t>The redeemable convertible preferred stock did not contractually entitle its holders to participate in profits or losses. As such, it was not treated as a participating security in periods of net income or net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taxes. Deferred tax assets and liabilities are recognized for the future tax consequences attributable to differences between the consolidated financial statement carrying amounts of existing assets and liabilities and their respective tax bases.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state income taxes in various jurisdictions.</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follows guidance issued by the FASB in accounting for uncertainty in income taxes. This guidance clarifies the accounting for income taxes by prescribing the minimum recognition threshold an income tax position is required to meet before being recognized in the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and upon examination by the taxing authorities. If the income tax position is expected to meet the more likely than not criteria, the benefit recorded in the consolidated financial statements equals the largest amount that is greater than 50% likely to be realized upon its ultimate settlement. The Company has no uncertain tax positions at December 31, 2024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9" w:name="page70"/>
    <w:bookmarkEnd w:id="69"/>
    <w:p>
      <w:pPr>
        <w:ind w:right="600"/>
        <w:spacing w:after="0" w:line="282" w:lineRule="auto"/>
        <w:rPr>
          <w:sz w:val="20"/>
          <w:szCs w:val="20"/>
          <w:color w:val="auto"/>
        </w:rPr>
      </w:pPr>
      <w:r>
        <w:rPr>
          <w:rFonts w:ascii="Times New Roman" w:cs="Times New Roman" w:eastAsia="Times New Roman" w:hAnsi="Times New Roman"/>
          <w:sz w:val="18"/>
          <w:szCs w:val="18"/>
          <w:color w:val="auto"/>
        </w:rPr>
        <w:t>2023. The Company believes there are no tax positions taken or expected to be taken that would significantly increase or decrease unrecognized tax benefits within twelve months of the reporting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income tax related interest and penalties, if applicable, as a component of the provision for income tax expense. However, there were no amounts recognized relating to interest and penalties in the consolidated statements of income and comprehensive income for the year ended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deciding resource allocation and assessing performance. The Company’s Chief Executive Officer works as the CODM. The Company’s CODM reviews financial information presented on a consolidated basis for the purposes of making operations decisions, allocating resources and evaluating financial performance. Consequently, the Company has determined it operates in one operating and reportable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Adoption of Segment Reporting Standard</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November 2023, FASB issued Accounting Standard Update (“ASU”) 2023-07, Segment Reporting (Topic 280) - Improvements to Reportable Segment Disclosures, which includes requirements for more robust disclosures of significant segment expenses and information used in assessing segment performance on an annual and interim basis. The guidance also requires that a public entity that has a single reportable segment provide all the disclosures required by the guidance and all existing segment disclosures under the FASB Accounting Standards Codification (“ASC”) Topic 280, Segment Reporting. This standard is effective for the Company’s annual period beginning January 1, 2024 and interim periods beginning January 1, 2025 and should be applied retrospectively to all comparative periods. Effective with this Report, the Company adopted this ASU. Refer to Note 18 (“Segment Informaton”) for the required segment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Accounting Standards Issued Not Yet Effective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2023, FASB issued Accounting Standard Update (“ASU”) 2023-09, Income Taxes (Topic 740) - Improvements to Income Tax Disclosures, which requires enhanced income tax disclosures that reflect how operations and related tax risks, as well as how tax planning and operational opportunities, affect the tax rate and prospects for future cash flows. This standard is effective for the Company beginning January 1, 2025 with early adoption permitted. The Company is evaluating the effects of adopting this new accounting guidance on its disclosures but does not currently expect adoption will have a material impact on the Company’s consolidated financial statements. The Company is currently evaluating the effects of adopting this new accounting guidance. The Company does not intend to early adopt this ASU.</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November 2024, FASB issued ASU 2024-03, Income Statement - Reporting Comprehensive Income - Expense Disaggregation Disclosures (Subtopic 220-40), which requires disclosure of specific 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is effective for the Company’s annual reporting period beginning January 1, 2027 and interim reporting periods beginning January 1, 2028 and should be applied retrospectively to all comparative periods. Early adoption is permitted. The Company is currently evaluating the effects of adopting this new accounting guidance.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REVISIONS OF PREVIOUSLY ISSUED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identified certain errors in its previously issued December 31, 2023 audited consolidated financial statements related to the presentation between cost of tool rental revenue and cost of product sale revenue. Through management's review of classification within the consolidated statements of income and comprehensive income, the Company identified that the cost of revenue for the sale of accessories was historically presented within cost of tool rental revenue, as opposed to correctly presented within cost of product sale revenue, whereas the associated accessory revenue is presented in product sale revenue.</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Management evaluated these errors in accordance with SEC Staff Accounting Bulletin Number 99, Materiality (“SAB 99”), which is since codified in Accounting Standards Codification 250, Accounting Changes and Error Corrections (“ASC 250”). The Company performed a quantitative and qualitative assessment of the errors and determine that the errors did not have a material impact to previously issued financial statements. Management noted that the presentation errors identified resulted in a net zero impact to total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0" w:name="page71"/>
    <w:bookmarkEnd w:id="70"/>
    <w:p>
      <w:pPr>
        <w:ind w:right="540"/>
        <w:spacing w:after="0" w:line="282" w:lineRule="auto"/>
        <w:rPr>
          <w:sz w:val="20"/>
          <w:szCs w:val="20"/>
          <w:color w:val="auto"/>
        </w:rPr>
      </w:pPr>
      <w:r>
        <w:rPr>
          <w:rFonts w:ascii="Times New Roman" w:cs="Times New Roman" w:eastAsia="Times New Roman" w:hAnsi="Times New Roman"/>
          <w:sz w:val="18"/>
          <w:szCs w:val="18"/>
          <w:color w:val="auto"/>
        </w:rPr>
        <w:t>operating costs and expenses, income from operations, or net income. Therefore, these immaterial errors have been corrected in the current period in accordance with the guidance under SAB 99 and ASC 250.</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presented herein for the year ended December 31, 2023 have been revised to correct the errors described above in accordance with SEC SAB Topic 1.M, as codified in ASC 250.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2023</w:t>
            </w: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3"/>
            <w:vMerge w:val="restart"/>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Total Adjustment</w:t>
            </w:r>
          </w:p>
        </w:tc>
        <w:tc>
          <w:tcPr>
            <w:tcW w:w="16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130"/>
        </w:trPr>
        <w:tc>
          <w:tcPr>
            <w:tcW w:w="5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1"/>
                <w:szCs w:val="11"/>
                <w:color w:val="auto"/>
              </w:rPr>
            </w:pPr>
          </w:p>
        </w:tc>
        <w:tc>
          <w:tcPr>
            <w:tcW w:w="15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gridSpan w:val="3"/>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140" w:type="dxa"/>
            <w:vAlign w:val="bottom"/>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30,960</w:t>
            </w:r>
          </w:p>
        </w:tc>
        <w:tc>
          <w:tcPr>
            <w:tcW w:w="46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3"/>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(2,690 )   $</w:t>
            </w:r>
          </w:p>
        </w:tc>
        <w:tc>
          <w:tcPr>
            <w:tcW w:w="162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28,270</w:t>
            </w:r>
          </w:p>
        </w:tc>
        <w:tc>
          <w:tcPr>
            <w:tcW w:w="0" w:type="dxa"/>
            <w:vAlign w:val="bottom"/>
          </w:tcPr>
          <w:p>
            <w:pPr>
              <w:spacing w:after="0"/>
              <w:rPr>
                <w:sz w:val="1"/>
                <w:szCs w:val="1"/>
                <w:color w:val="auto"/>
              </w:rPr>
            </w:pPr>
          </w:p>
        </w:tc>
      </w:tr>
      <w:tr>
        <w:trPr>
          <w:trHeight w:val="234"/>
        </w:trPr>
        <w:tc>
          <w:tcPr>
            <w:tcW w:w="5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CTG</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the CTG Acquisition Date, the Company’s wholly owned subsidiary, Drilling Tools International, Inc., entered into and consummated the Share Purchase Agreement with CTG, the shareholders of CTG, and a representative of CTG, to acquire 100% of the shares of CTG for a gross cash purchase consideration of £16.2 million, or approximately $20.9 million, based on the British pound sterling to United States dollar exchange rate on the CTG Acquisition Date. CTG is incorporated in the United Kingdom and is the holding company of its wholly owned subsidiary, Deep Casing. Deep Casing specializes in the design, engineering, and manufacturing of a range of patented and innovative products for well construction, well completion, and casing installation processes for the global oil and gas sector. The CTG Acquisition allows the Company to further expand its geographical presence globally, especially in the Middle East, provides accretive earnings to consolidated results of operations, and expands the Company’s portfolio of intellectual property rights, through the acquisition of over 60 patents.</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£16.2 million, or approximately $20.9 million, gross cash purchase consideration was used on the CTG Acquisition Date to (i) settle Deep Casing’s outstanding debt of £15.3 million, or approximately $19.8 million; (ii) pay Deep Casing’s legacy shareholders £0.3 million, or approximately $0.3 million, in accordance with the Share Purchase Agreement; and (iii) pay Deep Casing’s acquisition-related costs of £0.6 million, or approximately $0.8 million.</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CTG Acquisition has been accounted for as a business combination in accordance with ASC 805, Business Combinations (“ASC 805”). Drilling Tools International, Inc. has been treated as the accounting acquirer. Accordingly, CTG’s tangible and identifiable intangible assets acquired and its liabilities assumed were recorded at their estimated fair values on the CTG Acquisition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allocation of the purchase is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Preliminary March 15,</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Measurement Period</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Adjustments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As adjusted March 15, 2024</w:t>
            </w:r>
          </w:p>
        </w:tc>
      </w:tr>
      <w:tr>
        <w:trPr>
          <w:trHeight w:val="142"/>
        </w:trPr>
        <w:tc>
          <w:tcPr>
            <w:tcW w:w="20" w:type="dxa"/>
            <w:vAlign w:val="bottom"/>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w:t>
            </w:r>
          </w:p>
        </w:tc>
        <w:tc>
          <w:tcPr>
            <w:tcW w:w="4240" w:type="dxa"/>
            <w:vAlign w:val="bottom"/>
            <w:gridSpan w:val="2"/>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2,674</w:t>
            </w:r>
          </w:p>
        </w:tc>
        <w:tc>
          <w:tcPr>
            <w:tcW w:w="5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top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2,674</w:t>
            </w:r>
          </w:p>
        </w:tc>
      </w:tr>
      <w:tr>
        <w:trPr>
          <w:trHeight w:val="149"/>
        </w:trPr>
        <w:tc>
          <w:tcPr>
            <w:tcW w:w="46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320" w:type="dxa"/>
            <w:vAlign w:val="bottom"/>
          </w:tcPr>
          <w:p>
            <w:pPr>
              <w:spacing w:after="0"/>
              <w:rPr>
                <w:sz w:val="12"/>
                <w:szCs w:val="12"/>
                <w:color w:val="auto"/>
              </w:rPr>
            </w:pPr>
          </w:p>
        </w:tc>
        <w:tc>
          <w:tcPr>
            <w:tcW w:w="12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3,781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3,781</w:t>
            </w:r>
          </w:p>
        </w:tc>
      </w:tr>
      <w:tr>
        <w:trPr>
          <w:trHeight w:val="148"/>
        </w:trPr>
        <w:tc>
          <w:tcPr>
            <w:tcW w:w="4640" w:type="dxa"/>
            <w:vAlign w:val="bottom"/>
            <w:gridSpan w:val="4"/>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Inventories, net</w:t>
            </w:r>
          </w:p>
        </w:tc>
        <w:tc>
          <w:tcPr>
            <w:tcW w:w="3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4,282</w:t>
            </w: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4,282</w:t>
            </w:r>
          </w:p>
        </w:tc>
      </w:tr>
      <w:tr>
        <w:trPr>
          <w:trHeight w:val="148"/>
        </w:trPr>
        <w:tc>
          <w:tcPr>
            <w:tcW w:w="46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tcPr>
          <w:p>
            <w:pPr>
              <w:spacing w:after="0"/>
              <w:rPr>
                <w:sz w:val="12"/>
                <w:szCs w:val="12"/>
                <w:color w:val="auto"/>
              </w:rPr>
            </w:pPr>
          </w:p>
        </w:tc>
        <w:tc>
          <w:tcPr>
            <w:tcW w:w="12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189</w:t>
            </w:r>
          </w:p>
        </w:tc>
      </w:tr>
      <w:tr>
        <w:trPr>
          <w:trHeight w:val="149"/>
        </w:trPr>
        <w:tc>
          <w:tcPr>
            <w:tcW w:w="4640" w:type="dxa"/>
            <w:vAlign w:val="bottom"/>
            <w:gridSpan w:val="4"/>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Property, plant and equipment , net</w:t>
            </w:r>
          </w:p>
        </w:tc>
        <w:tc>
          <w:tcPr>
            <w:tcW w:w="3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1,647</w:t>
            </w: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1,647</w:t>
            </w:r>
          </w:p>
        </w:tc>
      </w:tr>
      <w:tr>
        <w:trPr>
          <w:trHeight w:val="148"/>
        </w:trPr>
        <w:tc>
          <w:tcPr>
            <w:tcW w:w="46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ROU asset</w:t>
            </w:r>
          </w:p>
        </w:tc>
        <w:tc>
          <w:tcPr>
            <w:tcW w:w="320" w:type="dxa"/>
            <w:vAlign w:val="bottom"/>
          </w:tcPr>
          <w:p>
            <w:pPr>
              <w:spacing w:after="0"/>
              <w:rPr>
                <w:sz w:val="12"/>
                <w:szCs w:val="12"/>
                <w:color w:val="auto"/>
              </w:rPr>
            </w:pPr>
          </w:p>
        </w:tc>
        <w:tc>
          <w:tcPr>
            <w:tcW w:w="12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315</w:t>
            </w:r>
          </w:p>
        </w:tc>
      </w:tr>
      <w:tr>
        <w:trPr>
          <w:trHeight w:val="149"/>
        </w:trPr>
        <w:tc>
          <w:tcPr>
            <w:tcW w:w="4640" w:type="dxa"/>
            <w:vAlign w:val="bottom"/>
            <w:gridSpan w:val="4"/>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3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8,065</w:t>
            </w: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8,065</w:t>
            </w:r>
          </w:p>
        </w:tc>
      </w:tr>
      <w:tr>
        <w:trPr>
          <w:trHeight w:val="148"/>
        </w:trPr>
        <w:tc>
          <w:tcPr>
            <w:tcW w:w="46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2,618</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3,144</w:t>
            </w:r>
          </w:p>
        </w:tc>
      </w:tr>
      <w:tr>
        <w:trPr>
          <w:trHeight w:val="142"/>
        </w:trPr>
        <w:tc>
          <w:tcPr>
            <w:tcW w:w="4640" w:type="dxa"/>
            <w:vAlign w:val="bottom"/>
            <w:gridSpan w:val="4"/>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 acquired</w:t>
            </w:r>
          </w:p>
        </w:tc>
        <w:tc>
          <w:tcPr>
            <w:tcW w:w="3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23,571</w:t>
            </w:r>
          </w:p>
        </w:tc>
        <w:tc>
          <w:tcPr>
            <w:tcW w:w="6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526</w:t>
            </w:r>
          </w:p>
        </w:tc>
        <w:tc>
          <w:tcPr>
            <w:tcW w:w="74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24,097</w:t>
            </w:r>
          </w:p>
        </w:tc>
      </w:tr>
      <w:tr>
        <w:trPr>
          <w:trHeight w:val="283"/>
        </w:trPr>
        <w:tc>
          <w:tcPr>
            <w:tcW w:w="20" w:type="dxa"/>
            <w:vAlign w:val="bottom"/>
          </w:tcPr>
          <w:p>
            <w:pPr>
              <w:spacing w:after="0"/>
              <w:rPr>
                <w:sz w:val="24"/>
                <w:szCs w:val="24"/>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42"/>
        </w:trPr>
        <w:tc>
          <w:tcPr>
            <w:tcW w:w="4640" w:type="dxa"/>
            <w:vAlign w:val="bottom"/>
            <w:gridSpan w:val="4"/>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2,656</w:t>
            </w: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2,656</w:t>
            </w:r>
          </w:p>
        </w:tc>
      </w:tr>
      <w:tr>
        <w:trPr>
          <w:trHeight w:val="148"/>
        </w:trPr>
        <w:tc>
          <w:tcPr>
            <w:tcW w:w="46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231</w:t>
            </w:r>
          </w:p>
        </w:tc>
      </w:tr>
      <w:tr>
        <w:trPr>
          <w:trHeight w:val="149"/>
        </w:trPr>
        <w:tc>
          <w:tcPr>
            <w:tcW w:w="4640" w:type="dxa"/>
            <w:vAlign w:val="bottom"/>
            <w:gridSpan w:val="4"/>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3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95</w:t>
            </w:r>
          </w:p>
        </w:tc>
      </w:tr>
      <w:tr>
        <w:trPr>
          <w:trHeight w:val="148"/>
        </w:trPr>
        <w:tc>
          <w:tcPr>
            <w:tcW w:w="46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180</w:t>
            </w:r>
          </w:p>
        </w:tc>
      </w:tr>
      <w:tr>
        <w:trPr>
          <w:trHeight w:val="142"/>
        </w:trPr>
        <w:tc>
          <w:tcPr>
            <w:tcW w:w="4640" w:type="dxa"/>
            <w:vAlign w:val="bottom"/>
            <w:tcBorders>
              <w:bottom w:val="single" w:sz="8" w:color="CFF0FC"/>
            </w:tcBorders>
            <w:gridSpan w:val="4"/>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320" w:type="dxa"/>
            <w:vAlign w:val="bottom"/>
            <w:tcBorders>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2,636</w:t>
            </w:r>
          </w:p>
        </w:tc>
        <w:tc>
          <w:tcPr>
            <w:tcW w:w="64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526</w:t>
            </w:r>
          </w:p>
        </w:tc>
        <w:tc>
          <w:tcPr>
            <w:tcW w:w="740" w:type="dxa"/>
            <w:vAlign w:val="bottom"/>
            <w:tcBorders>
              <w:bottom w:val="single" w:sz="8" w:color="auto"/>
            </w:tcBorders>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3,162</w:t>
            </w:r>
          </w:p>
        </w:tc>
      </w:tr>
      <w:tr>
        <w:trPr>
          <w:trHeight w:val="142"/>
        </w:trPr>
        <w:tc>
          <w:tcPr>
            <w:tcW w:w="46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consideration transferred</w:t>
            </w:r>
          </w:p>
        </w:tc>
        <w:tc>
          <w:tcPr>
            <w:tcW w:w="32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20,935</w:t>
            </w:r>
          </w:p>
        </w:tc>
        <w:tc>
          <w:tcPr>
            <w:tcW w:w="6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20,935</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fair values of the net identifiable tangible and intangible assets acquired has been assigned to goodwill. Goodwill represents the future benefits as a result of the acquisition that will enhance the services available to both new and existing customers and increase the Company’s competitive position. Goodwill will be evaluated for impairment at least annually.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1" w:name="page72"/>
    <w:bookmarkEnd w:id="71"/>
    <w:p>
      <w:pPr>
        <w:ind w:right="160"/>
        <w:spacing w:after="0" w:line="261" w:lineRule="auto"/>
        <w:rPr>
          <w:sz w:val="20"/>
          <w:szCs w:val="20"/>
          <w:color w:val="auto"/>
        </w:rPr>
      </w:pPr>
      <w:r>
        <w:rPr>
          <w:rFonts w:ascii="Times New Roman" w:cs="Times New Roman" w:eastAsia="Times New Roman" w:hAnsi="Times New Roman"/>
          <w:sz w:val="18"/>
          <w:szCs w:val="18"/>
          <w:color w:val="auto"/>
        </w:rPr>
        <w:t>Goodwill attributable to the CTG Acquisition is not deductible for tax purposes. During the three months ended June 30, 2024, a measurement period adjustment was identified as it relates to assumed accrued liabilities. The total measurement period adjustment was $0.5 million. The measurement period adjustment impacted the goodwill recognized on March 15, 2024. As of December 31, 2024, the Company is substantially complete with the process of allocating the purchase price and valuing the acquired assets and liabilities assumed.</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allocated to the identified intangible assets, the estimated useful lives of those intangible assets as of the CTG Acquisition Date, and the methodologies used to determine the fair values of those intangible assets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4827270</wp:posOffset>
            </wp:positionH>
            <wp:positionV relativeFrom="paragraph">
              <wp:posOffset>170180</wp:posOffset>
            </wp:positionV>
            <wp:extent cx="93980" cy="2311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23114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040" w:type="dxa"/>
            <w:vAlign w:val="bottom"/>
          </w:tcPr>
          <w:p>
            <w:pPr>
              <w:spacing w:after="0"/>
              <w:rPr>
                <w:sz w:val="12"/>
                <w:szCs w:val="12"/>
                <w:color w:val="auto"/>
              </w:rPr>
            </w:pPr>
          </w:p>
        </w:tc>
        <w:tc>
          <w:tcPr>
            <w:tcW w:w="11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Fair value</w:t>
            </w: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Useful life</w:t>
            </w:r>
          </w:p>
        </w:tc>
        <w:tc>
          <w:tcPr>
            <w:tcW w:w="2680" w:type="dxa"/>
            <w:vAlign w:val="bottom"/>
            <w:tcBorders>
              <w:top w:val="single" w:sz="8" w:color="auto"/>
            </w:tcBorders>
            <w:vMerge w:val="restart"/>
          </w:tcPr>
          <w:p>
            <w:pPr>
              <w:ind w:left="700"/>
              <w:spacing w:after="0"/>
              <w:rPr>
                <w:sz w:val="20"/>
                <w:szCs w:val="20"/>
                <w:color w:val="auto"/>
              </w:rPr>
            </w:pPr>
            <w:r>
              <w:rPr>
                <w:rFonts w:ascii="Times New Roman" w:cs="Times New Roman" w:eastAsia="Times New Roman" w:hAnsi="Times New Roman"/>
                <w:sz w:val="14"/>
                <w:szCs w:val="14"/>
                <w:color w:val="auto"/>
              </w:rPr>
              <w:t>Fair value methodology</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(in years)</w:t>
            </w:r>
          </w:p>
        </w:tc>
        <w:tc>
          <w:tcPr>
            <w:tcW w:w="2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Intangible assets</w:t>
            </w:r>
          </w:p>
        </w:tc>
        <w:tc>
          <w:tcPr>
            <w:tcW w:w="1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Trade names</w:t>
            </w:r>
          </w:p>
        </w:tc>
        <w:tc>
          <w:tcPr>
            <w:tcW w:w="1160" w:type="dxa"/>
            <w:vAlign w:val="bottom"/>
          </w:tcPr>
          <w:p>
            <w:pPr>
              <w:jc w:val="right"/>
              <w:ind w:right="10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819</w:t>
            </w:r>
          </w:p>
        </w:tc>
        <w:tc>
          <w:tcPr>
            <w:tcW w:w="94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99"/>
              </w:rPr>
              <w:t>15</w:t>
            </w:r>
          </w:p>
        </w:tc>
        <w:tc>
          <w:tcPr>
            <w:tcW w:w="26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Relief from royalty method</w:t>
            </w:r>
          </w:p>
        </w:tc>
        <w:tc>
          <w:tcPr>
            <w:tcW w:w="0" w:type="dxa"/>
            <w:vAlign w:val="bottom"/>
          </w:tcPr>
          <w:p>
            <w:pPr>
              <w:spacing w:after="0"/>
              <w:rPr>
                <w:sz w:val="1"/>
                <w:szCs w:val="1"/>
                <w:color w:val="auto"/>
              </w:rPr>
            </w:pPr>
          </w:p>
        </w:tc>
      </w:tr>
      <w:tr>
        <w:trPr>
          <w:trHeight w:val="148"/>
        </w:trPr>
        <w:tc>
          <w:tcPr>
            <w:tcW w:w="60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116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3,269</w:t>
            </w:r>
          </w:p>
        </w:tc>
        <w:tc>
          <w:tcPr>
            <w:tcW w:w="94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99"/>
              </w:rPr>
              <w:t>20</w:t>
            </w:r>
          </w:p>
        </w:tc>
        <w:tc>
          <w:tcPr>
            <w:tcW w:w="26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Relief from royalty method</w:t>
            </w:r>
          </w:p>
        </w:tc>
        <w:tc>
          <w:tcPr>
            <w:tcW w:w="0" w:type="dxa"/>
            <w:vAlign w:val="bottom"/>
          </w:tcPr>
          <w:p>
            <w:pPr>
              <w:spacing w:after="0"/>
              <w:rPr>
                <w:sz w:val="1"/>
                <w:szCs w:val="1"/>
                <w:color w:val="auto"/>
              </w:rPr>
            </w:pPr>
          </w:p>
        </w:tc>
      </w:tr>
      <w:tr>
        <w:trPr>
          <w:trHeight w:val="126"/>
        </w:trPr>
        <w:tc>
          <w:tcPr>
            <w:tcW w:w="60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Customer relationships</w:t>
            </w:r>
          </w:p>
        </w:tc>
        <w:tc>
          <w:tcPr>
            <w:tcW w:w="1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940" w:type="dxa"/>
            <w:vAlign w:val="bottom"/>
            <w:gridSpan w:val="2"/>
          </w:tcPr>
          <w:p>
            <w:pPr>
              <w:jc w:val="center"/>
              <w:ind w:left="128"/>
              <w:spacing w:after="0" w:line="126" w:lineRule="exact"/>
              <w:rPr>
                <w:sz w:val="20"/>
                <w:szCs w:val="20"/>
                <w:color w:val="auto"/>
              </w:rPr>
            </w:pPr>
            <w:r>
              <w:rPr>
                <w:rFonts w:ascii="Times New Roman" w:cs="Times New Roman" w:eastAsia="Times New Roman" w:hAnsi="Times New Roman"/>
                <w:sz w:val="14"/>
                <w:szCs w:val="14"/>
                <w:color w:val="auto"/>
                <w:w w:val="99"/>
              </w:rPr>
              <w:t>20</w:t>
            </w:r>
          </w:p>
        </w:tc>
        <w:tc>
          <w:tcPr>
            <w:tcW w:w="26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Multi-period excess earnings method of the</w:t>
            </w:r>
          </w:p>
        </w:tc>
        <w:tc>
          <w:tcPr>
            <w:tcW w:w="0" w:type="dxa"/>
            <w:vAlign w:val="bottom"/>
          </w:tcPr>
          <w:p>
            <w:pPr>
              <w:spacing w:after="0"/>
              <w:rPr>
                <w:sz w:val="1"/>
                <w:szCs w:val="1"/>
                <w:color w:val="auto"/>
              </w:rPr>
            </w:pPr>
          </w:p>
        </w:tc>
      </w:tr>
      <w:tr>
        <w:trPr>
          <w:trHeight w:val="158"/>
        </w:trPr>
        <w:tc>
          <w:tcPr>
            <w:tcW w:w="604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80" w:type="dxa"/>
            <w:vAlign w:val="bottom"/>
          </w:tcPr>
          <w:p>
            <w:pPr>
              <w:ind w:left="80"/>
              <w:spacing w:after="0" w:line="158" w:lineRule="exact"/>
              <w:rPr>
                <w:sz w:val="20"/>
                <w:szCs w:val="20"/>
                <w:color w:val="auto"/>
              </w:rPr>
            </w:pPr>
            <w:r>
              <w:rPr>
                <w:rFonts w:ascii="Times New Roman" w:cs="Times New Roman" w:eastAsia="Times New Roman" w:hAnsi="Times New Roman"/>
                <w:sz w:val="14"/>
                <w:szCs w:val="14"/>
                <w:color w:val="auto"/>
              </w:rPr>
              <w:t>income approach</w:t>
            </w:r>
          </w:p>
        </w:tc>
        <w:tc>
          <w:tcPr>
            <w:tcW w:w="0" w:type="dxa"/>
            <w:vAlign w:val="bottom"/>
          </w:tcPr>
          <w:p>
            <w:pPr>
              <w:spacing w:after="0"/>
              <w:rPr>
                <w:sz w:val="1"/>
                <w:szCs w:val="1"/>
                <w:color w:val="auto"/>
              </w:rPr>
            </w:pPr>
          </w:p>
        </w:tc>
      </w:tr>
      <w:tr>
        <w:trPr>
          <w:trHeight w:val="182"/>
        </w:trPr>
        <w:tc>
          <w:tcPr>
            <w:tcW w:w="60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intangible assets</w:t>
            </w:r>
          </w:p>
        </w:tc>
        <w:tc>
          <w:tcPr>
            <w:tcW w:w="1160" w:type="dxa"/>
            <w:vAlign w:val="bottom"/>
            <w:tcBorders>
              <w:bottom w:val="single" w:sz="8" w:color="auto"/>
            </w:tcBorders>
            <w:shd w:val="clear" w:color="auto" w:fill="CFF0FC"/>
          </w:tcPr>
          <w:p>
            <w:pPr>
              <w:jc w:val="right"/>
              <w:ind w:right="10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8,065</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26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intangible assets acquired are expected to be amortized over their useful lives on a straight-line basis.</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$1.6 million during the year ended December 31, 2024, which are included in other income (expense), net in the consolidated statement of income and comprehensive income.</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Company’s consolidated statements of income and comprehensive income for the year ended December 31, 2024 include CTG’s revenues of $10.2 million and net income of $1.1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Pro Forma Information (unaudited)</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unaudited supplemental pro forma financial results below for the years ended December 31, 2024 and 2023, combine the consolidated results of the Company and CTG, giving effect to the CTG Acquisition as if it had been completed on January 1, 2023. This unaudited supplemental pro forma financial information is presented for informational purposes only and is not indicative of future operations or results had the acquisition been completed as of January 1, 2023, or any other date.</w:t>
      </w:r>
    </w:p>
    <w:p>
      <w:pPr>
        <w:spacing w:after="0" w:line="27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Pr>
          <w:p>
            <w:pPr>
              <w:spacing w:after="0"/>
              <w:rPr>
                <w:sz w:val="13"/>
                <w:szCs w:val="13"/>
                <w:color w:val="auto"/>
              </w:rPr>
            </w:pPr>
          </w:p>
        </w:tc>
        <w:tc>
          <w:tcPr>
            <w:tcW w:w="32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Year ended December 31,</w:t>
            </w:r>
          </w:p>
        </w:tc>
        <w:tc>
          <w:tcPr>
            <w:tcW w:w="1780" w:type="dxa"/>
            <w:vAlign w:val="bottom"/>
            <w:vMerge w:val="restart"/>
          </w:tcPr>
          <w:p>
            <w:pPr>
              <w:jc w:val="right"/>
              <w:ind w:right="1128"/>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1128"/>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Pro forma revenue</w:t>
            </w:r>
          </w:p>
        </w:tc>
        <w:tc>
          <w:tcPr>
            <w:tcW w:w="620" w:type="dxa"/>
            <w:vAlign w:val="bottom"/>
            <w:shd w:val="clear" w:color="auto" w:fill="CFF0FC"/>
          </w:tcPr>
          <w:p>
            <w:pPr>
              <w:jc w:val="right"/>
              <w:ind w:right="4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157,824</w:t>
            </w:r>
          </w:p>
        </w:tc>
        <w:tc>
          <w:tcPr>
            <w:tcW w:w="1240" w:type="dxa"/>
            <w:vAlign w:val="bottom"/>
            <w:gridSpan w:val="2"/>
            <w:shd w:val="clear" w:color="auto" w:fill="CFF0FC"/>
          </w:tcPr>
          <w:p>
            <w:pPr>
              <w:jc w:val="right"/>
              <w:ind w:right="8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169,788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Pro forma net income</w:t>
            </w: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12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unaudited supplemental pro forma financial information in the table above contains material nonrecurring pro forma adjustments to remove interest expense on CTG's debt as it is assumed that the business combination occurred and the debt was paid off on January 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Superior Drilling Products, Inc.</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March 6, 2024, the Company entered into the Merger Agreement by and among the Company, SDPI, Merger Sub, Merger Sub II, pursuant to the First Merger, with SDPI surviving as a wholly owned subsidiary of DTI and upon the effective time of the First Merger, SDPI, as the surviving corporation of the First Merger, merged with and into Merger Sub II, with Merger Sub II surviving as a wholly owned subsidiary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terms of the Merger Agreement, the closing of the Merger occurred on July 31, 2024 (the “SDPI Closing Date” or “SDPI Closing”)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total consideration of $47.9 million. The consideration for the Merger of $47.9 million is comprised of the following items (in thousands):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4"/>
          <w:szCs w:val="14"/>
          <w:color w:val="auto"/>
        </w:rPr>
        <w:t>Cash paid to holders of SDPI Common Stock</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939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20"/>
        <w:spacing w:after="0" w:line="221" w:lineRule="auto"/>
        <w:rPr>
          <w:sz w:val="20"/>
          <w:szCs w:val="20"/>
          <w:color w:val="auto"/>
        </w:rPr>
      </w:pPr>
      <w:r>
        <w:rPr>
          <w:rFonts w:ascii="Times New Roman" w:cs="Times New Roman" w:eastAsia="Times New Roman" w:hAnsi="Times New Roman"/>
          <w:sz w:val="14"/>
          <w:szCs w:val="14"/>
          <w:color w:val="auto"/>
        </w:rPr>
        <w:t>Cash payment of SDPI transaction costs</w:t>
      </w:r>
    </w:p>
    <w:p>
      <w:pPr>
        <w:ind w:left="20"/>
        <w:spacing w:after="0" w:line="221" w:lineRule="auto"/>
        <w:rPr>
          <w:sz w:val="20"/>
          <w:szCs w:val="20"/>
          <w:color w:val="auto"/>
        </w:rPr>
      </w:pPr>
      <w:r>
        <w:rPr>
          <w:rFonts w:ascii="Times New Roman" w:cs="Times New Roman" w:eastAsia="Times New Roman" w:hAnsi="Times New Roman"/>
          <w:sz w:val="14"/>
          <w:szCs w:val="14"/>
          <w:color w:val="auto"/>
        </w:rPr>
        <w:t>Cash repayment of SDPI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946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ind w:left="20"/>
        <w:spacing w:after="0" w:line="222" w:lineRule="auto"/>
        <w:rPr>
          <w:sz w:val="20"/>
          <w:szCs w:val="20"/>
          <w:color w:val="auto"/>
        </w:rPr>
      </w:pPr>
      <w:r>
        <w:rPr>
          <w:rFonts w:ascii="Times New Roman" w:cs="Times New Roman" w:eastAsia="Times New Roman" w:hAnsi="Times New Roman"/>
          <w:sz w:val="14"/>
          <w:szCs w:val="14"/>
          <w:color w:val="auto"/>
        </w:rPr>
        <w:t>Cash payment to holders of SDPI Restricted Stock</w:t>
      </w:r>
    </w:p>
    <w:p>
      <w:pPr>
        <w:ind w:left="20"/>
        <w:spacing w:after="0" w:line="191" w:lineRule="auto"/>
        <w:rPr>
          <w:sz w:val="20"/>
          <w:szCs w:val="20"/>
          <w:color w:val="auto"/>
        </w:rPr>
      </w:pPr>
      <w:r>
        <w:rPr>
          <w:rFonts w:ascii="Times New Roman" w:cs="Times New Roman" w:eastAsia="Times New Roman" w:hAnsi="Times New Roman"/>
          <w:sz w:val="11"/>
          <w:szCs w:val="11"/>
          <w:color w:val="auto"/>
        </w:rPr>
        <w:t>Cash severance payment to former SDPI employee</w:t>
      </w:r>
      <w:r>
        <w:rPr>
          <w:rFonts w:ascii="Times New Roman" w:cs="Times New Roman" w:eastAsia="Times New Roman" w:hAnsi="Times New Roman"/>
          <w:sz w:val="14"/>
          <w:szCs w:val="1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939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20"/>
        <w:spacing w:after="0" w:line="185" w:lineRule="auto"/>
        <w:rPr>
          <w:sz w:val="20"/>
          <w:szCs w:val="20"/>
          <w:color w:val="auto"/>
        </w:rPr>
      </w:pPr>
      <w:r>
        <w:rPr>
          <w:rFonts w:ascii="Times New Roman" w:cs="Times New Roman" w:eastAsia="Times New Roman" w:hAnsi="Times New Roman"/>
          <w:sz w:val="14"/>
          <w:szCs w:val="14"/>
          <w:color w:val="auto"/>
        </w:rPr>
        <w:t>Fair value of DTI Common Stock issued in exchange for outstanding SDPI Common Stock</w:t>
      </w:r>
      <w:r>
        <w:rPr>
          <w:rFonts w:ascii="Times New Roman" w:cs="Times New Roman" w:eastAsia="Times New Roman" w:hAnsi="Times New Roman"/>
          <w:sz w:val="19"/>
          <w:szCs w:val="19"/>
          <w:color w:val="auto"/>
          <w:vertAlign w:val="superscript"/>
        </w:rPr>
        <w:t>(3)</w:t>
      </w:r>
    </w:p>
    <w:p>
      <w:pPr>
        <w:ind w:left="20"/>
        <w:spacing w:after="0" w:line="192" w:lineRule="auto"/>
        <w:rPr>
          <w:sz w:val="20"/>
          <w:szCs w:val="20"/>
          <w:color w:val="auto"/>
        </w:rPr>
      </w:pPr>
      <w:r>
        <w:rPr>
          <w:rFonts w:ascii="Times New Roman" w:cs="Times New Roman" w:eastAsia="Times New Roman" w:hAnsi="Times New Roman"/>
          <w:sz w:val="14"/>
          <w:szCs w:val="14"/>
          <w:color w:val="auto"/>
        </w:rPr>
        <w:t>Fair value of replacement awards issued to holders of SDPI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939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20"/>
        <w:spacing w:after="0" w:line="200" w:lineRule="auto"/>
        <w:rPr>
          <w:sz w:val="20"/>
          <w:szCs w:val="20"/>
          <w:color w:val="auto"/>
        </w:rPr>
      </w:pPr>
      <w:r>
        <w:rPr>
          <w:rFonts w:ascii="Times New Roman" w:cs="Times New Roman" w:eastAsia="Times New Roman" w:hAnsi="Times New Roman"/>
          <w:sz w:val="14"/>
          <w:szCs w:val="14"/>
          <w:color w:val="auto"/>
        </w:rPr>
        <w:t>Effective settlement of preexisting relationship between DTI and SDPI</w:t>
      </w:r>
      <w:r>
        <w:rPr>
          <w:rFonts w:ascii="Times New Roman" w:cs="Times New Roman" w:eastAsia="Times New Roman" w:hAnsi="Times New Roman"/>
          <w:sz w:val="19"/>
          <w:szCs w:val="19"/>
          <w:color w:val="auto"/>
          <w:vertAlign w:val="superscript"/>
        </w:rPr>
        <w:t>(4)</w:t>
      </w:r>
    </w:p>
    <w:p>
      <w:pPr>
        <w:ind w:left="20"/>
        <w:spacing w:after="0"/>
        <w:rPr>
          <w:sz w:val="20"/>
          <w:szCs w:val="20"/>
          <w:color w:val="auto"/>
        </w:rPr>
      </w:pPr>
      <w:r>
        <w:rPr>
          <w:rFonts w:ascii="Times New Roman" w:cs="Times New Roman" w:eastAsia="Times New Roman" w:hAnsi="Times New Roman"/>
          <w:sz w:val="14"/>
          <w:szCs w:val="14"/>
          <w:b w:val="1"/>
          <w:bCs w:val="1"/>
          <w:color w:val="auto"/>
        </w:rPr>
        <w:t>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200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860" w:hanging="857"/>
        <w:spacing w:after="0"/>
        <w:tabs>
          <w:tab w:leader="none" w:pos="8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13,668</w:t>
      </w:r>
    </w:p>
    <w:p>
      <w:pPr>
        <w:spacing w:after="0" w:line="3" w:lineRule="exact"/>
        <w:rPr>
          <w:rFonts w:ascii="Times New Roman" w:cs="Times New Roman" w:eastAsia="Times New Roman" w:hAnsi="Times New Roman"/>
          <w:sz w:val="14"/>
          <w:szCs w:val="14"/>
          <w:color w:val="auto"/>
        </w:rPr>
      </w:pPr>
    </w:p>
    <w:p>
      <w:pPr>
        <w:ind w:left="94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2,907</w:t>
      </w:r>
    </w:p>
    <w:p>
      <w:pPr>
        <w:ind w:left="94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2,278</w:t>
      </w:r>
    </w:p>
    <w:p>
      <w:pPr>
        <w:ind w:left="94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1,806</w:t>
      </w:r>
    </w:p>
    <w:p>
      <w:pPr>
        <w:ind w:left="104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233</w:t>
      </w:r>
    </w:p>
    <w:p>
      <w:pPr>
        <w:ind w:left="860"/>
        <w:spacing w:after="0" w:line="221" w:lineRule="auto"/>
        <w:rPr>
          <w:sz w:val="20"/>
          <w:szCs w:val="20"/>
          <w:color w:val="auto"/>
        </w:rPr>
      </w:pPr>
      <w:r>
        <w:rPr>
          <w:rFonts w:ascii="Times New Roman" w:cs="Times New Roman" w:eastAsia="Times New Roman" w:hAnsi="Times New Roman"/>
          <w:sz w:val="14"/>
          <w:szCs w:val="14"/>
          <w:color w:val="auto"/>
        </w:rPr>
        <w:t>27,714</w:t>
      </w:r>
    </w:p>
    <w:p>
      <w:pPr>
        <w:ind w:left="1040"/>
        <w:spacing w:after="0" w:line="222" w:lineRule="auto"/>
        <w:rPr>
          <w:sz w:val="20"/>
          <w:szCs w:val="20"/>
          <w:color w:val="auto"/>
        </w:rPr>
      </w:pPr>
      <w:r>
        <w:rPr>
          <w:rFonts w:ascii="Times New Roman" w:cs="Times New Roman" w:eastAsia="Times New Roman" w:hAnsi="Times New Roman"/>
          <w:sz w:val="14"/>
          <w:szCs w:val="14"/>
          <w:color w:val="auto"/>
        </w:rPr>
        <w:t>138</w:t>
      </w:r>
    </w:p>
    <w:p>
      <w:pPr>
        <w:jc w:val="right"/>
        <w:spacing w:after="0"/>
        <w:rPr>
          <w:sz w:val="20"/>
          <w:szCs w:val="20"/>
          <w:color w:val="auto"/>
        </w:rPr>
      </w:pPr>
      <w:r>
        <w:rPr>
          <w:rFonts w:ascii="Times New Roman" w:cs="Times New Roman" w:eastAsia="Times New Roman" w:hAnsi="Times New Roman"/>
          <w:sz w:val="14"/>
          <w:szCs w:val="14"/>
          <w:color w:val="auto"/>
        </w:rPr>
        <w:t>(828 )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8826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ind w:left="860" w:hanging="857"/>
        <w:spacing w:after="0"/>
        <w:tabs>
          <w:tab w:leader="none" w:pos="8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47,916</w:t>
      </w:r>
    </w:p>
    <w:p>
      <w:pPr>
        <w:spacing w:after="0" w:line="200" w:lineRule="exact"/>
        <w:rPr>
          <w:sz w:val="20"/>
          <w:szCs w:val="20"/>
          <w:color w:val="auto"/>
        </w:rPr>
      </w:pPr>
    </w:p>
    <w:p>
      <w:pPr>
        <w:sectPr>
          <w:pgSz w:w="11900" w:h="16838" w:orient="portrait"/>
          <w:cols w:equalWidth="0" w:num="2">
            <w:col w:w="9140" w:space="720"/>
            <w:col w:w="1340"/>
          </w:cols>
          <w:pgMar w:left="320" w:top="927" w:right="379" w:bottom="1440" w:gutter="0" w:footer="0" w:header="0"/>
        </w:sectPr>
      </w:pPr>
    </w:p>
    <w:p>
      <w:pPr>
        <w:spacing w:after="0" w:line="33" w:lineRule="exact"/>
        <w:rPr>
          <w:sz w:val="20"/>
          <w:szCs w:val="20"/>
          <w:color w:val="auto"/>
        </w:rPr>
      </w:pPr>
    </w:p>
    <w:p>
      <w:pPr>
        <w:ind w:left="1500" w:right="1540" w:firstLine="5"/>
        <w:spacing w:after="0" w:line="224" w:lineRule="auto"/>
        <w:tabs>
          <w:tab w:leader="none" w:pos="167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cash consideration paid to holders of SDPI common stock, which consisted of (i) payment of $0.4 million to holders of SDPI common stock who elected to receive cash election consideration of $1.00 per share of SDPI common stock held pursuant to the terms of the Merger Agreement; (ii) payment of $4.3 million to SDPI stockholders who did not make an election to receive either cash election consideration or stock election consideration and, therefore, pursuant to the terms of the Merger Agreement, automatically received the cash election consideration of $1.00 per share of SDPI common stock held; and (iii) payment of $9.0 million to holders of SDPI common stock whereby the stock election shares exceeded the maximum share amount, as described in the Merger Agreement, which triggered the proration provision described in the Merger Agreement.</w:t>
      </w:r>
    </w:p>
    <w:p>
      <w:pPr>
        <w:spacing w:after="0" w:line="107" w:lineRule="exact"/>
        <w:rPr>
          <w:rFonts w:ascii="Times New Roman" w:cs="Times New Roman" w:eastAsia="Times New Roman" w:hAnsi="Times New Roman"/>
          <w:sz w:val="13"/>
          <w:szCs w:val="13"/>
          <w:color w:val="auto"/>
        </w:rPr>
      </w:pPr>
    </w:p>
    <w:p>
      <w:pPr>
        <w:ind w:left="1500" w:right="1480" w:firstLine="5"/>
        <w:spacing w:after="0" w:line="228" w:lineRule="auto"/>
        <w:tabs>
          <w:tab w:leader="none" w:pos="167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 severance payment made in accordance with the terms of an employment agreement between SDPI and an employee that was entered into prior to contemplation of the Merger Agreement. The agreement contained a provision whereby a change in control event would trigger a severance payment, and it was determined that the closing of the Merger triggered the requirement for such a payment to be made. Upon the SDPI Closing, DTI paid the severance payment on SDPI’s behalf.</w:t>
      </w:r>
    </w:p>
    <w:p>
      <w:pPr>
        <w:spacing w:after="0" w:line="106" w:lineRule="exact"/>
        <w:rPr>
          <w:rFonts w:ascii="Times New Roman" w:cs="Times New Roman" w:eastAsia="Times New Roman" w:hAnsi="Times New Roman"/>
          <w:sz w:val="13"/>
          <w:szCs w:val="13"/>
          <w:color w:val="auto"/>
        </w:rPr>
      </w:pPr>
    </w:p>
    <w:p>
      <w:pPr>
        <w:ind w:left="1500" w:right="1740" w:firstLine="5"/>
        <w:spacing w:after="0" w:line="232" w:lineRule="auto"/>
        <w:tabs>
          <w:tab w:leader="none" w:pos="167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fair value of the shares of DTI common stock issued to holders of SDPI common stock as consideration for the Merger. Holders of SDPI common stock received 4,845,132 shares of DTI's common stock with an aggregate fair value of $27.7 million, which was calculated using the quoted market price of DTI common stock of $5.72 per share on the SDPI Closing Date.</w:t>
      </w:r>
    </w:p>
    <w:p>
      <w:pPr>
        <w:spacing w:after="0" w:line="106" w:lineRule="exact"/>
        <w:rPr>
          <w:rFonts w:ascii="Times New Roman" w:cs="Times New Roman" w:eastAsia="Times New Roman" w:hAnsi="Times New Roman"/>
          <w:sz w:val="13"/>
          <w:szCs w:val="13"/>
          <w:color w:val="auto"/>
        </w:rPr>
      </w:pPr>
    </w:p>
    <w:p>
      <w:pPr>
        <w:ind w:left="1680" w:hanging="175"/>
        <w:spacing w:after="0"/>
        <w:tabs>
          <w:tab w:leader="none" w:pos="168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effective settlement of DTI’s accounts payable to SDPI as DTI was a customer of SDPI's prior to the SDPI Closing.</w:t>
      </w:r>
    </w:p>
    <w:p>
      <w:pPr>
        <w:spacing w:after="0" w:line="20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Company previously held an equity interest in SDPI that was acquired and held prior to the SDPI Closing Date. The Company’s previously held interest was remeasured to its fair value of $1.2 million based on the market price of SDPI’s common stock on the SDPI Closing Date. This remeasurement resulted in a $0.4 million gain included in the Company’s consolidated statement of income and comprehensive income for the year ended December 31, 2024 The fair value of DTI’s previously held equity interest in SDPI was included in the measurement of goodwill on the SDPI Closing Date.</w:t>
      </w:r>
    </w:p>
    <w:p>
      <w:pPr>
        <w:spacing w:after="0" w:line="16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SDPI is an innovative drilling and completion tool technology company providing cost saving solutions that drive production efficiencies for the oil and natural gas drilling industry. In addition, SDPI is a manufacturer and refurbisher of polycrystalline diamond compact drill bits for leading oil field services companies. The acquisition furthers the Company's growth strategy as a premier provider of technologically differentiated solutions and services for the global oil &amp; gas drilling industry. The SDPI acquisition allows the company to vertically integrate around our proven and successful Drill-N-Ream® tool, gain global rights to run this tool, continue the Vernal, UT bit repair business supporting major OEMs of PDC drill bits, and leverage their high-spec machine shop. In addition, we acquired over 30 patents and patents pending, the majority of which have been granted.</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acquisition of SDPI has been accounted for as a business combination in accordance with ASC 805, Business Combinations. The Company has been treated as the accounting acquirer. Accordingly, SDPI's tangible and identifiable intangible assets acquired and its liabilities assumed were recorded at their estimated fair values on the SDPI Closing Date. The purchase price allocation for the Merger is preliminary and subject to revision, primarily relating to information pertaining to inventory. Additional information that existed as of the SDPI Closing Date may become known during the remainder of the measurement period, which will not extend beyond one year from the SDPI Closing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allocation of the purchase is as follows (in thousands):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73"/>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48"/>
        </w:trPr>
        <w:tc>
          <w:tcPr>
            <w:tcW w:w="98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480" w:type="dxa"/>
            <w:vAlign w:val="bottom"/>
            <w:shd w:val="clear" w:color="auto" w:fill="CFF0FC"/>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1,726</w:t>
            </w:r>
          </w:p>
        </w:tc>
      </w:tr>
      <w:tr>
        <w:trPr>
          <w:trHeight w:val="149"/>
        </w:trPr>
        <w:tc>
          <w:tcPr>
            <w:tcW w:w="9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4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1,239</w:t>
            </w:r>
          </w:p>
        </w:tc>
      </w:tr>
      <w:tr>
        <w:trPr>
          <w:trHeight w:val="148"/>
        </w:trPr>
        <w:tc>
          <w:tcPr>
            <w:tcW w:w="98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Related party note receivable, current</w:t>
            </w:r>
          </w:p>
        </w:tc>
        <w:tc>
          <w:tcPr>
            <w:tcW w:w="4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1,231</w:t>
            </w:r>
          </w:p>
        </w:tc>
      </w:tr>
      <w:tr>
        <w:trPr>
          <w:trHeight w:val="148"/>
        </w:trPr>
        <w:tc>
          <w:tcPr>
            <w:tcW w:w="9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Inventories, net</w:t>
            </w:r>
          </w:p>
        </w:tc>
        <w:tc>
          <w:tcPr>
            <w:tcW w:w="4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2,800</w:t>
            </w:r>
          </w:p>
        </w:tc>
      </w:tr>
      <w:tr>
        <w:trPr>
          <w:trHeight w:val="148"/>
        </w:trPr>
        <w:tc>
          <w:tcPr>
            <w:tcW w:w="98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4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573</w:t>
            </w:r>
          </w:p>
        </w:tc>
      </w:tr>
      <w:tr>
        <w:trPr>
          <w:trHeight w:val="148"/>
        </w:trPr>
        <w:tc>
          <w:tcPr>
            <w:tcW w:w="9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4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10,213</w:t>
            </w:r>
          </w:p>
        </w:tc>
      </w:tr>
      <w:tr>
        <w:trPr>
          <w:trHeight w:val="149"/>
        </w:trPr>
        <w:tc>
          <w:tcPr>
            <w:tcW w:w="98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Related party note receivable, noncurrent</w:t>
            </w:r>
          </w:p>
        </w:tc>
        <w:tc>
          <w:tcPr>
            <w:tcW w:w="4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4,193</w:t>
            </w:r>
          </w:p>
        </w:tc>
      </w:tr>
      <w:tr>
        <w:trPr>
          <w:trHeight w:val="148"/>
        </w:trPr>
        <w:tc>
          <w:tcPr>
            <w:tcW w:w="9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w:t>
            </w:r>
          </w:p>
        </w:tc>
        <w:tc>
          <w:tcPr>
            <w:tcW w:w="4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2,662</w:t>
            </w:r>
          </w:p>
        </w:tc>
      </w:tr>
      <w:tr>
        <w:trPr>
          <w:trHeight w:val="148"/>
        </w:trPr>
        <w:tc>
          <w:tcPr>
            <w:tcW w:w="98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4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22,850</w:t>
            </w:r>
          </w:p>
        </w:tc>
      </w:tr>
      <w:tr>
        <w:trPr>
          <w:trHeight w:val="148"/>
        </w:trPr>
        <w:tc>
          <w:tcPr>
            <w:tcW w:w="9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Deposits and other long-term assets</w:t>
            </w: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200</w:t>
            </w:r>
          </w:p>
        </w:tc>
      </w:tr>
      <w:tr>
        <w:trPr>
          <w:trHeight w:val="142"/>
        </w:trPr>
        <w:tc>
          <w:tcPr>
            <w:tcW w:w="98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 acquired</w:t>
            </w:r>
          </w:p>
        </w:tc>
        <w:tc>
          <w:tcPr>
            <w:tcW w:w="4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47,687</w:t>
            </w:r>
          </w:p>
        </w:tc>
      </w:tr>
      <w:tr>
        <w:trPr>
          <w:trHeight w:val="149"/>
        </w:trPr>
        <w:tc>
          <w:tcPr>
            <w:tcW w:w="9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assumed:</w:t>
            </w: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8"/>
        </w:trPr>
        <w:tc>
          <w:tcPr>
            <w:tcW w:w="98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370</w:t>
            </w:r>
          </w:p>
        </w:tc>
      </w:tr>
      <w:tr>
        <w:trPr>
          <w:trHeight w:val="148"/>
        </w:trPr>
        <w:tc>
          <w:tcPr>
            <w:tcW w:w="9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4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147</w:t>
            </w:r>
          </w:p>
        </w:tc>
      </w:tr>
      <w:tr>
        <w:trPr>
          <w:trHeight w:val="148"/>
        </w:trPr>
        <w:tc>
          <w:tcPr>
            <w:tcW w:w="98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1,804</w:t>
            </w:r>
          </w:p>
        </w:tc>
      </w:tr>
      <w:tr>
        <w:trPr>
          <w:trHeight w:val="148"/>
        </w:trPr>
        <w:tc>
          <w:tcPr>
            <w:tcW w:w="9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tax liabilities, net</w:t>
            </w:r>
          </w:p>
        </w:tc>
        <w:tc>
          <w:tcPr>
            <w:tcW w:w="4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881</w:t>
            </w:r>
          </w:p>
        </w:tc>
      </w:tr>
      <w:tr>
        <w:trPr>
          <w:trHeight w:val="149"/>
        </w:trPr>
        <w:tc>
          <w:tcPr>
            <w:tcW w:w="98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income</w:t>
            </w:r>
          </w:p>
        </w:tc>
        <w:tc>
          <w:tcPr>
            <w:tcW w:w="4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675</w:t>
            </w:r>
          </w:p>
        </w:tc>
      </w:tr>
      <w:tr>
        <w:trPr>
          <w:trHeight w:val="148"/>
        </w:trPr>
        <w:tc>
          <w:tcPr>
            <w:tcW w:w="9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2,368</w:t>
            </w:r>
          </w:p>
        </w:tc>
      </w:tr>
      <w:tr>
        <w:trPr>
          <w:trHeight w:val="142"/>
        </w:trPr>
        <w:tc>
          <w:tcPr>
            <w:tcW w:w="98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4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6,245</w:t>
            </w:r>
          </w:p>
        </w:tc>
      </w:tr>
      <w:tr>
        <w:trPr>
          <w:trHeight w:val="142"/>
        </w:trPr>
        <w:tc>
          <w:tcPr>
            <w:tcW w:w="98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identifiable net assets</w:t>
            </w: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41,442</w:t>
            </w:r>
          </w:p>
        </w:tc>
      </w:tr>
      <w:tr>
        <w:trPr>
          <w:trHeight w:val="142"/>
        </w:trPr>
        <w:tc>
          <w:tcPr>
            <w:tcW w:w="98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Goodwill</w:t>
            </w:r>
          </w:p>
        </w:tc>
        <w:tc>
          <w:tcPr>
            <w:tcW w:w="4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7,718</w:t>
            </w:r>
          </w:p>
        </w:tc>
      </w:tr>
      <w:tr>
        <w:trPr>
          <w:trHeight w:val="142"/>
        </w:trPr>
        <w:tc>
          <w:tcPr>
            <w:tcW w:w="98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net assets acquired and goodwill</w:t>
            </w:r>
          </w:p>
        </w:tc>
        <w:tc>
          <w:tcPr>
            <w:tcW w:w="480" w:type="dxa"/>
            <w:vAlign w:val="bottom"/>
            <w:tcBorders>
              <w:bottom w:val="single" w:sz="8" w:color="auto"/>
            </w:tcBorders>
          </w:tcPr>
          <w:p>
            <w:pPr>
              <w:jc w:val="right"/>
              <w:ind w:right="3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49,160</w:t>
            </w:r>
          </w:p>
        </w:tc>
      </w:tr>
      <w:tr>
        <w:trPr>
          <w:trHeight w:val="20"/>
        </w:trPr>
        <w:tc>
          <w:tcPr>
            <w:tcW w:w="9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a preliminary reconciliation of the fair value of consideration transferred and the fair value of DTI’s investment in SDPI that was acquired and held prior to Closing which is included in the calculation of goodwill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Fair value of consideration transferred</w:t>
            </w:r>
          </w:p>
        </w:tc>
        <w:tc>
          <w:tcPr>
            <w:tcW w:w="48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47,916</w:t>
            </w:r>
          </w:p>
        </w:tc>
      </w:tr>
      <w:tr>
        <w:trPr>
          <w:trHeight w:val="148"/>
        </w:trPr>
        <w:tc>
          <w:tcPr>
            <w:tcW w:w="9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of DTI's investment in SDPI that was acquired and held prior to Closing</w:t>
            </w: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1,244</w:t>
            </w:r>
          </w:p>
        </w:tc>
      </w:tr>
      <w:tr>
        <w:trPr>
          <w:trHeight w:val="182"/>
        </w:trPr>
        <w:tc>
          <w:tcPr>
            <w:tcW w:w="98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fair value consideration transferred and fair value of DTI's investment in SDPI that was acquired and held prior to Closing</w:t>
            </w:r>
          </w:p>
        </w:tc>
        <w:tc>
          <w:tcPr>
            <w:tcW w:w="480" w:type="dxa"/>
            <w:vAlign w:val="bottom"/>
            <w:tcBorders>
              <w:bottom w:val="single" w:sz="8" w:color="auto"/>
            </w:tcBorders>
            <w:shd w:val="clear" w:color="auto" w:fill="CFF0FC"/>
          </w:tcPr>
          <w:p>
            <w:pPr>
              <w:jc w:val="right"/>
              <w:ind w:right="3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49,160</w:t>
            </w:r>
          </w:p>
        </w:tc>
      </w:tr>
    </w:tbl>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excess of the fair value of the consideration transferred and the fair value of DTI’s previously held investment in SDPI over the fair values of the net identifiable tangible and intangible assets acquired has been assigned to goodwill. Goodwill represents the future benefits as a result of the acquisition that will enhance the services available to both new and existing customers and increase the Company’s competitive position. Goodwill will be evaluated for impairment at least annually. Goodwill attributable to the acquisition of SDPI is not deductible for tax purposes.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allocated to the identified intangible assets, the estimated useful lives of those intangible assets as of the SDPI Closing Date, and the methodologies used to determine the fair values of those intangible assets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101600</wp:posOffset>
            </wp:positionV>
            <wp:extent cx="93980" cy="2311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101600</wp:posOffset>
            </wp:positionV>
            <wp:extent cx="93980" cy="2311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231140"/>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520" w:type="dxa"/>
            <w:vAlign w:val="bottom"/>
          </w:tcPr>
          <w:p>
            <w:pPr>
              <w:spacing w:after="0"/>
              <w:rPr>
                <w:sz w:val="12"/>
                <w:szCs w:val="12"/>
                <w:color w:val="auto"/>
              </w:rPr>
            </w:pPr>
          </w:p>
        </w:tc>
        <w:tc>
          <w:tcPr>
            <w:tcW w:w="540" w:type="dxa"/>
            <w:vAlign w:val="bottom"/>
            <w:tcBorders>
              <w:top w:val="single" w:sz="8" w:color="auto"/>
            </w:tcBorders>
          </w:tcPr>
          <w:p>
            <w:pPr>
              <w:jc w:val="right"/>
              <w:ind w:right="88"/>
              <w:spacing w:after="0" w:line="139" w:lineRule="exact"/>
              <w:rPr>
                <w:sz w:val="20"/>
                <w:szCs w:val="20"/>
                <w:color w:val="auto"/>
              </w:rPr>
            </w:pPr>
            <w:r>
              <w:rPr>
                <w:rFonts w:ascii="Times New Roman" w:cs="Times New Roman" w:eastAsia="Times New Roman" w:hAnsi="Times New Roman"/>
                <w:sz w:val="14"/>
                <w:szCs w:val="14"/>
                <w:color w:val="auto"/>
              </w:rPr>
              <w:t>Fair</w:t>
            </w:r>
          </w:p>
        </w:tc>
        <w:tc>
          <w:tcPr>
            <w:tcW w:w="120" w:type="dxa"/>
            <w:vAlign w:val="bottom"/>
          </w:tcPr>
          <w:p>
            <w:pPr>
              <w:spacing w:after="0"/>
              <w:rPr>
                <w:sz w:val="12"/>
                <w:szCs w:val="12"/>
                <w:color w:val="auto"/>
              </w:rPr>
            </w:pPr>
          </w:p>
        </w:tc>
        <w:tc>
          <w:tcPr>
            <w:tcW w:w="6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Useful life</w:t>
            </w: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5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(in years)</w:t>
            </w:r>
          </w:p>
        </w:tc>
        <w:tc>
          <w:tcPr>
            <w:tcW w:w="100" w:type="dxa"/>
            <w:vAlign w:val="bottom"/>
          </w:tcPr>
          <w:p>
            <w:pPr>
              <w:spacing w:after="0"/>
              <w:rPr>
                <w:sz w:val="14"/>
                <w:szCs w:val="14"/>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methodology</w:t>
            </w:r>
          </w:p>
        </w:tc>
        <w:tc>
          <w:tcPr>
            <w:tcW w:w="0" w:type="dxa"/>
            <w:vAlign w:val="bottom"/>
          </w:tcPr>
          <w:p>
            <w:pPr>
              <w:spacing w:after="0"/>
              <w:rPr>
                <w:sz w:val="1"/>
                <w:szCs w:val="1"/>
                <w:color w:val="auto"/>
              </w:rPr>
            </w:pPr>
          </w:p>
        </w:tc>
      </w:tr>
      <w:tr>
        <w:trPr>
          <w:trHeight w:val="268"/>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$ 13,400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3"/>
                <w:szCs w:val="23"/>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Multi-period Excess Earnings Method</w:t>
            </w:r>
          </w:p>
        </w:tc>
        <w:tc>
          <w:tcPr>
            <w:tcW w:w="0" w:type="dxa"/>
            <w:vAlign w:val="bottom"/>
          </w:tcPr>
          <w:p>
            <w:pPr>
              <w:spacing w:after="0"/>
              <w:rPr>
                <w:sz w:val="1"/>
                <w:szCs w:val="1"/>
                <w:color w:val="auto"/>
              </w:rPr>
            </w:pPr>
          </w:p>
        </w:tc>
      </w:tr>
      <w:tr>
        <w:trPr>
          <w:trHeight w:val="23"/>
        </w:trPr>
        <w:tc>
          <w:tcPr>
            <w:tcW w:w="6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4"/>
                <w:szCs w:val="14"/>
                <w:color w:val="auto"/>
              </w:rPr>
              <w:t>Relief-From-Royalty Method</w:t>
            </w:r>
          </w:p>
        </w:tc>
        <w:tc>
          <w:tcPr>
            <w:tcW w:w="0" w:type="dxa"/>
            <w:vAlign w:val="bottom"/>
          </w:tcPr>
          <w:p>
            <w:pPr>
              <w:spacing w:after="0" w:line="20" w:lineRule="exact"/>
              <w:rPr>
                <w:sz w:val="1"/>
                <w:szCs w:val="1"/>
                <w:color w:val="auto"/>
              </w:rPr>
            </w:pPr>
          </w:p>
        </w:tc>
      </w:tr>
      <w:tr>
        <w:trPr>
          <w:trHeight w:val="129"/>
        </w:trPr>
        <w:tc>
          <w:tcPr>
            <w:tcW w:w="6520" w:type="dxa"/>
            <w:vAlign w:val="bottom"/>
            <w:tcBorders>
              <w:bottom w:val="single" w:sz="8" w:color="CFF0FC"/>
            </w:tcBorders>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Developed technology</w:t>
            </w:r>
          </w:p>
        </w:tc>
        <w:tc>
          <w:tcPr>
            <w:tcW w:w="540" w:type="dxa"/>
            <w:vAlign w:val="bottom"/>
            <w:tcBorders>
              <w:bottom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8,600</w:t>
            </w:r>
          </w:p>
        </w:tc>
        <w:tc>
          <w:tcPr>
            <w:tcW w:w="780" w:type="dxa"/>
            <w:vAlign w:val="bottom"/>
            <w:tcBorders>
              <w:bottom w:val="single" w:sz="8" w:color="CFF0FC"/>
            </w:tcBorders>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FF0FC"/>
            </w:tcBorders>
            <w:shd w:val="clear" w:color="auto" w:fill="CFF0FC"/>
          </w:tcPr>
          <w:p>
            <w:pPr>
              <w:spacing w:after="0"/>
              <w:rPr>
                <w:sz w:val="11"/>
                <w:szCs w:val="11"/>
                <w:color w:val="auto"/>
              </w:rPr>
            </w:pPr>
          </w:p>
        </w:tc>
        <w:tc>
          <w:tcPr>
            <w:tcW w:w="2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Trade names</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2"/>
                <w:szCs w:val="12"/>
                <w:color w:val="auto"/>
              </w:rPr>
            </w:pPr>
          </w:p>
        </w:tc>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Relief-From-Royalty Method</w:t>
            </w:r>
          </w:p>
        </w:tc>
        <w:tc>
          <w:tcPr>
            <w:tcW w:w="0" w:type="dxa"/>
            <w:vAlign w:val="bottom"/>
          </w:tcPr>
          <w:p>
            <w:pPr>
              <w:spacing w:after="0"/>
              <w:rPr>
                <w:sz w:val="1"/>
                <w:szCs w:val="1"/>
                <w:color w:val="auto"/>
              </w:rPr>
            </w:pPr>
          </w:p>
        </w:tc>
      </w:tr>
      <w:tr>
        <w:trPr>
          <w:trHeight w:val="149"/>
        </w:trPr>
        <w:tc>
          <w:tcPr>
            <w:tcW w:w="65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Backlog</w:t>
            </w: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78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FF0FC"/>
            </w:tcBorders>
            <w:shd w:val="clear" w:color="auto" w:fill="CFF0FC"/>
          </w:tcPr>
          <w:p>
            <w:pPr>
              <w:spacing w:after="0"/>
              <w:rPr>
                <w:sz w:val="12"/>
                <w:szCs w:val="12"/>
                <w:color w:val="auto"/>
              </w:rPr>
            </w:pPr>
          </w:p>
        </w:tc>
        <w:tc>
          <w:tcPr>
            <w:tcW w:w="2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Multi-period Excess Earnings Method</w:t>
            </w:r>
          </w:p>
        </w:tc>
        <w:tc>
          <w:tcPr>
            <w:tcW w:w="0" w:type="dxa"/>
            <w:vAlign w:val="bottom"/>
          </w:tcPr>
          <w:p>
            <w:pPr>
              <w:spacing w:after="0"/>
              <w:rPr>
                <w:sz w:val="1"/>
                <w:szCs w:val="1"/>
                <w:color w:val="auto"/>
              </w:rPr>
            </w:pPr>
          </w:p>
        </w:tc>
      </w:tr>
      <w:tr>
        <w:trPr>
          <w:trHeight w:val="142"/>
        </w:trPr>
        <w:tc>
          <w:tcPr>
            <w:tcW w:w="65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intangible assets</w:t>
            </w: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$ 22,850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-128270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intangible assets acquired are expected to be amortized over their useful lives on a straight-line basis.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$3.4 million during the year ended December 31, 2024, which are included in other expense, net in the consolidated statements of income and comprehensive income.</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consolidated statements of income and comprehensive income for the year ended December 31, 2024 include SDPI's revenues of $5.0 million and net loss of $1.4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Pro Forma Information (unaudited)</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unaudited supplemental pro forma financial results below for the years ended December 31, 2024 and 2023, combine the consolidated results of the Company and SDPI, giving effect to the Merger as if it had been completed on January 1, 2023. The unaudited supplemental pro forma financial results to not give effect to the impact of the CTG or EDP Acquisition. This unaudited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4" w:name="page75"/>
    <w:bookmarkEnd w:id="74"/>
    <w:p>
      <w:pPr>
        <w:ind w:right="480"/>
        <w:spacing w:after="0" w:line="282" w:lineRule="auto"/>
        <w:rPr>
          <w:sz w:val="20"/>
          <w:szCs w:val="20"/>
          <w:color w:val="auto"/>
        </w:rPr>
      </w:pPr>
      <w:r>
        <w:rPr>
          <w:rFonts w:ascii="Times New Roman" w:cs="Times New Roman" w:eastAsia="Times New Roman" w:hAnsi="Times New Roman"/>
          <w:sz w:val="18"/>
          <w:szCs w:val="18"/>
          <w:color w:val="auto"/>
        </w:rPr>
        <w:t>supplemental pro forma financial information is presented for informational purposes only and is not indicative of future operations or results had the acquisition been completed as of January 1, 2023, or any other date.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40" w:type="dxa"/>
            <w:vAlign w:val="bottom"/>
          </w:tcPr>
          <w:p>
            <w:pPr>
              <w:spacing w:after="0"/>
              <w:rPr>
                <w:sz w:val="13"/>
                <w:szCs w:val="13"/>
                <w:color w:val="auto"/>
              </w:rPr>
            </w:pPr>
          </w:p>
        </w:tc>
        <w:tc>
          <w:tcPr>
            <w:tcW w:w="422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color w:val="auto"/>
              </w:rPr>
              <w:t>Year ended December 31,</w:t>
            </w:r>
          </w:p>
        </w:tc>
        <w:tc>
          <w:tcPr>
            <w:tcW w:w="2460" w:type="dxa"/>
            <w:vAlign w:val="bottom"/>
            <w:vMerge w:val="restart"/>
          </w:tcPr>
          <w:p>
            <w:pPr>
              <w:jc w:val="right"/>
              <w:ind w:right="1548"/>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jc w:val="right"/>
              <w:ind w:right="1528"/>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Pro forma revenue</w:t>
            </w:r>
          </w:p>
        </w:tc>
        <w:tc>
          <w:tcPr>
            <w:tcW w:w="840" w:type="dxa"/>
            <w:vAlign w:val="bottom"/>
            <w:shd w:val="clear" w:color="auto" w:fill="CFF0FC"/>
          </w:tcPr>
          <w:p>
            <w:pPr>
              <w:jc w:val="right"/>
              <w:ind w:right="6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159,992</w:t>
            </w:r>
          </w:p>
        </w:tc>
        <w:tc>
          <w:tcPr>
            <w:tcW w:w="5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9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162,509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 forma net income</w:t>
            </w:r>
          </w:p>
        </w:tc>
        <w:tc>
          <w:tcPr>
            <w:tcW w:w="84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(5,336 )</w:t>
            </w:r>
          </w:p>
        </w:tc>
        <w:tc>
          <w:tcPr>
            <w:tcW w:w="106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unaudited supplemental pro forma financial information in the table above contains material nonrecurring pro forma adjustments to (i) record acquisition-related costs incurred by the Company prior to the SDPI Closing Date in the amount of $0.6 million and (ii) to record stock compensation expense of $0.5 million for SDPI options that vested upon the closing of the acquisition of SDPI.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European Drilling Projects B.V.</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September 30, 2024, the Company’s wholly owned subsidiary, Drilling Tools International, Inc., entered the Share Purchase Agreement with European Drilling Projects B.V. (“EDP”), and the sole shareholder of EDP, to acquire 100% of the shares of EDP. European Drilling Products is a global provider of next-generation stabilizers, specialty reamers, and wellbore optimization technology for the drilling industry. EDP designs and manufactures bespoke drilling equipment tailored to address specific industry challenges. The integration of EDP's expertise aligns seamlessly with DTI's international growth strategy and commitment to technological differentiation.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terms of the Merger Agreement, the closing of the acquisition occurred on October 3, 2024 (the “EDP Closing Date” or “EDP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for total consideration of $13.9 million. The consideration for the acquisition of $13.9 million is comprised of the following items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to EDP's sole shareholder</w:t>
            </w:r>
          </w:p>
        </w:tc>
        <w:tc>
          <w:tcPr>
            <w:tcW w:w="68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6,307</w:t>
            </w:r>
          </w:p>
        </w:tc>
        <w:tc>
          <w:tcPr>
            <w:tcW w:w="100" w:type="dxa"/>
            <w:vAlign w:val="bottom"/>
            <w:shd w:val="clear" w:color="auto" w:fill="CFF0FC"/>
          </w:tcPr>
          <w:p>
            <w:pPr>
              <w:spacing w:after="0"/>
              <w:rPr>
                <w:sz w:val="17"/>
                <w:szCs w:val="17"/>
                <w:color w:val="auto"/>
              </w:rPr>
            </w:pPr>
          </w:p>
        </w:tc>
      </w:tr>
      <w:tr>
        <w:trPr>
          <w:trHeight w:val="203"/>
        </w:trPr>
        <w:tc>
          <w:tcPr>
            <w:tcW w:w="940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Note payable issued by DTI to EDP’s sole shareholder </w:t>
            </w:r>
            <w:r>
              <w:rPr>
                <w:rFonts w:ascii="Times New Roman" w:cs="Times New Roman" w:eastAsia="Times New Roman" w:hAnsi="Times New Roman"/>
                <w:sz w:val="21"/>
                <w:szCs w:val="21"/>
                <w:color w:val="auto"/>
                <w:vertAlign w:val="superscript"/>
              </w:rPr>
              <w:t>(1)</w:t>
            </w:r>
          </w:p>
        </w:tc>
        <w:tc>
          <w:tcPr>
            <w:tcW w:w="6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5,207</w:t>
            </w:r>
          </w:p>
        </w:tc>
        <w:tc>
          <w:tcPr>
            <w:tcW w:w="100" w:type="dxa"/>
            <w:vAlign w:val="bottom"/>
          </w:tcPr>
          <w:p>
            <w:pPr>
              <w:spacing w:after="0"/>
              <w:rPr>
                <w:sz w:val="17"/>
                <w:szCs w:val="17"/>
                <w:color w:val="auto"/>
              </w:rPr>
            </w:pPr>
          </w:p>
        </w:tc>
      </w:tr>
      <w:tr>
        <w:trPr>
          <w:trHeight w:val="203"/>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repayment of EDP debt</w:t>
            </w:r>
          </w:p>
        </w:tc>
        <w:tc>
          <w:tcPr>
            <w:tcW w:w="6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00" w:type="dxa"/>
            <w:vAlign w:val="bottom"/>
            <w:shd w:val="clear" w:color="auto" w:fill="CFF0FC"/>
          </w:tcPr>
          <w:p>
            <w:pPr>
              <w:spacing w:after="0"/>
              <w:rPr>
                <w:sz w:val="17"/>
                <w:szCs w:val="17"/>
                <w:color w:val="auto"/>
              </w:rPr>
            </w:pPr>
          </w:p>
        </w:tc>
      </w:tr>
      <w:tr>
        <w:trPr>
          <w:trHeight w:val="203"/>
        </w:trPr>
        <w:tc>
          <w:tcPr>
            <w:tcW w:w="940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Cash paid to settle employee stock appreciation right awards </w:t>
            </w:r>
            <w:r>
              <w:rPr>
                <w:rFonts w:ascii="Times New Roman" w:cs="Times New Roman" w:eastAsia="Times New Roman" w:hAnsi="Times New Roman"/>
                <w:sz w:val="21"/>
                <w:szCs w:val="21"/>
                <w:color w:val="auto"/>
                <w:vertAlign w:val="superscript"/>
              </w:rPr>
              <w:t>(2)</w:t>
            </w:r>
          </w:p>
        </w:tc>
        <w:tc>
          <w:tcPr>
            <w:tcW w:w="6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7"/>
                <w:szCs w:val="17"/>
                <w:color w:val="auto"/>
              </w:rPr>
            </w:pPr>
          </w:p>
        </w:tc>
      </w:tr>
      <w:tr>
        <w:trPr>
          <w:trHeight w:val="203"/>
        </w:trPr>
        <w:tc>
          <w:tcPr>
            <w:tcW w:w="9400" w:type="dxa"/>
            <w:vAlign w:val="bottom"/>
            <w:tcBorders>
              <w:bottom w:val="single" w:sz="8" w:color="CFF0FC"/>
            </w:tcBorders>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Effective settlement of preexisting relationship between DTI and EDP </w:t>
            </w:r>
            <w:r>
              <w:rPr>
                <w:rFonts w:ascii="Times New Roman" w:cs="Times New Roman" w:eastAsia="Times New Roman" w:hAnsi="Times New Roman"/>
                <w:sz w:val="21"/>
                <w:szCs w:val="21"/>
                <w:color w:val="auto"/>
                <w:vertAlign w:val="superscript"/>
              </w:rPr>
              <w:t>(3)</w:t>
            </w:r>
          </w:p>
        </w:tc>
        <w:tc>
          <w:tcPr>
            <w:tcW w:w="6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consideration transferred</w:t>
            </w:r>
          </w:p>
        </w:tc>
        <w:tc>
          <w:tcPr>
            <w:tcW w:w="6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13,900</w:t>
            </w:r>
          </w:p>
        </w:tc>
        <w:tc>
          <w:tcPr>
            <w:tcW w:w="100" w:type="dxa"/>
            <w:vAlign w:val="bottom"/>
          </w:tcPr>
          <w:p>
            <w:pPr>
              <w:spacing w:after="0"/>
              <w:rPr>
                <w:sz w:val="17"/>
                <w:szCs w:val="17"/>
                <w:color w:val="auto"/>
              </w:rPr>
            </w:pPr>
          </w:p>
        </w:tc>
      </w:tr>
      <w:tr>
        <w:trPr>
          <w:trHeight w:val="20"/>
        </w:trPr>
        <w:tc>
          <w:tcPr>
            <w:tcW w:w="9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left="1680" w:hanging="175"/>
        <w:spacing w:after="0"/>
        <w:tabs>
          <w:tab w:leader="none" w:pos="168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promissory note issued to EDP's sole shareholder by DTI in lieu of cash paid at closing.</w:t>
      </w:r>
    </w:p>
    <w:p>
      <w:pPr>
        <w:spacing w:after="0" w:line="120" w:lineRule="exact"/>
        <w:rPr>
          <w:rFonts w:ascii="Times New Roman" w:cs="Times New Roman" w:eastAsia="Times New Roman" w:hAnsi="Times New Roman"/>
          <w:sz w:val="13"/>
          <w:szCs w:val="13"/>
          <w:color w:val="auto"/>
        </w:rPr>
      </w:pPr>
    </w:p>
    <w:p>
      <w:pPr>
        <w:ind w:left="1500" w:right="1680" w:firstLine="5"/>
        <w:spacing w:after="0"/>
        <w:tabs>
          <w:tab w:leader="none" w:pos="1678"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employee stock appreciation rights that vest immediately upon a change in control event per the original award terms. DTI paid cash to settle the vested awards at the EDP Closing Date.</w:t>
      </w:r>
    </w:p>
    <w:p>
      <w:pPr>
        <w:spacing w:after="0" w:line="106" w:lineRule="exact"/>
        <w:rPr>
          <w:rFonts w:ascii="Times New Roman" w:cs="Times New Roman" w:eastAsia="Times New Roman" w:hAnsi="Times New Roman"/>
          <w:sz w:val="13"/>
          <w:szCs w:val="13"/>
          <w:color w:val="auto"/>
        </w:rPr>
      </w:pPr>
    </w:p>
    <w:p>
      <w:pPr>
        <w:ind w:left="1680" w:hanging="175"/>
        <w:spacing w:after="0"/>
        <w:tabs>
          <w:tab w:leader="none" w:pos="168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effective settlement of DTI’s accounts receivable from EDP as EDP was a customer of EDP’s prior to the EDP Closing.</w:t>
      </w:r>
    </w:p>
    <w:p>
      <w:pPr>
        <w:spacing w:after="0" w:line="25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acquisition of EDP has been accounted for as a business combination in accordance with ASC 805, Business Combinations (“ASC 805”). Drilling Tools International, Inc. has been treated as the accounting acquirer. Accordingly, EDP’s tangible and identifiable intangible assets acquired, and its liabilities assumed were recorded at their estimated fair values on the EDP Closing Date. The purchase price allocation for the Merger is preliminary and subject to revision. Additional information that existed as of the EDP Closing Date may become known during the remainder of the measurement period, which will not extend beyond one year from the EDP Closing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allocation of the purchase is as follows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3"/>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 acquired:</w:t>
            </w:r>
          </w:p>
        </w:tc>
        <w:tc>
          <w:tcPr>
            <w:tcW w:w="6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68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7"/>
                <w:szCs w:val="17"/>
                <w:color w:val="auto"/>
              </w:rPr>
            </w:pPr>
          </w:p>
        </w:tc>
      </w:tr>
      <w:tr>
        <w:trPr>
          <w:trHeight w:val="203"/>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6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shd w:val="clear" w:color="auto" w:fill="CFF0FC"/>
          </w:tcPr>
          <w:p>
            <w:pPr>
              <w:spacing w:after="0"/>
              <w:rPr>
                <w:sz w:val="17"/>
                <w:szCs w:val="17"/>
                <w:color w:val="auto"/>
              </w:rPr>
            </w:pPr>
          </w:p>
        </w:tc>
      </w:tr>
      <w:tr>
        <w:trPr>
          <w:trHeight w:val="203"/>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Revenue</w:t>
            </w:r>
          </w:p>
        </w:tc>
        <w:tc>
          <w:tcPr>
            <w:tcW w:w="6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7"/>
                <w:szCs w:val="17"/>
                <w:color w:val="auto"/>
              </w:rPr>
            </w:pPr>
          </w:p>
        </w:tc>
      </w:tr>
      <w:tr>
        <w:trPr>
          <w:trHeight w:val="203"/>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6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shd w:val="clear" w:color="auto" w:fill="CFF0FC"/>
          </w:tcPr>
          <w:p>
            <w:pPr>
              <w:spacing w:after="0"/>
              <w:rPr>
                <w:sz w:val="17"/>
                <w:szCs w:val="17"/>
                <w:color w:val="auto"/>
              </w:rPr>
            </w:pPr>
          </w:p>
        </w:tc>
      </w:tr>
      <w:tr>
        <w:trPr>
          <w:trHeight w:val="203"/>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6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100" w:type="dxa"/>
            <w:vAlign w:val="bottom"/>
          </w:tcPr>
          <w:p>
            <w:pPr>
              <w:spacing w:after="0"/>
              <w:rPr>
                <w:sz w:val="17"/>
                <w:szCs w:val="17"/>
                <w:color w:val="auto"/>
              </w:rPr>
            </w:pPr>
          </w:p>
        </w:tc>
      </w:tr>
      <w:tr>
        <w:trPr>
          <w:trHeight w:val="203"/>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6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FF0FC"/>
          </w:tcPr>
          <w:p>
            <w:pPr>
              <w:spacing w:after="0"/>
              <w:rPr>
                <w:sz w:val="17"/>
                <w:szCs w:val="17"/>
                <w:color w:val="auto"/>
              </w:rPr>
            </w:pPr>
          </w:p>
        </w:tc>
      </w:tr>
      <w:tr>
        <w:trPr>
          <w:trHeight w:val="203"/>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100" w:type="dxa"/>
            <w:vAlign w:val="bottom"/>
          </w:tcPr>
          <w:p>
            <w:pPr>
              <w:spacing w:after="0"/>
              <w:rPr>
                <w:sz w:val="17"/>
                <w:szCs w:val="17"/>
                <w:color w:val="auto"/>
              </w:rPr>
            </w:pPr>
          </w:p>
        </w:tc>
      </w:tr>
      <w:tr>
        <w:trPr>
          <w:trHeight w:val="196"/>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6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14,153</w:t>
            </w:r>
          </w:p>
        </w:tc>
        <w:tc>
          <w:tcPr>
            <w:tcW w:w="100" w:type="dxa"/>
            <w:vAlign w:val="bottom"/>
            <w:shd w:val="clear" w:color="auto" w:fill="CFF0FC"/>
          </w:tcPr>
          <w:p>
            <w:pPr>
              <w:spacing w:after="0"/>
              <w:rPr>
                <w:sz w:val="17"/>
                <w:szCs w:val="17"/>
                <w:color w:val="auto"/>
              </w:rPr>
            </w:pPr>
          </w:p>
        </w:tc>
      </w:tr>
      <w:tr>
        <w:trPr>
          <w:trHeight w:val="203"/>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assumed:</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6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FF0FC"/>
          </w:tcPr>
          <w:p>
            <w:pPr>
              <w:spacing w:after="0"/>
              <w:rPr>
                <w:sz w:val="17"/>
                <w:szCs w:val="17"/>
                <w:color w:val="auto"/>
              </w:rPr>
            </w:pPr>
          </w:p>
        </w:tc>
      </w:tr>
      <w:tr>
        <w:trPr>
          <w:trHeight w:val="203"/>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6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Pr>
          <w:p>
            <w:pPr>
              <w:spacing w:after="0"/>
              <w:rPr>
                <w:sz w:val="17"/>
                <w:szCs w:val="17"/>
                <w:color w:val="auto"/>
              </w:rPr>
            </w:pPr>
          </w:p>
        </w:tc>
      </w:tr>
      <w:tr>
        <w:trPr>
          <w:trHeight w:val="203"/>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Debt, noncurrent</w:t>
            </w:r>
          </w:p>
        </w:tc>
        <w:tc>
          <w:tcPr>
            <w:tcW w:w="6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FF0FC"/>
          </w:tcPr>
          <w:p>
            <w:pPr>
              <w:spacing w:after="0"/>
              <w:rPr>
                <w:sz w:val="17"/>
                <w:szCs w:val="17"/>
                <w:color w:val="auto"/>
              </w:rPr>
            </w:pPr>
          </w:p>
        </w:tc>
      </w:tr>
      <w:tr>
        <w:trPr>
          <w:trHeight w:val="203"/>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6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7"/>
                <w:szCs w:val="17"/>
                <w:color w:val="auto"/>
              </w:rPr>
            </w:pPr>
          </w:p>
        </w:tc>
      </w:tr>
      <w:tr>
        <w:trPr>
          <w:trHeight w:val="203"/>
        </w:trPr>
        <w:tc>
          <w:tcPr>
            <w:tcW w:w="9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6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Pr>
          <w:p>
            <w:pPr>
              <w:spacing w:after="0"/>
              <w:rPr>
                <w:sz w:val="17"/>
                <w:szCs w:val="17"/>
                <w:color w:val="auto"/>
              </w:rPr>
            </w:pPr>
          </w:p>
        </w:tc>
      </w:tr>
      <w:tr>
        <w:trPr>
          <w:trHeight w:val="196"/>
        </w:trPr>
        <w:tc>
          <w:tcPr>
            <w:tcW w:w="9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identifiable net assets</w:t>
            </w:r>
          </w:p>
        </w:tc>
        <w:tc>
          <w:tcPr>
            <w:tcW w:w="6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00" w:type="dxa"/>
            <w:vAlign w:val="bottom"/>
          </w:tcPr>
          <w:p>
            <w:pPr>
              <w:spacing w:after="0"/>
              <w:rPr>
                <w:sz w:val="17"/>
                <w:szCs w:val="17"/>
                <w:color w:val="auto"/>
              </w:rPr>
            </w:pPr>
          </w:p>
        </w:tc>
      </w:tr>
      <w:tr>
        <w:trPr>
          <w:trHeight w:val="236"/>
        </w:trPr>
        <w:tc>
          <w:tcPr>
            <w:tcW w:w="9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assets acquired and goodwill</w:t>
            </w:r>
          </w:p>
        </w:tc>
        <w:tc>
          <w:tcPr>
            <w:tcW w:w="68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excess of the fair value of the consideration transferred over the fair values of the net identifiable tangible and intangible assets acquired has been assigned to goodwill. Goodwill represents the future benefits of acquiring EDP as the acquisition not only enhances DTI's competitive edge, but also reinforces its position as a leader in providing innovative drilling solutions to the global oil and gas industry. Goodwill will be evaluated for impairment at least annually. Goodwill attributable to the acquisition of EDP is not deductible for tax purposes.</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allocated to the identified intangible assets, the estimated useful lives of those intangible assets as of the EDP Closing Date, and the methodologies used to determine the fair values of those intangible assets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101600</wp:posOffset>
            </wp:positionV>
            <wp:extent cx="93980" cy="2997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101600</wp:posOffset>
            </wp:positionV>
            <wp:extent cx="93980" cy="2997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3980" cy="299720"/>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7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Useful life</w:t>
            </w:r>
          </w:p>
        </w:tc>
        <w:tc>
          <w:tcPr>
            <w:tcW w:w="100" w:type="dxa"/>
            <w:vAlign w:val="bottom"/>
          </w:tcPr>
          <w:p>
            <w:pPr>
              <w:spacing w:after="0"/>
              <w:rPr>
                <w:sz w:val="17"/>
                <w:szCs w:val="17"/>
                <w:color w:val="auto"/>
              </w:rPr>
            </w:pPr>
          </w:p>
        </w:tc>
      </w:tr>
      <w:tr>
        <w:trPr>
          <w:trHeight w:val="213"/>
        </w:trPr>
        <w:tc>
          <w:tcPr>
            <w:tcW w:w="8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Fair value</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(in years)</w:t>
            </w:r>
          </w:p>
        </w:tc>
        <w:tc>
          <w:tcPr>
            <w:tcW w:w="100" w:type="dxa"/>
            <w:vAlign w:val="bottom"/>
          </w:tcPr>
          <w:p>
            <w:pPr>
              <w:spacing w:after="0"/>
              <w:rPr>
                <w:sz w:val="18"/>
                <w:szCs w:val="18"/>
                <w:color w:val="auto"/>
              </w:rPr>
            </w:pPr>
          </w:p>
        </w:tc>
      </w:tr>
      <w:tr>
        <w:trPr>
          <w:trHeight w:val="399"/>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4"/>
                <w:szCs w:val="24"/>
                <w:color w:val="auto"/>
              </w:rPr>
            </w:pPr>
          </w:p>
        </w:tc>
      </w:tr>
      <w:tr>
        <w:trPr>
          <w:trHeight w:val="205"/>
        </w:trPr>
        <w:tc>
          <w:tcPr>
            <w:tcW w:w="8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7"/>
                <w:szCs w:val="17"/>
                <w:color w:val="auto"/>
              </w:rPr>
            </w:pPr>
          </w:p>
        </w:tc>
      </w:tr>
      <w:tr>
        <w:trPr>
          <w:trHeight w:val="20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r>
      <w:tr>
        <w:trPr>
          <w:trHeight w:val="236"/>
        </w:trPr>
        <w:tc>
          <w:tcPr>
            <w:tcW w:w="8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1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intangible assets acquired are expected to be amortized over their useful lives on a straight-line basis.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$1.0 million during year ended December 31, 2024, which is included in other expense, net in the consolidated statements of income and comprehensive income.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consolidated statements of income and comprehensive income for the year ended December 31, 2024 include EDP’s revenues of $1.0 million and net loss of $0.2 million from the EDP Closing Date to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INVESTMENTS –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cost and fair value of the Company’s investments in equity securities (in thousands):</w:t>
      </w:r>
    </w:p>
    <w:p>
      <w:pPr>
        <w:spacing w:after="0" w:line="255"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Gain</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3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410"/>
        </w:trPr>
        <w:tc>
          <w:tcPr>
            <w:tcW w:w="52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15"/>
        </w:trPr>
        <w:tc>
          <w:tcPr>
            <w:tcW w:w="5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r>
      <w:tr>
        <w:trPr>
          <w:trHeight w:val="21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(111 )</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shd w:val="clear" w:color="auto" w:fill="CFF0FC"/>
          </w:tcPr>
          <w:p>
            <w:pPr>
              <w:spacing w:after="0"/>
              <w:rPr>
                <w:sz w:val="19"/>
                <w:szCs w:val="19"/>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-599440</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-582295</wp:posOffset>
            </wp:positionV>
            <wp:extent cx="768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-599440</wp:posOffset>
            </wp:positionV>
            <wp:extent cx="77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-582295</wp:posOffset>
            </wp:positionV>
            <wp:extent cx="77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596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Unrealized holding gains on equity securities for the year ended December 31, 2024 were $0.4 million where unrealized holding losses on equity securities for the year ended December 31, 2023 were $0.3 million. On July 31, 2024, the Company elected cash for the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76" w:name="page77"/>
    <w:bookmarkEnd w:id="76"/>
    <w:p>
      <w:pPr>
        <w:spacing w:after="0" w:line="284" w:lineRule="auto"/>
        <w:rPr>
          <w:sz w:val="20"/>
          <w:szCs w:val="20"/>
          <w:color w:val="auto"/>
        </w:rPr>
      </w:pPr>
      <w:r>
        <w:rPr>
          <w:rFonts w:ascii="Times New Roman" w:cs="Times New Roman" w:eastAsia="Times New Roman" w:hAnsi="Times New Roman"/>
          <w:sz w:val="18"/>
          <w:szCs w:val="18"/>
          <w:color w:val="auto"/>
        </w:rPr>
        <w:t xml:space="preserve">owned in SDPI. The Company received $1.2 million in cash and recognized a realized loss of $12 thousand. Refer to </w:t>
      </w:r>
      <w:r>
        <w:rPr>
          <w:rFonts w:ascii="Times New Roman" w:cs="Times New Roman" w:eastAsia="Times New Roman" w:hAnsi="Times New Roman"/>
          <w:sz w:val="18"/>
          <w:szCs w:val="18"/>
          <w:i w:val="1"/>
          <w:iCs w:val="1"/>
          <w:color w:val="auto"/>
        </w:rPr>
        <w:t>Note 3 - Business Combinations</w:t>
      </w:r>
      <w:r>
        <w:rPr>
          <w:rFonts w:ascii="Times New Roman" w:cs="Times New Roman" w:eastAsia="Times New Roman" w:hAnsi="Times New Roman"/>
          <w:sz w:val="18"/>
          <w:szCs w:val="18"/>
          <w:color w:val="auto"/>
        </w:rPr>
        <w:t xml:space="preserve"> for more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BALANCE SHEET DETAILS - CURRENT ASSETS AND CURRENT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6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12,928</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5,022</w:t>
            </w: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Work in progress</w:t>
            </w:r>
          </w:p>
        </w:tc>
        <w:tc>
          <w:tcPr>
            <w:tcW w:w="1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2,897</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196"/>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inventories</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17,653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5,038</w:t>
            </w: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6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Allowance for obsolete inventory</w:t>
            </w:r>
          </w:p>
        </w:tc>
        <w:tc>
          <w:tcPr>
            <w:tcW w:w="1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196"/>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Inventories,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17,502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5,034</w:t>
            </w: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-453390</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-162560</wp:posOffset>
            </wp:positionV>
            <wp:extent cx="857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6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Prepaid expenses:</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03"/>
        </w:trPr>
        <w:tc>
          <w:tcPr>
            <w:tcW w:w="6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Deposits on inventory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2,146</w:t>
            </w:r>
          </w:p>
        </w:tc>
      </w:tr>
      <w:tr>
        <w:trPr>
          <w:trHeight w:val="203"/>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Prepaid income tax</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1,293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362</w:t>
            </w:r>
          </w:p>
        </w:tc>
      </w:tr>
      <w:tr>
        <w:trPr>
          <w:trHeight w:val="203"/>
        </w:trPr>
        <w:tc>
          <w:tcPr>
            <w:tcW w:w="6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insurance</w:t>
            </w:r>
          </w:p>
        </w:tc>
        <w:tc>
          <w:tcPr>
            <w:tcW w:w="1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1,110</w:t>
            </w:r>
          </w:p>
        </w:tc>
      </w:tr>
      <w:tr>
        <w:trPr>
          <w:trHeight w:val="203"/>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Prepaid rent</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449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372</w:t>
            </w:r>
          </w:p>
        </w:tc>
      </w:tr>
      <w:tr>
        <w:trPr>
          <w:trHeight w:val="203"/>
        </w:trPr>
        <w:tc>
          <w:tcPr>
            <w:tcW w:w="6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equipment</w:t>
            </w:r>
          </w:p>
        </w:tc>
        <w:tc>
          <w:tcPr>
            <w:tcW w:w="1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331</w:t>
            </w:r>
          </w:p>
        </w:tc>
      </w:tr>
      <w:tr>
        <w:trPr>
          <w:trHeight w:val="203"/>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Prepaid other</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361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214</w:t>
            </w: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r>
      <w:tr>
        <w:trPr>
          <w:trHeight w:val="196"/>
        </w:trPr>
        <w:tc>
          <w:tcPr>
            <w:tcW w:w="6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3,874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4,553</w:t>
            </w: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-162560</wp:posOffset>
            </wp:positionV>
            <wp:extent cx="857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and other current liabilities (in thousands):</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6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Accrued expenses:</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03"/>
        </w:trPr>
        <w:tc>
          <w:tcPr>
            <w:tcW w:w="6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compensation and related benefits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4,999</w:t>
            </w:r>
          </w:p>
        </w:tc>
      </w:tr>
      <w:tr>
        <w:trPr>
          <w:trHeight w:val="203"/>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Accrued insurance</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645</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978</w:t>
            </w:r>
          </w:p>
        </w:tc>
      </w:tr>
      <w:tr>
        <w:trPr>
          <w:trHeight w:val="203"/>
        </w:trPr>
        <w:tc>
          <w:tcPr>
            <w:tcW w:w="6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transaction advisory fees</w:t>
            </w:r>
          </w:p>
        </w:tc>
        <w:tc>
          <w:tcPr>
            <w:tcW w:w="1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Accrued professional services</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189</w:t>
            </w:r>
          </w:p>
        </w:tc>
      </w:tr>
      <w:tr>
        <w:trPr>
          <w:trHeight w:val="203"/>
        </w:trPr>
        <w:tc>
          <w:tcPr>
            <w:tcW w:w="6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r>
      <w:tr>
        <w:trPr>
          <w:trHeight w:val="203"/>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Accrued property taxes</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r>
      <w:tr>
        <w:trPr>
          <w:trHeight w:val="203"/>
        </w:trPr>
        <w:tc>
          <w:tcPr>
            <w:tcW w:w="6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monitoring fee</w:t>
            </w:r>
          </w:p>
        </w:tc>
        <w:tc>
          <w:tcPr>
            <w:tcW w:w="1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373</w:t>
            </w:r>
          </w:p>
        </w:tc>
      </w:tr>
      <w:tr>
        <w:trPr>
          <w:trHeight w:val="203"/>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264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147</w:t>
            </w: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current liabilities: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Income tax payable</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459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1,586</w:t>
            </w:r>
          </w:p>
        </w:tc>
      </w:tr>
      <w:tr>
        <w:trPr>
          <w:trHeight w:val="203"/>
        </w:trPr>
        <w:tc>
          <w:tcPr>
            <w:tcW w:w="6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 tax payable</w:t>
            </w:r>
          </w:p>
        </w:tc>
        <w:tc>
          <w:tcPr>
            <w:tcW w:w="1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r>
      <w:tr>
        <w:trPr>
          <w:trHeight w:val="203"/>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Unbilled lost-in-hole revenue</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r>
      <w:tr>
        <w:trPr>
          <w:trHeight w:val="203"/>
        </w:trPr>
        <w:tc>
          <w:tcPr>
            <w:tcW w:w="6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675</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1,042</w:t>
            </w:r>
          </w:p>
        </w:tc>
      </w:tr>
      <w:tr>
        <w:trPr>
          <w:trHeight w:val="23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accrued expenses and other current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7,863</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10,579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857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857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NOTE 6 – PROPERTY, PLANT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 of property, plant and equipment, net (in thousands):</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3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Lives (in</w:t>
            </w:r>
          </w:p>
        </w:tc>
        <w:tc>
          <w:tcPr>
            <w:tcW w:w="120" w:type="dxa"/>
            <w:vAlign w:val="bottom"/>
          </w:tcPr>
          <w:p>
            <w:pPr>
              <w:spacing w:after="0"/>
              <w:rPr>
                <w:sz w:val="17"/>
                <w:szCs w:val="17"/>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53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Rental tools and equipment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205,939</w:t>
            </w:r>
          </w:p>
        </w:tc>
        <w:tc>
          <w:tcPr>
            <w:tcW w:w="3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188,949</w:t>
            </w: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7,074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6,672</w:t>
            </w:r>
          </w:p>
        </w:tc>
      </w:tr>
      <w:tr>
        <w:trPr>
          <w:trHeight w:val="20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Office furniture, fixtures and equipment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2,507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2,389</w:t>
            </w: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Transportation and equipment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793</w:t>
            </w:r>
          </w:p>
        </w:tc>
      </w:tr>
      <w:tr>
        <w:trPr>
          <w:trHeight w:val="19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property, plant and equipment</w:t>
            </w: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216,234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198,803</w:t>
            </w: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(142,203 )</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(133,003 )</w:t>
            </w:r>
          </w:p>
        </w:tc>
      </w:tr>
      <w:tr>
        <w:trPr>
          <w:trHeight w:val="180"/>
        </w:trPr>
        <w:tc>
          <w:tcPr>
            <w:tcW w:w="53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Property, plant and equipment, net (excluding</w:t>
            </w: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r>
      <w:tr>
        <w:trPr>
          <w:trHeight w:val="218"/>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construction in progress)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74,031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65,800</w:t>
            </w: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1,540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75,571</w:t>
            </w:r>
          </w:p>
        </w:tc>
        <w:tc>
          <w:tcPr>
            <w:tcW w:w="3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65,800</w:t>
            </w: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-25400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Total depreciation expense for the year ended December 31, 2024 and 2023 was approximately $21.5 million and $20.3 million, respectively. The Company has not acquired any property, plant and equipment under capital leases.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Property, plant and equipment, net, were concentrated within the United States. As of December 31, 2024 and December 31, 2023, property, plant and equipment, net held within the United States was $66.9 million and $63.0 million, respectively, or 89% and 96% of total property, plant and equipment, net, respectively. As of December 31, 2024 and December 31, 2023, property, plant and equipment, net held outside of the United States was $8.6 million and $2.8 million, or 11% and 4% of total property, plant and equipment net for both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Lives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5"/>
        </w:trPr>
        <w:tc>
          <w:tcPr>
            <w:tcW w:w="49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name</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10-15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3,184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1,280</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15-20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21,081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Patents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270</w:t>
            </w: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9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4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39,714</w:t>
            </w:r>
          </w:p>
        </w:tc>
        <w:tc>
          <w:tcPr>
            <w:tcW w:w="14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1,550</w:t>
            </w:r>
          </w:p>
        </w:tc>
      </w:tr>
      <w:tr>
        <w:trPr>
          <w:trHeight w:val="203"/>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(2,482 )</w:t>
            </w: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(1,334 )</w:t>
            </w:r>
          </w:p>
        </w:tc>
      </w:tr>
      <w:tr>
        <w:trPr>
          <w:trHeight w:val="236"/>
        </w:trPr>
        <w:tc>
          <w:tcPr>
            <w:tcW w:w="6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c>
          <w:tcPr>
            <w:tcW w:w="4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37,232</w:t>
            </w:r>
          </w:p>
        </w:tc>
        <w:tc>
          <w:tcPr>
            <w:tcW w:w="1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-25400</wp:posOffset>
            </wp:positionV>
            <wp:extent cx="857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857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Total amortization expense for the year ended December 31, 2024 and December 31, 2023 was approximately $1.2 million and $47.1 thousand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carrying amount of goodwill for the years ended December 31, 2024 was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balance as of December 31, 2023</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Additions due to business combinations</w:t>
            </w:r>
          </w:p>
        </w:tc>
        <w:tc>
          <w:tcPr>
            <w:tcW w:w="42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12,378</w:t>
            </w:r>
          </w:p>
        </w:tc>
      </w:tr>
      <w:tr>
        <w:trPr>
          <w:trHeight w:val="203"/>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Impairments</w:t>
            </w: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4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(231 )</w:t>
            </w:r>
          </w:p>
        </w:tc>
      </w:tr>
      <w:tr>
        <w:trPr>
          <w:trHeight w:val="236"/>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12,147</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leases various facilities and vehicles under noncancelable operating lease agreements. The remaining lease terms for our leases range from 1 month to 14 years. These leases often include options to extend the term of the lease, which may be for periods of up to 5 years. 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 We have not entered into any finance leases as of December 31,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and December 31, 2023, the components of the Company’s lease expense were as follows (in thousands):</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6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19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6,494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6,077</w:t>
            </w: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1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w:t>
            </w:r>
          </w:p>
        </w:tc>
      </w:tr>
      <w:tr>
        <w:trPr>
          <w:trHeight w:val="20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382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320</w:t>
            </w: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Sublease Income</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3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Lease Cost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7,012</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-24765</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85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4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7"/>
                <w:szCs w:val="17"/>
                <w:color w:val="auto"/>
              </w:rPr>
            </w:pPr>
          </w:p>
        </w:tc>
        <w:tc>
          <w:tcPr>
            <w:tcW w:w="13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6060" w:type="dxa"/>
            <w:vAlign w:val="bottom"/>
          </w:tcPr>
          <w:p>
            <w:pPr>
              <w:spacing w:after="0"/>
              <w:rPr>
                <w:sz w:val="17"/>
                <w:szCs w:val="17"/>
                <w:color w:val="auto"/>
              </w:rPr>
            </w:pPr>
          </w:p>
        </w:tc>
        <w:tc>
          <w:tcPr>
            <w:tcW w:w="14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3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6060" w:type="dxa"/>
            <w:vAlign w:val="bottom"/>
          </w:tcPr>
          <w:p>
            <w:pPr>
              <w:spacing w:after="0"/>
              <w:rPr>
                <w:sz w:val="18"/>
                <w:szCs w:val="18"/>
                <w:color w:val="auto"/>
              </w:rPr>
            </w:pPr>
          </w:p>
        </w:tc>
        <w:tc>
          <w:tcPr>
            <w:tcW w:w="14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19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4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7.11</w:t>
            </w:r>
          </w:p>
        </w:tc>
        <w:tc>
          <w:tcPr>
            <w:tcW w:w="148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6.55</w:t>
            </w: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44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96"/>
              </w:rPr>
              <w:t>7.57 %</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w w:val="96"/>
              </w:rPr>
              <w:t>5.80 %</w:t>
            </w:r>
          </w:p>
        </w:tc>
      </w:tr>
    </w:tbl>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consolidated balance sheet as of December 31, 2024 were as follows (in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5,788</w:t>
            </w: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5,113</w:t>
            </w:r>
          </w:p>
        </w:tc>
      </w:t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5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3,781</w:t>
            </w: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5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3,094</w:t>
            </w:r>
          </w:p>
        </w:tc>
      </w:t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2029</w:t>
            </w:r>
          </w:p>
        </w:tc>
        <w:tc>
          <w:tcPr>
            <w:tcW w:w="5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2,538</w:t>
            </w: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9,490</w:t>
            </w:r>
          </w:p>
        </w:tc>
      </w:tr>
      <w:tr>
        <w:trPr>
          <w:trHeight w:val="19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lease payments</w:t>
            </w:r>
          </w:p>
        </w:tc>
        <w:tc>
          <w:tcPr>
            <w:tcW w:w="5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29,804</w:t>
            </w: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(6,918 )</w:t>
            </w:r>
          </w:p>
        </w:tc>
      </w:tr>
      <w:tr>
        <w:trPr>
          <w:trHeight w:val="236"/>
        </w:trPr>
        <w:tc>
          <w:tcPr>
            <w:tcW w:w="7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Present value of lease liabilities</w:t>
            </w:r>
          </w:p>
        </w:tc>
        <w:tc>
          <w:tcPr>
            <w:tcW w:w="58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22,886</w:t>
            </w:r>
          </w:p>
        </w:tc>
      </w:tr>
    </w:tbl>
    <w:p>
      <w:pPr>
        <w:spacing w:after="0" w:line="33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leases downhole drilling tools to companies in the oil and natural gas industry. Such leases are accounted for in accordance with ASC 842. For the year ended December 31, 2024 and 2023, tool rental revenue was approximately $117.9 million and $119.2 million, respectively. Our lease contract periods are short-term in nature and are typically daily, monthly, per well, or footage based. As it is unknown when the customers will return our tools, no maturity table is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December 2015, the Company entered into a credit facility with PNC Bank, National Association (the "Existing Credit Facility"). The facility provided for a revolving line of credit with a maximum borrowing amount totaling $60.0 million.</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March 15, 2024, the Company refinanced its revolving credit facility (the “Refinancing”) by entering into a Second Amended and Restated Revolving Credit, Term Loan and Security and Guaranty Agreement (the “Credit Facility”) with certain of the Company’s subsidiaries and PNC Bank, National Association as lender and as agent. Pursuant to the terms of the Credit Facility, the Company will be provided a revolving line of credit in a principal amount up to $80.0 million and a single draw term loan (the "Term Loan") 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9" w:name="page80"/>
    <w:bookmarkEnd w:id="79"/>
    <w:p>
      <w:pPr>
        <w:spacing w:after="0" w:line="256" w:lineRule="auto"/>
        <w:rPr>
          <w:sz w:val="20"/>
          <w:szCs w:val="20"/>
          <w:color w:val="auto"/>
        </w:rPr>
      </w:pPr>
      <w:r>
        <w:rPr>
          <w:rFonts w:ascii="Times New Roman" w:cs="Times New Roman" w:eastAsia="Times New Roman" w:hAnsi="Times New Roman"/>
          <w:sz w:val="18"/>
          <w:szCs w:val="18"/>
          <w:color w:val="auto"/>
        </w:rPr>
        <w:t>a principal amount of $25.0 million. The line of credit and the Term Loan mature in March 2029. The Credit Facility amends and restates the Company’s Existing Credit Facility under that certain Amended and Restated Revolving Credit, Term Loan, and Security Agreement, dated as of June 20, 2023, by and among the Company, certain of its subsidiaries, and PNC Bank National Association. Additionally, we are required to make an annual payment of up to $5,000,000, to be determined based on the Excess Cash Flows generated each fiscal year commencing with the year ended December 31, 2024, as defined in the Credit Facility. We expect to make our first payment in April 2025, and accordingly have recorded that amount within current maturities of long-term debt at December 31, 2024.</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interest on the amount drawn on the Credit Facility and the outstanding Term Loan balance are based on the Secured Overnight Financing Rate ("SOFR") or the bank’s base lending rate plus applicable margin (approximately 9.25% and 8.55%, respectively, at December 31, 2024 ). The Credit Facility is collateralized by substantially all the assets of the Company.</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2024 , the Company has drawn $27.1 million against the line of credit. As of December 31, 2024, the term loan has a balance of $21.7 million.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restrictive covenants associated with these borrowings including, but not limited to, a fixed charge ratio, and a minimum amount of undrawn availability. As of December 31, 2024 , the Company was in compliance with all restrictive covenants.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acquisition of EDP, the Company issued an unsecured promissory note to the former parent company of EDP, totaling $5.2 million. The note bears an interest rate of 8% per annum. The note matures in December 2029 and payments are made quarterly. Please refer to </w:t>
      </w:r>
      <w:r>
        <w:rPr>
          <w:rFonts w:ascii="Times New Roman" w:cs="Times New Roman" w:eastAsia="Times New Roman" w:hAnsi="Times New Roman"/>
          <w:sz w:val="18"/>
          <w:szCs w:val="18"/>
          <w:i w:val="1"/>
          <w:iCs w:val="1"/>
          <w:color w:val="auto"/>
        </w:rPr>
        <w:t>Note 3,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for more information surrounding the issuance of the unsecured promissory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future maturities of long-term debt consisted of the following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1420" w:type="dxa"/>
        <w:tblCellMar>
          <w:top w:w="0" w:type="dxa"/>
          <w:left w:w="0" w:type="dxa"/>
          <w:bottom w:w="0" w:type="dxa"/>
          <w:right w:w="0" w:type="dxa"/>
        </w:tblCellMar>
      </w:tblPr>
      <w:tr>
        <w:trPr>
          <w:trHeight w:val="202"/>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5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6,995</w:t>
            </w:r>
          </w:p>
        </w:tc>
        <w:tc>
          <w:tcPr>
            <w:tcW w:w="80" w:type="dxa"/>
            <w:vAlign w:val="bottom"/>
            <w:shd w:val="clear" w:color="auto" w:fill="CFF0FC"/>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5,975</w:t>
            </w:r>
          </w:p>
        </w:tc>
        <w:tc>
          <w:tcPr>
            <w:tcW w:w="80" w:type="dxa"/>
            <w:vAlign w:val="bottom"/>
          </w:tcPr>
          <w:p>
            <w:pPr>
              <w:spacing w:after="0"/>
              <w:rPr>
                <w:sz w:val="17"/>
                <w:szCs w:val="17"/>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6,056</w:t>
            </w:r>
          </w:p>
        </w:tc>
        <w:tc>
          <w:tcPr>
            <w:tcW w:w="80" w:type="dxa"/>
            <w:vAlign w:val="bottom"/>
            <w:shd w:val="clear" w:color="auto" w:fill="CFF0FC"/>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6,143</w:t>
            </w:r>
          </w:p>
        </w:tc>
        <w:tc>
          <w:tcPr>
            <w:tcW w:w="80" w:type="dxa"/>
            <w:vAlign w:val="bottom"/>
          </w:tcPr>
          <w:p>
            <w:pPr>
              <w:spacing w:after="0"/>
              <w:rPr>
                <w:sz w:val="17"/>
                <w:szCs w:val="17"/>
                <w:color w:val="auto"/>
              </w:rPr>
            </w:pPr>
          </w:p>
        </w:tc>
      </w:tr>
      <w:tr>
        <w:trPr>
          <w:trHeight w:val="203"/>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2029</w:t>
            </w:r>
          </w:p>
        </w:tc>
        <w:tc>
          <w:tcPr>
            <w:tcW w:w="5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28,644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long term debt</w:t>
            </w:r>
          </w:p>
        </w:tc>
        <w:tc>
          <w:tcPr>
            <w:tcW w:w="5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53,813</w:t>
            </w:r>
          </w:p>
        </w:tc>
        <w:tc>
          <w:tcPr>
            <w:tcW w:w="80" w:type="dxa"/>
            <w:vAlign w:val="bottom"/>
          </w:tcPr>
          <w:p>
            <w:pPr>
              <w:spacing w:after="0"/>
              <w:rPr>
                <w:sz w:val="17"/>
                <w:szCs w:val="17"/>
                <w:color w:val="auto"/>
              </w:rPr>
            </w:pPr>
          </w:p>
        </w:tc>
      </w:tr>
      <w:tr>
        <w:trPr>
          <w:trHeight w:val="20"/>
        </w:trPr>
        <w:tc>
          <w:tcPr>
            <w:tcW w:w="6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-162560</wp:posOffset>
            </wp:positionV>
            <wp:extent cx="514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Interest Embedded Derivative Liability</w:t>
      </w:r>
    </w:p>
    <w:p>
      <w:pPr>
        <w:spacing w:after="0" w:line="121"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 xml:space="preserve">Under the Credit Facility Agreement, the interest rate will reset (the 'Default Rate') upon the event of a default and an additional 2% will be added to the base rate. The Company analyzed the Default Rate feature of the Credit Facility for derivative accounting consideration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and determined the Default Rate met the definition of a derivative as it is a contingent interest feature. The Company also noted that the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feature (the 'Default Rate Derivative') required bifurcation from the host contract and was to be accounted for at fair value. In accordance with ASC 815-15, the Company bifurcated the Default Rate feature of the note and determined the derivative is liability classified.</w:t>
      </w:r>
    </w:p>
    <w:p>
      <w:pPr>
        <w:spacing w:after="0" w:line="18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Default Rate Derivative is treated as a liability, initially measured at fair value with subsequent changes in fair value recorded in earnings. Management has assessed the probability of occurrence for a non-credit default event and determined the likelihood of a referenced event to be remote. Therefore, the estimated fair value of the Default Rate Derivative was negligible as of December 31, 2024 and 2023 and, therefore, no amounts were recorded as of December 31, 2024 and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income from continuing operations before taxes consisted of amounts related to U.S. operations and income associated with the Company’s foreign operations. The geographical breakdown of the Company’s income before provision for income taxes was as follows (in thousands):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40" w:type="dxa"/>
            <w:vAlign w:val="bottom"/>
            <w:gridSpan w:val="8"/>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gridSpan w:val="2"/>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Profits before provision for income taxes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 expense attributable to income from continuing operations consists of (in thousands):</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7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40" w:type="dxa"/>
            <w:vAlign w:val="bottom"/>
            <w:gridSpan w:val="8"/>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provision for income taxes:</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(1,107 )</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expense (benefit):</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(1,078 )</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(180 )</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(417 )</w:t>
            </w:r>
          </w:p>
        </w:tc>
        <w:tc>
          <w:tcPr>
            <w:tcW w:w="0" w:type="dxa"/>
            <w:vAlign w:val="bottom"/>
          </w:tcPr>
          <w:p>
            <w:pPr>
              <w:spacing w:after="0"/>
              <w:rPr>
                <w:sz w:val="1"/>
                <w:szCs w:val="1"/>
                <w:color w:val="auto"/>
              </w:rPr>
            </w:pPr>
          </w:p>
        </w:tc>
      </w:tr>
      <w:tr>
        <w:trPr>
          <w:trHeight w:val="20"/>
        </w:trPr>
        <w:tc>
          <w:tcPr>
            <w:tcW w:w="75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28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(778 )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provision for income taxes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(30 )</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7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Tax rate reconciliation</w:t>
            </w: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federal statutory rate to the Company’s effective tax rate:</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U.S. federal tax benefit at statutory rate</w:t>
            </w: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7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2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differences related to foreign items</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 pricing</w:t>
            </w:r>
          </w:p>
        </w:tc>
        <w:tc>
          <w:tcPr>
            <w:tcW w:w="2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2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Credits</w:t>
            </w:r>
          </w:p>
        </w:tc>
        <w:tc>
          <w:tcPr>
            <w:tcW w:w="2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 deferred adjustment</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 payable adjustment</w:t>
            </w:r>
          </w:p>
        </w:tc>
        <w:tc>
          <w:tcPr>
            <w:tcW w:w="2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75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25.5 %</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-5262880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-5262880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-3025140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-2733675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-2716530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1371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1371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components of deferred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and carryforwards that give rise to significant portions of the deferred tax assets and deferred tax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are presented below (in thousands):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280" w:type="dxa"/>
            <w:vAlign w:val="bottom"/>
          </w:tcPr>
          <w:p>
            <w:pPr>
              <w:spacing w:after="0"/>
              <w:rPr>
                <w:sz w:val="18"/>
                <w:szCs w:val="18"/>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Bonus accrual</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credits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13,647</w:t>
            </w:r>
          </w:p>
        </w:tc>
        <w:tc>
          <w:tcPr>
            <w:tcW w:w="28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(3,019 )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28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on property, plant, and equipment</w:t>
            </w:r>
          </w:p>
        </w:tc>
        <w:tc>
          <w:tcPr>
            <w:tcW w:w="9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(10,902 )</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(11,391 )</w:t>
            </w: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Withholding tax on unremitted earnings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(431 )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(264 )</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(5,221 )</w:t>
            </w: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(16,554 )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(11,655 )</w:t>
            </w: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liabilities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(5,926 )</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(6,627 )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-1293495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-1010920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December 31, 2024 and 2023, the Company had federal net operating loss carryforward of approximately nil and $4.1 million, respectively, which may be carried forward indefinitely and state and local net operating loss carryforward of approximately $7.0 million and $8.8 million, respectively, which expire at various dates.</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utilization of the Company’s net operating losses may be subject to a limitation due to the “change in ownership provisions” under Section 382 of the Internal Revenue Code and similar state and foreign provisions. Such limitations may result in the expiration of the net operating loss carryforwards before their utilization.</w:t>
      </w:r>
    </w:p>
    <w:p>
      <w:pPr>
        <w:spacing w:after="0" w:line="176"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The Company is subject to income taxes in the U.S. federal jurisdiction, various state jurisdictions as well as Canada. Tax regulations within each jurisdiction are subject to the interpretation of the related tax laws and regulations and require significant judgment to apply. The Company’s tax years remain open for examination by all tax authorities since inception and carryover attributes remain open to adjustment by the U.S. and state authorities.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June 20, 2023, the Company adopted the Drilling Tools International Corporation 2023 Omnibus Incentive Plan (the "2023 Plan"). The 2023 Plan became effective on the closing of the Merger. The 2023 Plan provides for the issuance of shares of Common Stock up to ten percent (10%) of the shares of outstanding Common Stock as of the closing of the Merger and automatically increases on the first trading day of each calendar year by the number of shares of Common Stock equal to three percent (3%) of the total number of outstanding Common Stock on the last day of the prior calendar year. The 2023 Plan allows for awards to be issued to employees, non-employee directors, and consultants in the form of options, stock appreciation rights, restricted shares, restricted stock units, performance based awards, other share-based awards, other cash-based awards, or a combination of the foregoing. As of December 31, 2024, there were 1,056,536 shares of Common Stock available for issuance under the 2023 Plan.</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Merger, all outstanding options to purchase shares of DTIH common stock were canceled and exchanged for options to purchase shares of DTIC Common Stock ("Company Options"). The number of Company Options issued and the associated exercise prices were adjusted using the Common Exchange Ratio used for the Merger (see Note 3,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As a result of the Merger, the Company issued options to purchase a total of 2,361,722 shares of the Company's Common Stock to former holders of the DTIH stock options. The vesting schedules, remaining term, and provisions (other than the adjusted number of underlying shares and exercise prices) of the Company Options issued, are identical to the vesting schedules, remaining term, and other provisions of the DTIH stock options that were exchanged. Per a post-closing amendment, Company Options currently held by former holders of DTIH stock options are no longer subject to employment considerations.</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a Black-Scholes model. Expected volatilities are based on comparable public company data. The Company uses future estimated employee termination and forfeiture rates of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2" w:name="page83"/>
    <w:bookmarkEnd w:id="82"/>
    <w:p>
      <w:pPr>
        <w:spacing w:after="0" w:line="258" w:lineRule="auto"/>
        <w:rPr>
          <w:sz w:val="20"/>
          <w:szCs w:val="20"/>
          <w:color w:val="auto"/>
        </w:rPr>
      </w:pPr>
      <w:r>
        <w:rPr>
          <w:rFonts w:ascii="Times New Roman" w:cs="Times New Roman" w:eastAsia="Times New Roman" w:hAnsi="Times New Roman"/>
          <w:sz w:val="18"/>
          <w:szCs w:val="18"/>
          <w:color w:val="auto"/>
        </w:rPr>
        <w:t>options within the valuation model. The expected term of options granted is derived using the “plain vanilla” method due to the lack of history and volume of option activity at the Company. The risk-free rate is based on the approximate U.S. Treasury yield rate in effect at the time of grant. The Company’s calculation of share price involves the use of different valuation techniques, including a combination of an income and market approach. For any grants of stock options subsequent to the Company being publicly traded, the Company will use the quoted market price as of the grant date as an input into the Black-Scholes model.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options outstanding, as well as activity for the year ended December 31, 2024 and December 31, 2023:</w:t>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2"/>
        </w:trPr>
        <w:tc>
          <w:tcPr>
            <w:tcW w:w="5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8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5"/>
        </w:trPr>
        <w:tc>
          <w:tcPr>
            <w:tcW w:w="5160" w:type="dxa"/>
            <w:vAlign w:val="bottom"/>
          </w:tcPr>
          <w:p>
            <w:pPr>
              <w:spacing w:after="0"/>
              <w:rPr>
                <w:sz w:val="18"/>
                <w:szCs w:val="18"/>
                <w:color w:val="auto"/>
              </w:rPr>
            </w:pPr>
          </w:p>
        </w:tc>
        <w:tc>
          <w:tcPr>
            <w:tcW w:w="12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19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December 31, 2022</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2,494,097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4.04</w:t>
            </w:r>
          </w:p>
        </w:tc>
        <w:tc>
          <w:tcPr>
            <w:tcW w:w="1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11,687</w:t>
            </w: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(132,375 )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2,361,722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4.02</w:t>
            </w:r>
          </w:p>
        </w:tc>
        <w:tc>
          <w:tcPr>
            <w:tcW w:w="1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2,670,374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3.04</w:t>
            </w:r>
          </w:p>
        </w:tc>
        <w:tc>
          <w:tcPr>
            <w:tcW w:w="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(68,470 )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December 31, 2024</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4,963,626</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677</w:t>
            </w:r>
          </w:p>
        </w:tc>
      </w:tr>
      <w:tr>
        <w:trPr>
          <w:trHeight w:val="18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UNVESTED, December 31, 2024</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2,600,000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3.02</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r>
      <w:tr>
        <w:trPr>
          <w:trHeight w:val="20"/>
        </w:trPr>
        <w:tc>
          <w:tcPr>
            <w:tcW w:w="5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December 31, 2024</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2,363,626</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-334010</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-316230</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-334010</wp:posOffset>
            </wp:positionV>
            <wp:extent cx="596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-316230</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-334010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-316230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596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96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$1.7 million of stock-based compensation expense within selling, general, and administrative expense on the consolidated statements of income and comprehensive income related to the accelerated vesting of an executive's 534,063 performance-based stock options. The performance conditions were satisfied upon completion of the Merger and all 534,063 performance-based stock options vested on June 20, 2023.</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During the year ended December 31, 2023, the Company recognized $2.3 million of stock-based compensation expense within other expense, net on the consolidated statements of income and comprehensive income as a result of the issuance of shares in accordance with the TSA with HHLLC (see Note 3 -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$1.4 million of stock-based compensation expense related to stock options within selling, general, and administrative expenses on the consolidated statements of income and comprehensive income. As of December 31, 2024, total unrecognized compensation expense related to the stock options totaled $3.1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May 2024, the Company issued an aggregate 143,000 restricted stock units (“RSUs”) to five members of the Board (the “Directors”). Of the awards, 74,440 RSUs were deemed to be related to services performed during the year ended December 31, 2023, and were to vest immediately, while the remaining 68,560 RSUs are subject to a vesting term of one year. The Directors are considered to be employees of the Company under ASC 718.</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year ended December 31, 2024, the Company recognized $0.7 million of stock based compensation related to RSUs within selling, general, and administrative expenses on the consolidated statements of income and comprehensive income. As of December 31, 2024, unrecognized compensation expense related to the RSUs totaled $0.1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NOTE 13 – OTHER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expenses, net for the years ended December 31, 2024, and 2023 (in thousands):</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6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19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HHLLC stock-based compensation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(2,339 )</w:t>
            </w: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Transaction fees</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(3,640 )</w:t>
            </w:r>
          </w:p>
        </w:tc>
      </w:tr>
      <w:tr>
        <w:trPr>
          <w:trHeight w:val="20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net</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(664 )</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(428 )</w:t>
            </w: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197</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r>
      <w:tr>
        <w:trPr>
          <w:trHeight w:val="23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(7,503 )</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(6,359 )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-24765</wp:posOffset>
            </wp:positionV>
            <wp:extent cx="857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857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31"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2024 and 2023, management fees paid to Hicks Holdings Operating LLC, a shareholder of the Company, were approximately $0.8 million and $1.1 million, respectively. Management fees paid to the shareholder are included in selling, general and administrative expense in the accompanying consolidated statements of income and comprehensive income.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fees</w:t>
      </w:r>
    </w:p>
    <w:p>
      <w:pPr>
        <w:spacing w:after="0" w:line="31" w:lineRule="exact"/>
        <w:rPr>
          <w:sz w:val="20"/>
          <w:szCs w:val="20"/>
          <w:color w:val="auto"/>
        </w:rPr>
      </w:pPr>
    </w:p>
    <w:p>
      <w:pPr>
        <w:ind w:right="640"/>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2024 and 2023, director fees paid to our Board of Directors were approximately $0.6 million and $0.2 million, respectively. Director fees are included in selling, general and administrative expense in the accompanying consolidated statements of income and comprehensive income.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 xml:space="preserve">For the years ended December 31, 2024 and 2023, the Company paid rent expense to Cree Investments, LLC, a shareholder of the Company, of approximately $51 thousand and $51 thousand, respectively, relating to the lease of a building. Future minimum lease payments related to this lease are included in the future minimum lease schedule in Note 7, </w:t>
      </w:r>
      <w:r>
        <w:rPr>
          <w:rFonts w:ascii="Times New Roman" w:cs="Times New Roman" w:eastAsia="Times New Roman" w:hAnsi="Times New Roman"/>
          <w:sz w:val="18"/>
          <w:szCs w:val="18"/>
          <w:i w:val="1"/>
          <w:iCs w:val="1"/>
          <w:color w:val="auto"/>
        </w:rPr>
        <w:t>Leases.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Upon consummation of the Merger on June 20, 2023, the Company issued shares of DTIC Common Stock in connection with the PIPE Financing to payoff convertible promissory notes which were issued to an affiliate of the ROC Sponsor on December 6, 2022 and March 2, 2023, respectively. The notes did not bear interest and were in the amounts of $2.1 million and $2.1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Prior to the Merger on June 20, 2023, ROC paid the remaining outstanding principal amount owed to an affiliate of the ROC Sponsor in the amount of $0.4 million for a loan to fund working capital deficiencies and finance transaction costs in connection with the Merger. The loan did not bear interest.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trucks</w:t>
      </w:r>
    </w:p>
    <w:p>
      <w:pPr>
        <w:spacing w:after="0" w:line="3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Company sold two trucks to employees of the Company. The transactions were conducted at fair market value, with a total sales price of $0.1 million. As of December 31, 2024, the Company did not have any receivables recorded on the consolidated balance sheet related to this transaction.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 Receivable</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On July 31, 2024 ("Closing Date"), the Company entered into the Sixth Amendment and Restated Promissory Note with Tronco Energy Corporation ("Tronco"), an entity owned by employees of the Company. Pursuant to the Sixth Amendment and Restated Promissory Note, Tronco will make payments to the Company of $1.3 million annually, commencing on the first anniversary of the Closing Date through the fifth anniversary of the Closing Date. Per the agreement, if the 20-day average stock price of DTI falls below $3.20 per share, the principal that otherwise would have been due shall be deferred and apportioned over the remaining payment dates under specified in the agreement. Any payments due and not received by the Company before the fifth date following the anniversary date will bear interest from the date of nonpayment until paid equal to 3%. In accordance with ASC 805, the receivables fair value was measured at the present value of future cash flows upon the Closing Date. The carrying value of the note as of December 31, 2024 was $5.2 million.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maintains operating leases for various facilities and vehicles. 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proceedings in the ordinary course of its business and may be subject to third-party infringement claims.</w:t>
      </w:r>
    </w:p>
    <w:p>
      <w:pPr>
        <w:spacing w:after="0" w:line="1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is required to pay a monthly management fee to a shareholder. The fee is based upon a percentage of the Company’s trailing twelve months, earnings before interest, taxes and accumulated depreciation amount, as defined in the management agreement (refer to Note 14 – Related Parties Transactions).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EMPLOYEE BENEFIT PLANS</w:t>
      </w:r>
    </w:p>
    <w:p>
      <w:pPr>
        <w:spacing w:after="0" w:line="337"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Company sponsors various defined contribution savings plan, primarily in the U.S., that allow employees to contribute a portion of their pre-tax and/or after-tax income in accordance with specified guidelines. Under specified conditions, the Company will make contributions to the plans and/or match a percentage of the employee contributions up to certain limits. Total expense related to the defined contribution plans for the years ended December 31, 2024 and 2023 was $0.7 million and $0.5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EARNINGS PER SHARE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earnings per share for the years ended December 31, 2024 and 2023 (in thousands, except share and per share data):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13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9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66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Numerator:</w:t>
            </w:r>
          </w:p>
        </w:tc>
        <w:tc>
          <w:tcPr>
            <w:tcW w:w="13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tcPr>
          <w:p>
            <w:pPr>
              <w:jc w:val="right"/>
              <w:ind w:right="1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3,014</w:t>
            </w:r>
          </w:p>
        </w:tc>
        <w:tc>
          <w:tcPr>
            <w:tcW w:w="920" w:type="dxa"/>
            <w:vAlign w:val="bottom"/>
            <w:gridSpan w:val="2"/>
          </w:tcPr>
          <w:p>
            <w:pPr>
              <w:jc w:val="right"/>
              <w:ind w:right="6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14,748</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Less: Redeemable Convertible Preferred Stock dividends</w:t>
            </w:r>
          </w:p>
        </w:tc>
        <w:tc>
          <w:tcPr>
            <w:tcW w:w="13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(314 )</w:t>
            </w:r>
          </w:p>
        </w:tc>
        <w:tc>
          <w:tcPr>
            <w:tcW w:w="0" w:type="dxa"/>
            <w:vAlign w:val="bottom"/>
          </w:tcPr>
          <w:p>
            <w:pPr>
              <w:spacing w:after="0"/>
              <w:rPr>
                <w:sz w:val="1"/>
                <w:szCs w:val="1"/>
                <w:color w:val="auto"/>
              </w:rPr>
            </w:pPr>
          </w:p>
        </w:tc>
      </w:tr>
      <w:tr>
        <w:trPr>
          <w:trHeight w:val="129"/>
        </w:trPr>
        <w:tc>
          <w:tcPr>
            <w:tcW w:w="66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Net income attributable to common shareholders — basic</w:t>
            </w:r>
          </w:p>
        </w:tc>
        <w:tc>
          <w:tcPr>
            <w:tcW w:w="1320" w:type="dxa"/>
            <w:vAlign w:val="bottom"/>
          </w:tcPr>
          <w:p>
            <w:pPr>
              <w:jc w:val="right"/>
              <w:ind w:right="1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3,014</w:t>
            </w:r>
          </w:p>
        </w:tc>
        <w:tc>
          <w:tcPr>
            <w:tcW w:w="920" w:type="dxa"/>
            <w:vAlign w:val="bottom"/>
            <w:gridSpan w:val="2"/>
          </w:tcPr>
          <w:p>
            <w:pPr>
              <w:jc w:val="right"/>
              <w:ind w:right="6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14,434</w:t>
            </w:r>
          </w:p>
        </w:tc>
        <w:tc>
          <w:tcPr>
            <w:tcW w:w="0" w:type="dxa"/>
            <w:vAlign w:val="bottom"/>
          </w:tcPr>
          <w:p>
            <w:pPr>
              <w:spacing w:after="0"/>
              <w:rPr>
                <w:sz w:val="1"/>
                <w:szCs w:val="1"/>
                <w:color w:val="auto"/>
              </w:rPr>
            </w:pPr>
          </w:p>
        </w:tc>
      </w:tr>
      <w:tr>
        <w:trPr>
          <w:trHeight w:val="148"/>
        </w:trPr>
        <w:tc>
          <w:tcPr>
            <w:tcW w:w="666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Add: Redeemable Convertible Preferred Stock dividends</w:t>
            </w:r>
          </w:p>
        </w:tc>
        <w:tc>
          <w:tcPr>
            <w:tcW w:w="13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42"/>
        </w:trPr>
        <w:tc>
          <w:tcPr>
            <w:tcW w:w="66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attributable to common shareholders — diluted</w:t>
            </w:r>
          </w:p>
        </w:tc>
        <w:tc>
          <w:tcPr>
            <w:tcW w:w="1320" w:type="dxa"/>
            <w:vAlign w:val="bottom"/>
          </w:tcPr>
          <w:p>
            <w:pPr>
              <w:jc w:val="right"/>
              <w:ind w:right="1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3,014</w:t>
            </w:r>
          </w:p>
        </w:tc>
        <w:tc>
          <w:tcPr>
            <w:tcW w:w="920" w:type="dxa"/>
            <w:vAlign w:val="bottom"/>
            <w:gridSpan w:val="2"/>
          </w:tcPr>
          <w:p>
            <w:pPr>
              <w:jc w:val="right"/>
              <w:ind w:right="6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14,748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6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Denominator</w:t>
            </w:r>
          </w:p>
        </w:tc>
        <w:tc>
          <w:tcPr>
            <w:tcW w:w="13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Weighted-average common shares used in computing earnings per share — basic</w:t>
            </w:r>
          </w:p>
        </w:tc>
        <w:tc>
          <w:tcPr>
            <w:tcW w:w="132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31,938,847</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21,421,610</w:t>
            </w:r>
          </w:p>
        </w:tc>
        <w:tc>
          <w:tcPr>
            <w:tcW w:w="0" w:type="dxa"/>
            <w:vAlign w:val="bottom"/>
          </w:tcPr>
          <w:p>
            <w:pPr>
              <w:spacing w:after="0"/>
              <w:rPr>
                <w:sz w:val="1"/>
                <w:szCs w:val="1"/>
                <w:color w:val="auto"/>
              </w:rPr>
            </w:pPr>
          </w:p>
        </w:tc>
      </w:tr>
      <w:tr>
        <w:trPr>
          <w:trHeight w:val="148"/>
        </w:trPr>
        <w:tc>
          <w:tcPr>
            <w:tcW w:w="66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Weighted-average effect of potentially dilutive securities:</w:t>
            </w:r>
          </w:p>
        </w:tc>
        <w:tc>
          <w:tcPr>
            <w:tcW w:w="13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Effect of potentially dilutive time-based stock options</w:t>
            </w:r>
          </w:p>
        </w:tc>
        <w:tc>
          <w:tcPr>
            <w:tcW w:w="132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311,277</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488,997</w:t>
            </w:r>
          </w:p>
        </w:tc>
        <w:tc>
          <w:tcPr>
            <w:tcW w:w="0" w:type="dxa"/>
            <w:vAlign w:val="bottom"/>
          </w:tcPr>
          <w:p>
            <w:pPr>
              <w:spacing w:after="0"/>
              <w:rPr>
                <w:sz w:val="1"/>
                <w:szCs w:val="1"/>
                <w:color w:val="auto"/>
              </w:rPr>
            </w:pPr>
          </w:p>
        </w:tc>
      </w:tr>
      <w:tr>
        <w:trPr>
          <w:trHeight w:val="149"/>
        </w:trPr>
        <w:tc>
          <w:tcPr>
            <w:tcW w:w="66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Effect of potentially dilutive performance-based stock options</w:t>
            </w:r>
          </w:p>
        </w:tc>
        <w:tc>
          <w:tcPr>
            <w:tcW w:w="13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41,033</w:t>
            </w: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45,202</w:t>
            </w:r>
          </w:p>
        </w:tc>
        <w:tc>
          <w:tcPr>
            <w:tcW w:w="0" w:type="dxa"/>
            <w:vAlign w:val="bottom"/>
          </w:tcPr>
          <w:p>
            <w:pPr>
              <w:spacing w:after="0"/>
              <w:rPr>
                <w:sz w:val="1"/>
                <w:szCs w:val="1"/>
                <w:color w:val="auto"/>
              </w:rPr>
            </w:pPr>
          </w:p>
        </w:tc>
      </w:tr>
      <w:tr>
        <w:trPr>
          <w:trHeight w:val="148"/>
        </w:trPr>
        <w:tc>
          <w:tcPr>
            <w:tcW w:w="6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Effect of potentially dilutive restricted stock units</w:t>
            </w:r>
          </w:p>
        </w:tc>
        <w:tc>
          <w:tcPr>
            <w:tcW w:w="132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17,022</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666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Effect of potentially dilutive redeemable convertible</w:t>
            </w:r>
          </w:p>
        </w:tc>
        <w:tc>
          <w:tcPr>
            <w:tcW w:w="132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3,175,215</w:t>
            </w:r>
          </w:p>
        </w:tc>
        <w:tc>
          <w:tcPr>
            <w:tcW w:w="0" w:type="dxa"/>
            <w:vAlign w:val="bottom"/>
          </w:tcPr>
          <w:p>
            <w:pPr>
              <w:spacing w:after="0"/>
              <w:rPr>
                <w:sz w:val="1"/>
                <w:szCs w:val="1"/>
                <w:color w:val="auto"/>
              </w:rPr>
            </w:pPr>
          </w:p>
        </w:tc>
      </w:tr>
      <w:tr>
        <w:trPr>
          <w:trHeight w:val="158"/>
        </w:trPr>
        <w:tc>
          <w:tcPr>
            <w:tcW w:w="6660" w:type="dxa"/>
            <w:vAlign w:val="bottom"/>
            <w:tcBorders>
              <w:bottom w:val="single" w:sz="8" w:color="CFF0FC"/>
            </w:tcBorders>
            <w:shd w:val="clear" w:color="auto" w:fill="CFF0FC"/>
          </w:tcPr>
          <w:p>
            <w:pPr>
              <w:ind w:left="220"/>
              <w:spacing w:after="0" w:line="158" w:lineRule="exact"/>
              <w:rPr>
                <w:sz w:val="20"/>
                <w:szCs w:val="20"/>
                <w:color w:val="auto"/>
              </w:rPr>
            </w:pPr>
            <w:r>
              <w:rPr>
                <w:rFonts w:ascii="Times New Roman" w:cs="Times New Roman" w:eastAsia="Times New Roman" w:hAnsi="Times New Roman"/>
                <w:sz w:val="14"/>
                <w:szCs w:val="14"/>
                <w:color w:val="auto"/>
              </w:rPr>
              <w:t>preferred stock</w:t>
            </w:r>
          </w:p>
        </w:tc>
        <w:tc>
          <w:tcPr>
            <w:tcW w:w="13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Weighted-average common shares outstanding — diluted</w:t>
            </w:r>
          </w:p>
        </w:tc>
        <w:tc>
          <w:tcPr>
            <w:tcW w:w="1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32,308,179</w:t>
            </w:r>
          </w:p>
        </w:tc>
        <w:tc>
          <w:tcPr>
            <w:tcW w:w="1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25,131,024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6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Earnings per share — basic</w:t>
            </w:r>
          </w:p>
        </w:tc>
        <w:tc>
          <w:tcPr>
            <w:tcW w:w="1320" w:type="dxa"/>
            <w:vAlign w:val="bottom"/>
            <w:tcBorders>
              <w:bottom w:val="single" w:sz="8" w:color="auto"/>
            </w:tcBorders>
            <w:shd w:val="clear" w:color="auto" w:fill="CFF0FC"/>
          </w:tcPr>
          <w:p>
            <w:pPr>
              <w:jc w:val="right"/>
              <w:ind w:right="1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0.09</w:t>
            </w: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6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0.67</w:t>
            </w:r>
          </w:p>
        </w:tc>
        <w:tc>
          <w:tcPr>
            <w:tcW w:w="0" w:type="dxa"/>
            <w:vAlign w:val="bottom"/>
          </w:tcPr>
          <w:p>
            <w:pPr>
              <w:spacing w:after="0"/>
              <w:rPr>
                <w:sz w:val="1"/>
                <w:szCs w:val="1"/>
                <w:color w:val="auto"/>
              </w:rPr>
            </w:pPr>
          </w:p>
        </w:tc>
      </w:tr>
      <w:tr>
        <w:trPr>
          <w:trHeight w:val="129"/>
        </w:trPr>
        <w:tc>
          <w:tcPr>
            <w:tcW w:w="66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Earnings per share — diluted</w:t>
            </w:r>
          </w:p>
        </w:tc>
        <w:tc>
          <w:tcPr>
            <w:tcW w:w="1320" w:type="dxa"/>
            <w:vAlign w:val="bottom"/>
          </w:tcPr>
          <w:p>
            <w:pPr>
              <w:jc w:val="right"/>
              <w:ind w:right="1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0.09</w:t>
            </w:r>
          </w:p>
        </w:tc>
        <w:tc>
          <w:tcPr>
            <w:tcW w:w="920" w:type="dxa"/>
            <w:vAlign w:val="bottom"/>
            <w:gridSpan w:val="2"/>
          </w:tcPr>
          <w:p>
            <w:pPr>
              <w:jc w:val="right"/>
              <w:ind w:right="6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0.59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-1456690</wp:posOffset>
            </wp:positionV>
            <wp:extent cx="857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-1439545</wp:posOffset>
            </wp:positionV>
            <wp:extent cx="857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-1242060</wp:posOffset>
            </wp:positionV>
            <wp:extent cx="857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-367665</wp:posOffset>
            </wp:positionV>
            <wp:extent cx="857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-144780</wp:posOffset>
            </wp:positionV>
            <wp:extent cx="857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-128270</wp:posOffset>
            </wp:positionV>
            <wp:extent cx="857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5" w:name="page86"/>
    <w:bookmarkEnd w:id="85"/>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Company’s potentially dilutive securities consisted of options to purchase common stock. The Company excluded the following potential common shares, presented based on amounts outstanding at each period end, from the computation of diluted net income per share for the periods presented because including them would have had an anti-dilutive effect:</w:t>
      </w:r>
    </w:p>
    <w:p>
      <w:pPr>
        <w:spacing w:after="0" w:line="196"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560" w:type="dxa"/>
            <w:vAlign w:val="bottom"/>
          </w:tcPr>
          <w:p>
            <w:pPr>
              <w:spacing w:after="0"/>
              <w:rPr>
                <w:sz w:val="12"/>
                <w:szCs w:val="12"/>
                <w:color w:val="auto"/>
              </w:rPr>
            </w:pPr>
          </w:p>
        </w:tc>
        <w:tc>
          <w:tcPr>
            <w:tcW w:w="104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06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Time-based options outstanding</w:t>
            </w:r>
          </w:p>
        </w:tc>
        <w:tc>
          <w:tcPr>
            <w:tcW w:w="10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140,135</w:t>
            </w:r>
          </w:p>
        </w:tc>
        <w:tc>
          <w:tcPr>
            <w:tcW w:w="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140,135</w:t>
            </w: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140,135</w:t>
            </w: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140,135</w:t>
            </w:r>
          </w:p>
        </w:tc>
      </w:tr>
      <w:tr>
        <w:trPr>
          <w:trHeight w:val="20"/>
        </w:trPr>
        <w:tc>
          <w:tcPr>
            <w:tcW w:w="4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-170815</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CODM in deciding resource allocation and assessing performance. The Company’s Chief Executive Officer serves as the CODM. The Company’s CODM reviews financial information presented on a consolidated basis for the purposes of making operational decisions, allocating resources, and evaluating financial performance. Consequently, the Company has determined it has one operating and reportable segment as of December 31, 2024.</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single segment derives revenues from customers by providing oilfield equipment and services to operators in the oil and natural gas sectors. The CODM assesses performance for the single segment and decides how to allocate resources by using consolidated net income as reported on the consolidated statements of income and comprehensive income. The Company’s CODM does not review segment assets at a different level or category than those disclosed in the consolidated balance sheet. The CODM uses consolidated net income predominantly in the annual budget and forecasting process. The CODM considers budget-to-actual variances on a monthly basis to forecast future performance, adjust the budget, and make decisions about the allocation of operating and capital resources to the segment.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about segment revenue, significant expenses, other segment items, and segment net income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9"/>
        </w:trPr>
        <w:tc>
          <w:tcPr>
            <w:tcW w:w="7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154,446</w:t>
            </w:r>
          </w:p>
        </w:tc>
        <w:tc>
          <w:tcPr>
            <w:tcW w:w="5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152,034</w:t>
            </w:r>
          </w:p>
        </w:tc>
      </w:tr>
      <w:tr>
        <w:trPr>
          <w:trHeight w:val="20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Cost of sales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38,491</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35,519</w:t>
            </w:r>
          </w:p>
        </w:tc>
      </w:tr>
      <w:tr>
        <w:trPr>
          <w:trHeight w:val="203"/>
        </w:trPr>
        <w:tc>
          <w:tcPr>
            <w:tcW w:w="7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general, and administrative expenses</w:t>
            </w:r>
          </w:p>
        </w:tc>
        <w:tc>
          <w:tcPr>
            <w:tcW w:w="3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76,801</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66,655</w:t>
            </w:r>
          </w:p>
        </w:tc>
      </w:tr>
      <w:tr>
        <w:trPr>
          <w:trHeight w:val="203"/>
        </w:trPr>
        <w:tc>
          <w:tcPr>
            <w:tcW w:w="7860" w:type="dxa"/>
            <w:vAlign w:val="bottom"/>
            <w:shd w:val="clear" w:color="auto" w:fill="CFF0FC"/>
          </w:tcPr>
          <w:p>
            <w:pPr>
              <w:ind w:left="120"/>
              <w:spacing w:after="0" w:line="203"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(1)</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8,969</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8,611</w:t>
            </w:r>
          </w:p>
        </w:tc>
      </w:tr>
      <w:tr>
        <w:trPr>
          <w:trHeight w:val="203"/>
        </w:trPr>
        <w:tc>
          <w:tcPr>
            <w:tcW w:w="7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23,832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20,352</w:t>
            </w:r>
          </w:p>
        </w:tc>
      </w:tr>
      <w:tr>
        <w:trPr>
          <w:trHeight w:val="203"/>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3,369</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1,103</w:t>
            </w:r>
          </w:p>
        </w:tc>
      </w:tr>
      <w:tr>
        <w:trPr>
          <w:trHeight w:val="203"/>
        </w:trPr>
        <w:tc>
          <w:tcPr>
            <w:tcW w:w="7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5,046</w:t>
            </w:r>
          </w:p>
        </w:tc>
      </w:tr>
      <w:tr>
        <w:trPr>
          <w:trHeight w:val="236"/>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net income (loss)</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3,014</w:t>
            </w:r>
          </w:p>
        </w:tc>
        <w:tc>
          <w:tcPr>
            <w:tcW w:w="1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14,748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-24765</wp:posOffset>
            </wp:positionV>
            <wp:extent cx="1111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1111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9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(1) Other segment items included in segment net income include monitoring fees, miscellaneous expense (income), stock expense, and transaction expenses.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Reportable Segments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Beginning in January 2025, coinciding with the closing of the Company’s acquisition of Titan Tools Services Limited, the Company has realigned its operations to support its strategic initiatives to expand its global operations and reach new markets, particularly in the Eastern Hemisphere. As a result, the Company realigned its reportable segments to correspond with changes to its operating model, management structure, and organizational responsibilities. Effective January 2, 2025, the Company will bifurcate its results into two segments: Eastern Hemisphere and Western Hemisphere. As of December 31, 2024, this realignment has not been reflected within the Company’s financial statements. Beginning with the first quarter in 2025, Form 10-Q will reflect the new reportable segments and corresponding information for prior periods will be retrospectively revised to reflect this change in reportable segments.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Titan Tools Services Ltd.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6" w:name="page87"/>
    <w:bookmarkEnd w:id="86"/>
    <w:p>
      <w:pPr>
        <w:spacing w:after="0" w:line="255" w:lineRule="auto"/>
        <w:rPr>
          <w:sz w:val="20"/>
          <w:szCs w:val="20"/>
          <w:color w:val="auto"/>
        </w:rPr>
      </w:pPr>
      <w:r>
        <w:rPr>
          <w:rFonts w:ascii="Times New Roman" w:cs="Times New Roman" w:eastAsia="Times New Roman" w:hAnsi="Times New Roman"/>
          <w:sz w:val="18"/>
          <w:szCs w:val="18"/>
          <w:color w:val="auto"/>
        </w:rPr>
        <w:t>On January 2, 2025, the Company announced the closing of a share purchase agreement (the “Titan Purchase Agreement”, the “Agreement”) to acquire one hundred percent (100%) of the shares of Titan Tools Services Limited, a Scottish limited company (“Titan”). Titan is a downhole tool rental company that specializes in renting, servicing, and manufacturing advanced drilling equipment for the oil, gas, and geothermal industries. Consideration for the Titan acquisition primarily consists of (i) £4.9 million in cash, as adjusted for cash acquired and other items pursuant to the Agreement, and (ii) 0.9 million shares of the Company’s common stock . The initial accounting for this business combination is in process, which includes conducting a valuation analysis to value the assets and liabilities assumed as a result of the transaction. As such, the impact on the consolidated financial statements cannot be estimated at this time.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Grant</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February 28, 2025, the Company issued restricted stock units (“2025 RSUs”) to members of the Company’s management team. A total of 909,321 units were granted. Each of the 2025 RSUs vest in substantially equal installments on each of the first four (4) anniversaries of the grant date. The 2025 RSUs were issued with a grant date fair value of $3.23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and principal financial officers, to allow timely decisions regarding required disclosure. Management is responsible for establishing and maintaining adequate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required by Rule 13a-15 under the Exchange Act, management has evaluated, with the participation of our Chief Executive Officer and Chief Financial Officer, the effectiveness of our disclosure controls and procedures in effect as of December 31, 2024, the end of the period covered by this Report, using the Internal Control Integrated Framework (“ICIF”) by the Committee of Sponsoring Organizations (COSO). As a result of management’s evaluation, our Chief Executive Officer and Chief Financial Officer concluded that our disclosure controls and procedures were not effective at a reasonable assurance level as of December 31, 2024.</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were not effective as of December 31, 2024because all findings in connection with our preparation and the audit of our consolidated financial statements as of and for the year ended December 31, 2022 and December 31, 2023, have not been fully remediated despite ongoing projects and improvements made in the current year. As a result, we were not able to rely upon the disclosure controls and procedures that were in place as of December 31, 2024 and we continue to have a material weakness in our internal control over financial reporting. This material weakness is described in more detail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Reported Material Weaknesses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management previously determined that material weaknesses in our internal control over financial reporting existed related to the design and maintenance of internal controls commensurate with our financial reporting requirements. In connection with our preparation and the audit of our consolidated financial statements as of and for the year ended December 31, 2022 , we identified the following deficiencies in the design or operation of our internal controls to be a material weakness:</w:t>
      </w:r>
    </w:p>
    <w:p>
      <w:pPr>
        <w:spacing w:after="0" w:line="72"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promote effective internal control over financial reporting throughout the Company’s management structure;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effective risk assessment controls to identify financial reporting risks and reacting to changes in the operating environment that could have a material effect on financial reporting;</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documentation and monitoring of information technology (“IT”) general controls and cyber-security processes within the Company’s IT environment, including access controls and segregation of duties between key IT functions;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monitoring activities to assess the operation of internal control over financial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2023 and 2024, management made significant progress on remediation initiatives in response to the previously identified material weakness.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remedial actions included:</w:t>
      </w:r>
    </w:p>
    <w:p>
      <w:pPr>
        <w:spacing w:after="0" w:line="315" w:lineRule="exact"/>
        <w:rPr>
          <w:sz w:val="20"/>
          <w:szCs w:val="20"/>
          <w:color w:val="auto"/>
        </w:rPr>
      </w:pPr>
    </w:p>
    <w:p>
      <w:pPr>
        <w:ind w:left="1020" w:right="8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personnel in our finance department with experience commensurate with our financial accounting and reporting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policy requiring SOX training, and performing a full-day SOX training, for all process and control owners;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risk assessment process to identify key accounts and systems and their related risks; and</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segregation of duties assessment over the IT systems to cover both IT and business process related conflicts by highlighting mitigating controls for high and medium risk areas..</w:t>
      </w:r>
    </w:p>
    <w:p>
      <w:pPr>
        <w:spacing w:after="0" w:line="37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a result, we have concluded that our remediation efforts have been successful and that the first three previously identified material weaknesses were remediated as of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continuing it's effort to remediate the fourth material weakness.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Remediation Efforts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above, management believes that the following material is not yet remediated;</w:t>
      </w:r>
    </w:p>
    <w:p>
      <w:pPr>
        <w:spacing w:after="0" w:line="117" w:lineRule="exact"/>
        <w:rPr>
          <w:sz w:val="20"/>
          <w:szCs w:val="20"/>
          <w:color w:val="auto"/>
        </w:rPr>
      </w:pPr>
    </w:p>
    <w:p>
      <w:pPr>
        <w:ind w:right="3060" w:firstLine="517"/>
        <w:spacing w:after="0" w:line="532" w:lineRule="auto"/>
        <w:tabs>
          <w:tab w:leader="none" w:pos="10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monitoring activities to assess the operation of internal control over financial reporting; We have made progress towards remediation of the remaining material weakness with the following steps: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plan to monitor and assess the established control environment;</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a periodic testing plan to assess the design of implemented controls covering all material business processes and systems;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the testing plan as designed;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results of testing to management and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work performed in 2024, management has identified the below areas for improvement to fully remediate the fourth material weakness:</w:t>
      </w:r>
    </w:p>
    <w:p>
      <w:pPr>
        <w:spacing w:after="0" w:line="333"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should be trained on Information Produced by Entity (IPE) and IPE procedures should be built into internal controls and tested;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greater precision of evidence related to the performance of both the business process and IT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refine and assess controls over gaps identified from previous years and during our remediation efforts;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execution of IT and business process controls throughout the year.</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process of maintaining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elements of our remediation plan can only be accomplished over time, and we can offer no assurance that these initiatives will ultimately have the intended effects.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2024, we made three acquisitions that impacted the control environment. On March 18, 2024, we completed the acquisition of Deep Casing Tools (“DCT”). On August 1, 2024, we completed the acquisition of Superior Drilling Products. As part of the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88" w:name="page89"/>
    <w:bookmarkEnd w:id="88"/>
    <w:p>
      <w:pPr>
        <w:spacing w:after="0" w:line="261" w:lineRule="auto"/>
        <w:rPr>
          <w:sz w:val="20"/>
          <w:szCs w:val="20"/>
          <w:color w:val="auto"/>
        </w:rPr>
      </w:pPr>
      <w:r>
        <w:rPr>
          <w:rFonts w:ascii="Times New Roman" w:cs="Times New Roman" w:eastAsia="Times New Roman" w:hAnsi="Times New Roman"/>
          <w:sz w:val="18"/>
          <w:szCs w:val="18"/>
          <w:color w:val="auto"/>
        </w:rPr>
        <w:t>acquisition, the Superior was renamed to Diamond Products Drilling (“DPD”). On October 3, 2024, we completed the acquisition of European Drilling Projects (“EDP”). We are permitted to omit an assessment of an acquired business' internal control over financial reporting from our assessment of internal control over financial reporting for a period not to exceed one year from the date of the acquisition. Accordingly, we have excluded the internal control over financial reporting of DPD, DCT, and EDP from management's assessment of internal control over financial reporting as of December 31,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assets of DCT, DPD, EDP represent approximately 10%, 23% and 7%, respectively, of the related consolidated financial statement amounts as of and for the year ended December 31, 2024.</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total revenues of DCT, DPD, EDP represent approximately 5%, 2% and less than 1%, respectively, of the related consolidated financial statement amounts as of and for the year ended December 31,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other changes in our internal control environment during the most recently completed fiscal quarter ended December 31, 2024, as defined in Rules 13a-15(f) and 15d-15(f) under the Exchange Act)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right="52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89" w:name="page90"/>
    <w:bookmarkEnd w:id="89"/>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(and only such information) is incorporated by reference to our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(and only such information) is incorporated by reference to our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(and only such information) is incorporated by reference to our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(and only such information) is incorporated by reference to our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5540" w:right="1539" w:hanging="5525"/>
        <w:spacing w:after="0" w:line="532" w:lineRule="auto"/>
        <w:rPr>
          <w:sz w:val="20"/>
          <w:szCs w:val="20"/>
          <w:color w:val="auto"/>
        </w:rPr>
      </w:pPr>
      <w:r>
        <w:rPr>
          <w:rFonts w:ascii="Times New Roman" w:cs="Times New Roman" w:eastAsia="Times New Roman" w:hAnsi="Times New Roman"/>
          <w:sz w:val="18"/>
          <w:szCs w:val="18"/>
          <w:color w:val="auto"/>
        </w:rPr>
        <w:t>The information required by this item (and only such information) is incorporated by reference to our Proxy Statement.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90" w:name="page91"/>
    <w:bookmarkEnd w:id="9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Financial Statement</w:t>
      </w:r>
    </w:p>
    <w:p>
      <w:pPr>
        <w:spacing w:after="0" w:line="121"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Drilling Tools International Corporation and the Report of Independent Registered Public Accounting Firm are included in Part II, Item 8. Of this Annual Report. Reference is made to the accompanying Index to Consolidated Financial Statements.</w:t>
      </w:r>
    </w:p>
    <w:p>
      <w:pPr>
        <w:spacing w:after="0" w:line="266"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Financial Statement Schedules</w:t>
      </w:r>
    </w:p>
    <w:p>
      <w:pPr>
        <w:spacing w:after="0" w:line="121"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or the required information presented in the financial statements or the notes thereto.</w:t>
      </w:r>
    </w:p>
    <w:p>
      <w:pPr>
        <w:spacing w:after="0" w:line="266"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Index to Exhibits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exhibits required to be filed or furnished pursuant to Item 601 of Regulation S-K are set forth below.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1" w:right="49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gridSpan w:val="30"/>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gridSpan w:val="30"/>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360" w:type="dxa"/>
            <w:vAlign w:val="bottom"/>
            <w:tcBorders>
              <w:bottom w:val="single" w:sz="8" w:color="auto"/>
            </w:tcBorders>
            <w:gridSpan w:val="3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Agreement and Plan of Merger, dated as of February 13, 2023, by and among ROC Energy Acquisition Corp., ROC Merger Sub, Inc.</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and Drilling Tools International Holdings, Inc. (incorporated by reference to Exhibit 2.1 to ROC Energy Acquisition Corp.’s Current</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Report on Form 8-K (File No. 001-41103), filed with the Securities and Exchange Commission on February 13,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First Amendment to the Agreement and Plan of Merger, by and among ROC Energy Acquisition Corp., ROC Merger Sub, Inc. and</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Drilling Tools International Holdings, Inc. (incorporated by reference to Exhibit 2.1 to ROC Energy Acquisition Corp.’s Current</w:t>
              </w:r>
            </w:hyperlink>
          </w:p>
        </w:tc>
        <w:tc>
          <w:tcPr>
            <w:tcW w:w="4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92">
              <w:r>
                <w:rPr>
                  <w:rFonts w:ascii="Times New Roman" w:cs="Times New Roman" w:eastAsia="Times New Roman" w:hAnsi="Times New Roman"/>
                  <w:sz w:val="18"/>
                  <w:szCs w:val="18"/>
                  <w:color w:val="0000FF"/>
                  <w:w w:val="99"/>
                </w:rPr>
                <w:t>Report on Form 8-K (File No. 001-41103), filed with the Securities and Exchange Commission on June 9, 2023).</w:t>
              </w:r>
            </w:hyperlink>
          </w:p>
        </w:tc>
        <w:tc>
          <w:tcPr>
            <w:tcW w:w="20" w:type="dxa"/>
            <w:vAlign w:val="bottom"/>
            <w:tcBorders>
              <w:bottom w:val="single" w:sz="8" w:color="0000EE"/>
            </w:tcBorders>
          </w:tcPr>
          <w:p>
            <w:pPr>
              <w:spacing w:after="0"/>
              <w:rPr>
                <w:sz w:val="17"/>
                <w:szCs w:val="17"/>
                <w:color w:val="auto"/>
              </w:rPr>
            </w:pPr>
          </w:p>
        </w:tc>
        <w:tc>
          <w:tcPr>
            <w:tcW w:w="15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Second Amended and Restated Certificate of Incorporation of Drilling Tools International Corporation (incorporated by reference to</w:t>
              </w:r>
            </w:hyperlink>
          </w:p>
        </w:tc>
        <w:tc>
          <w:tcPr>
            <w:tcW w:w="1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Exhibit 3.1 to Drilling Tools International Corporation’s Current Report on Form 8-K (File No. 001-41103), filed with the Securities</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and Exchange Commission on June 27, 2023).</w:t>
              </w:r>
            </w:hyperlink>
          </w:p>
        </w:tc>
        <w:tc>
          <w:tcPr>
            <w:tcW w:w="636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Amended and Restated Bylaws of Drilling Tools International Corporation (incorporated by reference to Exhibit 3.2 to Drilling Tools</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International Corporation’s Current Report on Form 8-K (File No. 001-41103), filed with the Securities and Exchange Commission on</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June 27,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Form of Specimen Common Stock Certificate of Drilling Tools International Corporation (incorporated by reference to Exhibit 4.1 to</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Drilling Tools International Corporation’s Current Report on Form 8-K (File No. 001-41103), filed with the Securities and Exchange</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Commission on June 27,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Description of the Registrant’s Securities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right w:val="single" w:sz="8" w:color="0000EE"/>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4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Form of Subscription Agreement (incorporated by reference to Exhibit 10.13 to ROC Energy Acquisition Corp.’s Registration</w:t>
              </w:r>
            </w:hyperlink>
          </w:p>
        </w:tc>
        <w:tc>
          <w:tcPr>
            <w:tcW w:w="6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Statement on Form S-4 (File No. 333-269763), filed with the Securities and Exchange Commission on April 21,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Form of Amendment to the Subscription Agreement (incorporated by reference to Exhibit 10.2 to Drilling Tools International</w:t>
              </w:r>
            </w:hyperlink>
          </w:p>
        </w:tc>
        <w:tc>
          <w:tcPr>
            <w:tcW w:w="6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Corporation’s Current Report on Form 8-K (File No. 001-41103), filed with the Securities and Exchange Commission on June 27,</w:t>
              </w:r>
            </w:hyperlink>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740" w:type="dxa"/>
            <w:vAlign w:val="bottom"/>
            <w:gridSpan w:val="3"/>
          </w:tcPr>
          <w:p>
            <w:pPr>
              <w:ind w:left="260"/>
              <w:spacing w:after="0" w:line="196" w:lineRule="exact"/>
              <w:rPr>
                <w:rFonts w:ascii="Times New Roman" w:cs="Times New Roman" w:eastAsia="Times New Roman" w:hAnsi="Times New Roman"/>
                <w:sz w:val="18"/>
                <w:szCs w:val="18"/>
                <w:color w:val="0000FF"/>
                <w:w w:val="94"/>
              </w:rPr>
            </w:pPr>
            <w:hyperlink r:id="rId297">
              <w:r>
                <w:rPr>
                  <w:rFonts w:ascii="Times New Roman" w:cs="Times New Roman" w:eastAsia="Times New Roman" w:hAnsi="Times New Roman"/>
                  <w:sz w:val="18"/>
                  <w:szCs w:val="18"/>
                  <w:color w:val="0000FF"/>
                  <w:w w:val="94"/>
                </w:rPr>
                <w:t>2023).</w:t>
              </w:r>
            </w:hyperlink>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Form of Exchange Agreement (incorporated by reference to Exhibit 10.3 to Drilling Tools International Corporation’s Current Report</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on Form 8-K (File No. 001-41103), filed with the Securities and Exchange Commission on June 27,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Amended and Restated Revolving Credit, Term Loan and Security Agreement, dated as of June 20, 2023, by and among Drilling</w:t>
              </w:r>
            </w:hyperlink>
          </w:p>
        </w:tc>
        <w:tc>
          <w:tcPr>
            <w:tcW w:w="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Tools International, Inc., certain of its subsidiaries and PNC Bank, National Association (incorporated by reference to Exhibit 10.5 to</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Drilling Tools International Corporation’s Current Report on Form 8-K (File No. 001-41103), filed with the Securities and Exchange</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Commission on June 27,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right w:val="single" w:sz="8" w:color="0000EE"/>
            </w:tcBorders>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Form of Lock-up Agreement (incorporated by reference to Exhibit 10.12 to ROC Energy Acquisition Corp.’s Registration Statement</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on Form S-4 (File No. 333-269763), filed with the Securities and Exchange Commission on February 14,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Form of Indemnification Agreement (incorporated by reference to Exhibit 10.7 to Drilling Tools International Corporation’s Current</w:t>
              </w:r>
            </w:hyperlink>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Report on Form 8-K (File No. 001-41103), filed with the Securities and Exchange Commission on June 27,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Amended and Restated Registration Rights Agreement, dated as of February 13, 2023, between ROC Energy Acquisition Corp., ROC</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Energy Holdings, LLC, EarlyBird Capital, Inc., HHEP Directional, L.P., RobJon Holdings, L.P. and Michael W. Domino, Jr.</w:t>
              </w:r>
            </w:hyperlink>
          </w:p>
        </w:tc>
        <w:tc>
          <w:tcPr>
            <w:tcW w:w="6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(incorporated by reference to Exhibit 10.18 to ROC Energy Acquisition Corp.’s Registration Statement on Form S 4 (File No. 333-</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269763)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February 14,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560" w:type="dxa"/>
            <w:vAlign w:val="bottom"/>
            <w:tcBorders>
              <w:right w:val="single" w:sz="8" w:color="0000EE"/>
            </w:tcBorders>
            <w:shd w:val="clear" w:color="auto" w:fill="0000FF"/>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Form of 2023 Omnibus Incentive Plan (incorporated by reference to Exhibit 10.1 to ROC Energy Acquisition Corp.’s Registration</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03">
              <w:r>
                <w:rPr>
                  <w:rFonts w:ascii="Times New Roman" w:cs="Times New Roman" w:eastAsia="Times New Roman" w:hAnsi="Times New Roman"/>
                  <w:sz w:val="18"/>
                  <w:szCs w:val="18"/>
                  <w:color w:val="0000FF"/>
                  <w:w w:val="99"/>
                </w:rPr>
                <w:t>Statement on Form S-4 (File No. 333-269763), filed with the Securities and Exchange Commission on February 14, 2023).</w:t>
              </w:r>
            </w:hyperlink>
          </w:p>
        </w:tc>
        <w:tc>
          <w:tcPr>
            <w:tcW w:w="20" w:type="dxa"/>
            <w:vAlign w:val="bottom"/>
            <w:tcBorders>
              <w:bottom w:val="single" w:sz="8" w:color="0000EE"/>
            </w:tcBorders>
          </w:tcPr>
          <w:p>
            <w:pPr>
              <w:spacing w:after="0"/>
              <w:rPr>
                <w:sz w:val="17"/>
                <w:szCs w:val="17"/>
                <w:color w:val="auto"/>
              </w:rPr>
            </w:pPr>
          </w:p>
        </w:tc>
        <w:tc>
          <w:tcPr>
            <w:tcW w:w="8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Assignment and Assumption Agreement, dated as of June 20, 2023, between Drilling Tools International Holdings, Inc. and Drilling</w:t>
              </w:r>
            </w:hyperlink>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Tools International Corporation (incorporated by reference to Exhibit 10.13 to Drilling Tools International Corporation’s Registration</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Statement on Form S-1 (File No. 333-273348), filed with the Securities and Exchange Commission on July 20,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960" w:type="dxa"/>
            <w:vAlign w:val="bottom"/>
            <w:tcBorders>
              <w:right w:val="single" w:sz="8" w:color="0000EE"/>
            </w:tcBorders>
            <w:gridSpan w:val="7"/>
            <w:shd w:val="clear" w:color="auto" w:fill="0000FF"/>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Second Amended and Restated Revolving Credit, Term Loan and Security Agreement, dated as of March 15, 2024, by and among</w:t>
              </w:r>
            </w:hyperlink>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Drilling Tools International, Inc., certain of its subsidiaries and PNC Bank, National Association (incorporated by reference to Exhibit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Drilling Tools International Corporation’s Current Report on Form 8-K (File No. 001-41103), filed with the Securities and</w:t>
              </w:r>
            </w:hyperlink>
          </w:p>
        </w:tc>
        <w:tc>
          <w:tcPr>
            <w:tcW w:w="3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Exchange Commission on March 15, 2024).</w:t>
              </w:r>
            </w:hyperlink>
          </w:p>
        </w:tc>
        <w:tc>
          <w:tcPr>
            <w:tcW w:w="652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Drilling Tools International Corporation Insider Trading Policy</w:t>
            </w:r>
          </w:p>
        </w:tc>
        <w:tc>
          <w:tcPr>
            <w:tcW w:w="0" w:type="dxa"/>
            <w:vAlign w:val="bottom"/>
          </w:tcPr>
          <w:p>
            <w:pPr>
              <w:spacing w:after="0"/>
              <w:rPr>
                <w:sz w:val="1"/>
                <w:szCs w:val="1"/>
                <w:color w:val="auto"/>
              </w:rPr>
            </w:pPr>
          </w:p>
        </w:tc>
      </w:tr>
      <w:tr>
        <w:trPr>
          <w:trHeight w:val="453"/>
        </w:trPr>
        <w:tc>
          <w:tcPr>
            <w:tcW w:w="124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4560" w:type="dxa"/>
            <w:vAlign w:val="bottom"/>
            <w:tcBorders>
              <w:top w:val="single" w:sz="8" w:color="0000FF"/>
            </w:tcBorders>
            <w:gridSpan w:val="7"/>
          </w:tcPr>
          <w:p>
            <w:pPr>
              <w:ind w:left="4040"/>
              <w:spacing w:after="0"/>
              <w:rPr>
                <w:sz w:val="20"/>
                <w:szCs w:val="20"/>
                <w:color w:val="auto"/>
              </w:rPr>
            </w:pPr>
            <w:r>
              <w:rPr>
                <w:rFonts w:ascii="Times New Roman" w:cs="Times New Roman" w:eastAsia="Times New Roman" w:hAnsi="Times New Roman"/>
                <w:sz w:val="18"/>
                <w:szCs w:val="18"/>
                <w:color w:val="auto"/>
              </w:rPr>
              <w:t>91</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tbl>
      <w:tblPr>
        <w:tblLayout w:type="fixed"/>
        <w:tblInd w:w="2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6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Subsidiaries of the Registrant (incorporated by reference to Exhibit 21.1 to Drilling Tools International Corporation’s Current Report</w:t>
              </w:r>
            </w:hyperlink>
          </w:p>
        </w:tc>
        <w:tc>
          <w:tcPr>
            <w:tcW w:w="6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7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on Form 8-K (File No. 001-41103), filed with the Securities and Exchange Commission on June 27, 2023).</w:t>
              </w:r>
            </w:hyperlink>
          </w:p>
        </w:tc>
        <w:tc>
          <w:tcPr>
            <w:tcW w:w="1920" w:type="dxa"/>
            <w:vAlign w:val="bottom"/>
            <w:gridSpan w:val="3"/>
          </w:tcPr>
          <w:p>
            <w:pPr>
              <w:spacing w:after="0"/>
              <w:rPr>
                <w:sz w:val="17"/>
                <w:szCs w:val="17"/>
                <w:color w:val="auto"/>
              </w:rPr>
            </w:pP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43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5320" w:type="dxa"/>
            <w:vAlign w:val="bottom"/>
            <w:gridSpan w:val="5"/>
          </w:tcPr>
          <w:p>
            <w:pPr>
              <w:spacing w:after="0"/>
              <w:rPr>
                <w:sz w:val="17"/>
                <w:szCs w:val="17"/>
                <w:color w:val="auto"/>
              </w:rPr>
            </w:pP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39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Power of Attorney (included on signature page hereto).</w:t>
            </w:r>
          </w:p>
        </w:tc>
        <w:tc>
          <w:tcPr>
            <w:tcW w:w="20" w:type="dxa"/>
            <w:vAlign w:val="bottom"/>
            <w:tcBorders>
              <w:bottom w:val="single" w:sz="8" w:color="0000EE"/>
            </w:tcBorders>
          </w:tcPr>
          <w:p>
            <w:pPr>
              <w:spacing w:after="0"/>
              <w:rPr>
                <w:sz w:val="17"/>
                <w:szCs w:val="17"/>
                <w:color w:val="auto"/>
              </w:rPr>
            </w:pPr>
          </w:p>
        </w:tc>
        <w:tc>
          <w:tcPr>
            <w:tcW w:w="5680" w:type="dxa"/>
            <w:vAlign w:val="bottom"/>
            <w:gridSpan w:val="6"/>
          </w:tcPr>
          <w:p>
            <w:pPr>
              <w:spacing w:after="0"/>
              <w:rPr>
                <w:sz w:val="17"/>
                <w:szCs w:val="17"/>
                <w:color w:val="auto"/>
              </w:rPr>
            </w:pP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0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and Rule 15d-14(a) of the Securities and Exchange Act, as</w:t>
            </w:r>
          </w:p>
        </w:tc>
        <w:tc>
          <w:tcPr>
            <w:tcW w:w="64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6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14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6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and Rule 15d-14(a) of the Securities and Exchange Act, as amended.</w:t>
            </w: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6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r>
      <w:tr>
        <w:trPr>
          <w:trHeight w:val="20"/>
        </w:trPr>
        <w:tc>
          <w:tcPr>
            <w:tcW w:w="1480" w:type="dxa"/>
            <w:vAlign w:val="bottom"/>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4880" w:type="dxa"/>
            <w:vAlign w:val="bottom"/>
            <w:tcBorders>
              <w:right w:val="single" w:sz="8" w:color="0000EE"/>
            </w:tcBorders>
            <w:gridSpan w:val="4"/>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6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Schedule 906 of the Sarbanes-Oxley Act of 2002</w:t>
            </w:r>
            <w:r>
              <w:rPr>
                <w:rFonts w:ascii="Times New Roman" w:cs="Times New Roman" w:eastAsia="Times New Roman" w:hAnsi="Times New Roman"/>
                <w:sz w:val="18"/>
                <w:szCs w:val="18"/>
                <w:color w:val="000000"/>
              </w:rPr>
              <w:t>.</w:t>
            </w: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724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DTI Clawback Policy - 8398475</w:t>
            </w:r>
          </w:p>
        </w:tc>
        <w:tc>
          <w:tcPr>
            <w:tcW w:w="2440" w:type="dxa"/>
            <w:vAlign w:val="bottom"/>
            <w:gridSpan w:val="4"/>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2360" w:type="dxa"/>
            <w:vAlign w:val="bottom"/>
            <w:tcBorders>
              <w:right w:val="single" w:sz="8" w:color="0000EE"/>
            </w:tcBorders>
            <w:gridSpan w:val="2"/>
            <w:shd w:val="clear" w:color="auto" w:fill="0000FF"/>
          </w:tcPr>
          <w:p>
            <w:pPr>
              <w:spacing w:after="0" w:line="20" w:lineRule="exact"/>
              <w:rPr>
                <w:sz w:val="1"/>
                <w:szCs w:val="1"/>
                <w:color w:val="auto"/>
              </w:rPr>
            </w:pPr>
          </w:p>
        </w:tc>
        <w:tc>
          <w:tcPr>
            <w:tcW w:w="7320" w:type="dxa"/>
            <w:vAlign w:val="bottom"/>
            <w:gridSpan w:val="8"/>
          </w:tcPr>
          <w:p>
            <w:pPr>
              <w:spacing w:after="0" w:line="20" w:lineRule="exact"/>
              <w:rPr>
                <w:sz w:val="1"/>
                <w:szCs w:val="1"/>
                <w:color w:val="auto"/>
              </w:rPr>
            </w:pPr>
          </w:p>
        </w:tc>
      </w:tr>
      <w:tr>
        <w:trPr>
          <w:trHeight w:val="21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w:t>
            </w:r>
          </w:p>
        </w:tc>
      </w:tr>
      <w:tr>
        <w:trPr>
          <w:trHeight w:val="216"/>
        </w:trPr>
        <w:tc>
          <w:tcPr>
            <w:tcW w:w="1480" w:type="dxa"/>
            <w:vAlign w:val="bottom"/>
          </w:tcPr>
          <w:p>
            <w:pPr>
              <w:spacing w:after="0"/>
              <w:rPr>
                <w:sz w:val="18"/>
                <w:szCs w:val="18"/>
                <w:color w:val="auto"/>
              </w:rPr>
            </w:pP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230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8"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520" w:right="1020" w:hanging="512"/>
        <w:spacing w:after="0" w:line="282" w:lineRule="auto"/>
        <w:tabs>
          <w:tab w:leader="none" w:pos="37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in accordance with Regulation S-K Item 601(b)(2). We agree to furnish supplementally a copy of all omitted exhibits and schedules to the SEC upon its request.</w:t>
      </w:r>
    </w:p>
    <w:p>
      <w:pPr>
        <w:spacing w:after="0" w:line="54"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2" w:right="39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Company Name</w:t>
      </w:r>
    </w:p>
    <w:p>
      <w:pPr>
        <w:spacing w:after="0" w:line="225" w:lineRule="exact"/>
        <w:rPr>
          <w:sz w:val="20"/>
          <w:szCs w:val="20"/>
          <w:color w:val="auto"/>
        </w:rPr>
      </w:pPr>
    </w:p>
    <w:p>
      <w:pPr>
        <w:ind w:left="20"/>
        <w:spacing w:after="0"/>
        <w:tabs>
          <w:tab w:leader="none" w:pos="5420" w:val="left"/>
          <w:tab w:leader="none" w:pos="7860" w:val="left"/>
        </w:tabs>
        <w:rPr>
          <w:sz w:val="20"/>
          <w:szCs w:val="20"/>
          <w:color w:val="auto"/>
        </w:rPr>
      </w:pPr>
      <w:r>
        <w:rPr>
          <w:rFonts w:ascii="Times New Roman" w:cs="Times New Roman" w:eastAsia="Times New Roman" w:hAnsi="Times New Roman"/>
          <w:sz w:val="18"/>
          <w:szCs w:val="18"/>
          <w:color w:val="auto"/>
        </w:rPr>
        <w:t>Date: March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R. Wayne Prejean</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President, CEO, and Director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jointly and severally, R. Wayne Prejean, as his attorney-in-fact, with full power of substitution and resubstitution, for him and in his name, place, and stead, in any and all capacities, to sign any and all amendments (including post-effective amendments), and any and all registration statements filed pursuant to Rule 462 under the Securities Act of 1933, as amended, in connection with or related to the offering contemplated by this registration statement and its amendments, if any, and to file the same, with exhibits thereto and other documents in connection therewith, with the Securities and Exchange Commission, hereby ratifying and confirming our signatures as they may be signed by our said attorney to any and all amendments to said registration statement. Pursuant to the requirements of the Securities Exchange Act of 1934, as amended, this Report has been signed below by the following persons on behalf of the Registrant in the capacities and on the dates indicated.</w:t>
      </w:r>
    </w:p>
    <w:p>
      <w:pPr>
        <w:spacing w:after="0" w:line="212"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 Wayne Prejean</w:t>
            </w:r>
          </w:p>
        </w:tc>
        <w:tc>
          <w:tcPr>
            <w:tcW w:w="4480" w:type="dxa"/>
            <w:vAlign w:val="bottom"/>
          </w:tcPr>
          <w:p>
            <w:pPr>
              <w:jc w:val="center"/>
              <w:ind w:left="533"/>
              <w:spacing w:after="0"/>
              <w:rPr>
                <w:sz w:val="20"/>
                <w:szCs w:val="20"/>
                <w:color w:val="auto"/>
              </w:rPr>
            </w:pPr>
            <w:r>
              <w:rPr>
                <w:rFonts w:ascii="Times New Roman" w:cs="Times New Roman" w:eastAsia="Times New Roman" w:hAnsi="Times New Roman"/>
                <w:sz w:val="18"/>
                <w:szCs w:val="18"/>
                <w:color w:val="auto"/>
                <w:w w:val="99"/>
              </w:rPr>
              <w:t>President, CEO, and Director</w:t>
            </w:r>
          </w:p>
        </w:tc>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March 14,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 Wayne Prejean</w:t>
            </w:r>
          </w:p>
        </w:tc>
        <w:tc>
          <w:tcPr>
            <w:tcW w:w="4480" w:type="dxa"/>
            <w:vAlign w:val="bottom"/>
          </w:tcPr>
          <w:p>
            <w:pPr>
              <w:jc w:val="center"/>
              <w:ind w:left="573"/>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30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R. Johnson</w:t>
            </w:r>
          </w:p>
        </w:tc>
        <w:tc>
          <w:tcPr>
            <w:tcW w:w="448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March 14,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David R. Johnson</w:t>
            </w:r>
          </w:p>
        </w:tc>
        <w:tc>
          <w:tcPr>
            <w:tcW w:w="4480" w:type="dxa"/>
            <w:vAlign w:val="bottom"/>
          </w:tcPr>
          <w:p>
            <w:pPr>
              <w:jc w:val="center"/>
              <w:ind w:left="533"/>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30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O. Hicks</w:t>
            </w:r>
          </w:p>
        </w:tc>
        <w:tc>
          <w:tcPr>
            <w:tcW w:w="448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rPr>
              <w:t>Chairman of the Board</w:t>
            </w:r>
          </w:p>
        </w:tc>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March 14,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Thomas O. Hicks</w:t>
            </w:r>
          </w:p>
        </w:tc>
        <w:tc>
          <w:tcPr>
            <w:tcW w:w="448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C. Neuman</w:t>
            </w:r>
          </w:p>
        </w:tc>
        <w:tc>
          <w:tcPr>
            <w:tcW w:w="4480" w:type="dxa"/>
            <w:vAlign w:val="bottom"/>
          </w:tcPr>
          <w:p>
            <w:pPr>
              <w:jc w:val="center"/>
              <w:ind w:left="553"/>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14,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Eric C. Neuman</w:t>
            </w:r>
          </w:p>
        </w:tc>
        <w:tc>
          <w:tcPr>
            <w:tcW w:w="448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D. Furst</w:t>
            </w:r>
          </w:p>
        </w:tc>
        <w:tc>
          <w:tcPr>
            <w:tcW w:w="448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6"/>
              </w:rPr>
              <w:t>Director</w:t>
            </w:r>
          </w:p>
        </w:tc>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14,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D. Furst</w:t>
            </w:r>
          </w:p>
        </w:tc>
        <w:tc>
          <w:tcPr>
            <w:tcW w:w="448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 Richard Vermillion</w:t>
            </w:r>
          </w:p>
        </w:tc>
        <w:tc>
          <w:tcPr>
            <w:tcW w:w="448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6"/>
              </w:rPr>
              <w:t>Director</w:t>
            </w:r>
          </w:p>
        </w:tc>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14,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Richard Vermillion</w:t>
            </w:r>
          </w:p>
        </w:tc>
        <w:tc>
          <w:tcPr>
            <w:tcW w:w="448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Curtis L. Crofford</w:t>
            </w:r>
          </w:p>
        </w:tc>
        <w:tc>
          <w:tcPr>
            <w:tcW w:w="448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6"/>
              </w:rPr>
              <w:t>Director</w:t>
            </w:r>
          </w:p>
        </w:tc>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14,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Curtis L. Crofford</w:t>
            </w:r>
          </w:p>
        </w:tc>
        <w:tc>
          <w:tcPr>
            <w:tcW w:w="448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M. Patterson</w:t>
            </w:r>
          </w:p>
        </w:tc>
        <w:tc>
          <w:tcPr>
            <w:tcW w:w="448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6"/>
              </w:rPr>
              <w:t>Director</w:t>
            </w:r>
          </w:p>
        </w:tc>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14,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Thomas M. Patterson</w:t>
            </w:r>
          </w:p>
        </w:tc>
        <w:tc>
          <w:tcPr>
            <w:tcW w:w="448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606"/>
        </w:trPr>
        <w:tc>
          <w:tcPr>
            <w:tcW w:w="3720" w:type="dxa"/>
            <w:vAlign w:val="bottom"/>
          </w:tcPr>
          <w:p>
            <w:pPr>
              <w:spacing w:after="0"/>
              <w:rPr>
                <w:sz w:val="24"/>
                <w:szCs w:val="24"/>
                <w:color w:val="auto"/>
              </w:rPr>
            </w:pPr>
          </w:p>
        </w:tc>
        <w:tc>
          <w:tcPr>
            <w:tcW w:w="4480" w:type="dxa"/>
            <w:vAlign w:val="bottom"/>
          </w:tcPr>
          <w:p>
            <w:pPr>
              <w:jc w:val="right"/>
              <w:ind w:right="2393"/>
              <w:spacing w:after="0"/>
              <w:rPr>
                <w:sz w:val="20"/>
                <w:szCs w:val="20"/>
                <w:color w:val="auto"/>
              </w:rPr>
            </w:pPr>
            <w:r>
              <w:rPr>
                <w:rFonts w:ascii="Times New Roman" w:cs="Times New Roman" w:eastAsia="Times New Roman" w:hAnsi="Times New Roman"/>
                <w:sz w:val="18"/>
                <w:szCs w:val="18"/>
                <w:color w:val="auto"/>
              </w:rPr>
              <w:t>93</w:t>
            </w:r>
          </w:p>
        </w:tc>
        <w:tc>
          <w:tcPr>
            <w:tcW w:w="304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REGISTRANT’S SECURITIES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following description sets forth certain material terms and provisions of the securities of Drilling Tools International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that are registered under Section 12 of the Securities Exchange Act of 1934, as amended. This description also summarizes relevant provisions of Delaware law. The following summary does not purport to be complete and is subject to, and is qualified in its entirety by reference to, the applicable provisions of Delaware law and our second amended and restated certificate of incorporation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and our amended and restated bylaws (the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copies of which are incorporated by reference as an exhibit to the Annual Report on Form 10-K of which this Exhibit 4.2 is a part. We encourage you to read our certificate of incorporation, our bylaws, and the applicable provisions of Delaware law for additional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Authorized and Outstanding Capital Stock</w:t>
      </w:r>
    </w:p>
    <w:p>
      <w:pPr>
        <w:spacing w:after="0" w:line="23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Our Certificate of Incorporation authorizes the issuance of 500,000,000 shares of the Common Stock, $0.0001 par value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and 10,000,000 shares of preferred stock, $0.0001 par value. The outstanding shares of Common Stock are duly authorized, validly issued, fully paid and non-assessable. As of March 28, 2024, there were 29,768,568 shares of Common Stock issued and outstanding and no shares of preferred stock issued or outstanding.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Voting Power</w:t>
      </w:r>
    </w:p>
    <w:p>
      <w:pPr>
        <w:spacing w:after="0" w:line="23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Except as otherwise required by law, our Certificate of Incorporation or as otherwise provided in any certificate of designation for any series of preferred stock, stockholders possess all voting power for the election of directors and all other matters requiring stockholder action. Except as otherwise provided in our Certificate of Incorporation or expressly required by law, stockholders are entitled to one (1) vote per share on matters to be voted on by stockholders.</w:t>
      </w:r>
    </w:p>
    <w:p>
      <w:pPr>
        <w:spacing w:after="0" w:line="20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Except as otherwise required by law, stockholders, as such, are not entitled to vote on any amendment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our Certificate of Incorporation or pursuant to the Delaware General Corporation Law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Dividends</w:t>
      </w:r>
    </w:p>
    <w:p>
      <w:pPr>
        <w:spacing w:after="0" w:line="23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Subject to applicable law and the rights and preferences of any holders of any outstanding series of preferred stock, stockholders, as such, are entitled to the payment of dividends on the Common Stock when, as and if declared by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in accordance with applicable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Liquidation, Dissolution and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Subject to the rights and preferences of any holders of any shares of any outstanding series of preferred stock, in the event of any liquidation, dissolution or winding up of the Company, whether voluntary or involuntary, the funds and assets of the Company that may be legally distributed to stockholders will be distributed among the holders of the then outstanding Common Stock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number of shares of Common Stock held by each holder.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Preemptive or Other Rights</w:t>
      </w:r>
    </w:p>
    <w:p>
      <w:pPr>
        <w:spacing w:after="0" w:line="23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Subject to the preferential rights of any other class or series of stock, all shares of Common Stock have equal dividend, distribution, liquidation and other rights, and have no preference or appraisal rights, except for any appraisal rights provided by the DGCL. Furthermore, holders of Common Stock have no preemptive rights and there are no conversion, sinking fund or redemption rights, or rights to subscribe for any of our securities. The voting, dividend, liquidation, and other rights and powers of the Common Stock are subject to and qualified by the rights, powers and preferences of any series of preferred stock as may be designated by the Board and outstanding from time to time.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Election of Directors</w:t>
      </w:r>
    </w:p>
    <w:p>
      <w:pPr>
        <w:spacing w:after="0" w:line="23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Board is divided into three classes, each of which generally serves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23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Our Certificate of Incorporation provides that shares of preferred stock may be issued from time to time in one or more series. The Board is authorized to fix the designations, powers, preferences and rights, and the qualifications, limitations or restrictions thereof, of any series of preferred stock, including, without limitation, authority to fix by resolution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can, without Stockholder approval, issue preferred stock with voting and other rights that could adversely affect the voting power and other rights of the holders of Common Stock and could have anti-takeover effects. The ability of the Board to issue preferred stock without Stockholder approval could have the effect of delaying, deferring or preventing a change of control of us or the removal of existing management.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We have no preferred stock outstanding at the date hereof.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w:t>
      </w:r>
    </w:p>
    <w:p>
      <w:pPr>
        <w:spacing w:after="0" w:line="2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transfer agent for the Common Stock is Continental Stock Transfer &amp; Trust Company (“</w:t>
      </w:r>
      <w:r>
        <w:rPr>
          <w:rFonts w:ascii="Times New Roman" w:cs="Times New Roman" w:eastAsia="Times New Roman" w:hAnsi="Times New Roman"/>
          <w:sz w:val="22"/>
          <w:szCs w:val="22"/>
          <w:u w:val="single" w:color="auto"/>
          <w:color w:val="auto"/>
        </w:rPr>
        <w:t>Continental</w:t>
      </w:r>
      <w:r>
        <w:rPr>
          <w:rFonts w:ascii="Times New Roman" w:cs="Times New Roman" w:eastAsia="Times New Roman" w:hAnsi="Times New Roman"/>
          <w:sz w:val="22"/>
          <w:szCs w:val="22"/>
          <w:color w:val="auto"/>
        </w:rPr>
        <w:t>”). We have agreed to indemnify Continental in its role as transfer agent, its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Anti-Takeover Provisions of Delaware Law, our Certificate of Incorporation and Bylaws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Section 203 of the DGCL</w:t>
      </w:r>
    </w:p>
    <w:p>
      <w:pPr>
        <w:spacing w:after="0" w:line="23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We have not opted out of Section 203 of the DGCL in our Certificate of Incorporation. This statute prevents us, under certain circumstances, from engaging in a “business combination” with:</w:t>
      </w:r>
    </w:p>
    <w:p>
      <w:pPr>
        <w:spacing w:after="0" w:line="185"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 who owns 10% or more of our outstanding voting stock (otherwise known as an “interested stockholder”);</w:t>
      </w:r>
    </w:p>
    <w:p>
      <w:pPr>
        <w:spacing w:after="0" w:line="25" w:lineRule="exact"/>
        <w:rPr>
          <w:rFonts w:ascii="Times New Roman" w:cs="Times New Roman" w:eastAsia="Times New Roman" w:hAnsi="Times New Roman"/>
          <w:sz w:val="21"/>
          <w:szCs w:val="21"/>
          <w:color w:val="auto"/>
        </w:rPr>
      </w:pPr>
    </w:p>
    <w:p>
      <w:pPr>
        <w:ind w:left="760" w:hanging="378"/>
        <w:spacing w:after="0" w:line="230" w:lineRule="auto"/>
        <w:tabs>
          <w:tab w:leader="none" w:pos="7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affiliate of an interested stockholder; or</w:t>
      </w:r>
    </w:p>
    <w:p>
      <w:pPr>
        <w:ind w:left="760" w:hanging="378"/>
        <w:spacing w:after="0" w:line="237" w:lineRule="auto"/>
        <w:tabs>
          <w:tab w:leader="none" w:pos="7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associate of an interested stockholder, for three years following the date that the stockholder became an interest stockholder.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“business combination” includes a merger or sale of more than 10% of our assets. However, the above provisions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203 do not apply if:</w:t>
      </w:r>
    </w:p>
    <w:p>
      <w:pPr>
        <w:spacing w:after="0" w:line="209" w:lineRule="exact"/>
        <w:rPr>
          <w:sz w:val="20"/>
          <w:szCs w:val="20"/>
          <w:color w:val="auto"/>
        </w:rPr>
      </w:pPr>
    </w:p>
    <w:p>
      <w:pPr>
        <w:ind w:left="760" w:right="20" w:hanging="378"/>
        <w:spacing w:after="0" w:line="241" w:lineRule="auto"/>
        <w:tabs>
          <w:tab w:leader="none" w:pos="7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approves the transaction that made the stockholder an “interested stockholder,” prior to the date of the transaction;</w:t>
      </w:r>
    </w:p>
    <w:p>
      <w:pPr>
        <w:spacing w:after="0" w:line="1" w:lineRule="exact"/>
        <w:rPr>
          <w:rFonts w:ascii="Times New Roman" w:cs="Times New Roman" w:eastAsia="Times New Roman" w:hAnsi="Times New Roman"/>
          <w:sz w:val="22"/>
          <w:szCs w:val="22"/>
          <w:color w:val="auto"/>
        </w:rPr>
      </w:pPr>
    </w:p>
    <w:p>
      <w:pPr>
        <w:jc w:val="both"/>
        <w:ind w:left="760" w:hanging="378"/>
        <w:spacing w:after="0" w:line="230" w:lineRule="auto"/>
        <w:tabs>
          <w:tab w:leader="none" w:pos="7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 w:lineRule="exact"/>
        <w:rPr>
          <w:rFonts w:ascii="Times New Roman" w:cs="Times New Roman" w:eastAsia="Times New Roman" w:hAnsi="Times New Roman"/>
          <w:sz w:val="22"/>
          <w:szCs w:val="22"/>
          <w:color w:val="auto"/>
        </w:rPr>
      </w:pPr>
    </w:p>
    <w:p>
      <w:pPr>
        <w:jc w:val="both"/>
        <w:ind w:left="760" w:hanging="378"/>
        <w:spacing w:after="0" w:line="235" w:lineRule="auto"/>
        <w:tabs>
          <w:tab w:leader="none" w:pos="7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subsequent to the date of the transaction, the business combination is approved by the Board and authorized at a meeting of our stockholders, and not by written consent, by an affirmative vote of at least two-thirds of the outstanding voting stock not owned by the interested stockholder.</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Under certain circumstances, declining to opt out of Section 203 of the DGCL will make it more difficult for a person who would be an “interested stockholder” to effect various business combinations with us for a three-year period. This may encourage companies interested in acquiring us to negotiate in advance with the Board because the stockholder approval requirement would be avoided if the Board approves the acquisition which results in the stockholder becoming an interested stockholder. This may also have the effect of preventing changes in the Board and may make it more difficult to accomplish transactions which stockholders may otherwise deem to be in their best interests.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Classified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3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Our Certificate of Incorporation provides that the Board is divided into three classes of directors, with the classes to be as nearly equal in number as possible, and with each director serving a three-year term. As a result, approximately one-third of the Board is elected each year. The classification of directors has the effect of making it more difficult for stockholders to change the composition of the Board.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Authorized but Unissued Shares</w:t>
      </w:r>
    </w:p>
    <w:p>
      <w:pPr>
        <w:spacing w:after="0" w:line="23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authorized but unissued shares of Common Stock and preferred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our authorized but unissued and unreserved shares of Common Stock and preferred stock could make it more difficult or discourage an attempt to obtain control of us by means of a proxy contest, tender offer, merger or otherwise.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Written Consent by Stockholders</w:t>
      </w:r>
    </w:p>
    <w:p>
      <w:pPr>
        <w:spacing w:after="0" w:line="23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Under our Certificate of Incorporation, subject to the rights of holders of preferred stock, any action required or permitted to be taken by the stockholders must be effected at an annual or special meeting of stockholders and may not be taken by written consent in lieu of a meeting.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Special Meeting of Stockholders</w:t>
      </w:r>
    </w:p>
    <w:p>
      <w:pPr>
        <w:spacing w:after="0" w:line="23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Under our Certificate of Incorporation, subject to the terms of any series of preferred stock, special meetings of stockholders may be called only by the Board, the chairperson of the Board, the Chief Executive Officer, or the President, and may not be called by any other person or persons. Only such business shall be considered at a special meeting of stockholders as shall have been stated in the notice for such meeting.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 Notice Requirements for Stockholder Proposals and Director Nominations</w:t>
      </w:r>
    </w:p>
    <w:p>
      <w:pPr>
        <w:spacing w:after="0" w:line="23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Under our Certificate of Incorporation, advance notice of Stockholder nominations for the election of directors and of business proposed to be brought by stockholders before any meeting of the stockholders must be given in the manner provided in our Bylaws.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Amendment of Certificate of Incorporation or Bylaws</w:t>
      </w:r>
    </w:p>
    <w:p>
      <w:pPr>
        <w:spacing w:after="0" w:line="23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Our Bylaws may be amended or repealed by the Board or by the affirmative vote of the holders of at least 66 2/3% of the total voting power of all of the shares of our capital stock entitled to vote in the election of directors, voting as one class. The affirmative vote of the holders of at least 66 2/3% of the total voting power of all the then outstanding shares of Common Stock entitled to vote thereon, voting together as a single class, is required to amend certain provisions of our Certificate of Incorporation.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Board Vacancies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Subject to the special rights of the holders of one or more outstanding series of preferred stock to elect directors, except as otherwise provided by law, any vacancies on the Board and any newly created directorships resulting from any increase in the number of directors are filled exclusively by the affirmative vote of a majority of the directors then in office, even though less than a quorum, or by a sole remaining director (other than any directors elected by the separate vote of one or more outstanding series of preferred stock), and are not filled by the stockholders. Any director appointed in accordance with the preceding sentence holds office until the expiration of the term to which such director shall have been appointed or until his or her earlier death, resignation, retirement, disqualification, or removal.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Exclusive Forum</w:t>
      </w:r>
    </w:p>
    <w:p>
      <w:pPr>
        <w:spacing w:after="0" w:line="23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is, to the fullest extent permitted by law, the sole and exclusive forum for (a) any derivative action or proceeding brought on behalf of the Company, (b) any action asserting a claim of breach of a fiduciary duty owed by any director, stockholder, officer or other employee of the Company to the Company or stockholders, (c) any action arising pursuant to any provision of the DGCL or our Certificate of Incorporation or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21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against any person in connection with any offering of Company securities, including, without limitation and for the avoidance of doubt, any auditor, underwriter, expert, control person, or other defendant.</w:t>
      </w:r>
    </w:p>
    <w:p>
      <w:pPr>
        <w:spacing w:after="0" w:line="20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There is uncertainty as to whether a court would enforce the exclusive forum provision of our Certificate of Incorporation. Holders of Common Stock cannot waive compliance with federal securities laws and the rules and regulations promulgated thereunder. The exclusive forum provision of our Certificate of Incorporation does not apply to actions arising under the Exchange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Limitation on Liability and Indemnification of Directors and Officers</w:t>
      </w:r>
    </w:p>
    <w:p>
      <w:pPr>
        <w:spacing w:after="0" w:line="23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Our Certificate of Incorporation provides that our directors and officers will be indemnified and advanced expenses by us to the fullest extent authorized or permitted by the DGCL as it now exists or may in the future be amended. No director or officer of the Company has any personal liability to the Company or its stockholders for monetary damages for any breach of fiduciary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9" w:name="page100"/>
    <w:bookmarkEnd w:id="99"/>
    <w:p>
      <w:pPr>
        <w:ind w:left="10440"/>
        <w:spacing w:after="0"/>
        <w:rPr>
          <w:sz w:val="20"/>
          <w:szCs w:val="20"/>
          <w:color w:val="auto"/>
        </w:rPr>
      </w:pPr>
      <w:r>
        <w:rPr>
          <w:rFonts w:ascii="Times New Roman" w:cs="Times New Roman" w:eastAsia="Times New Roman" w:hAnsi="Times New Roman"/>
          <w:sz w:val="17"/>
          <w:szCs w:val="17"/>
          <w:color w:val="auto"/>
        </w:rPr>
        <w:t>Exhibit 4.2</w:t>
      </w:r>
    </w:p>
    <w:p>
      <w:pPr>
        <w:spacing w:after="0" w:line="200" w:lineRule="exact"/>
        <w:rPr>
          <w:sz w:val="20"/>
          <w:szCs w:val="20"/>
          <w:color w:val="auto"/>
        </w:rPr>
      </w:pPr>
    </w:p>
    <w:p>
      <w:pPr>
        <w:spacing w:after="0" w:line="24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a director or officer, as applicable, except to the extent such exemption from liability or limitation thereof is not permitted under the DGCL as the same exists or hereafter may be amended.</w:t>
      </w:r>
    </w:p>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Our Bylaws also permit us to purchase and maintain insurance on behalf of any officer, director, employee or agent of us for any liability arising out of his or her status as such, regardless of whether the DGCL would permit indemnification.</w:t>
      </w:r>
    </w:p>
    <w:p>
      <w:pPr>
        <w:spacing w:after="0" w:line="18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20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Rule 144</w:t>
      </w:r>
    </w:p>
    <w:p>
      <w:pPr>
        <w:spacing w:after="0" w:line="23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Pursuant to Rule 144, a person who has beneficially owned restricted shares of Common Stock for at least six months would be entitled to sell such shares provided that (a) such person is not deemed to have been one of our affiliates at the time of, or at any time during the three months preceding, a sale and (b)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20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Persons who have beneficially owned restricted shares of Common Stock for at least six months but who are our affiliates at the time of, or at any time during the three months preceding, a sale, would be subject to additional restrictions, by which such person would be entitled to sell within any three-month period a number of shares that does not exceed the greater of:</w:t>
      </w:r>
    </w:p>
    <w:p>
      <w:pPr>
        <w:spacing w:after="0" w:line="184"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of the total number of shares of such securities then-outstanding; or</w:t>
      </w:r>
    </w:p>
    <w:p>
      <w:pPr>
        <w:spacing w:after="0" w:line="14" w:lineRule="exact"/>
        <w:rPr>
          <w:rFonts w:ascii="Times New Roman" w:cs="Times New Roman" w:eastAsia="Times New Roman" w:hAnsi="Times New Roman"/>
          <w:sz w:val="22"/>
          <w:szCs w:val="22"/>
          <w:color w:val="auto"/>
        </w:rPr>
      </w:pPr>
    </w:p>
    <w:p>
      <w:pPr>
        <w:ind w:left="760" w:hanging="378"/>
        <w:spacing w:after="0" w:line="237" w:lineRule="auto"/>
        <w:tabs>
          <w:tab w:leader="none" w:pos="7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weekly reported trading volume of such securities during the four calendar weeks preceding the filing of a notice on Form 144 with respect to the sale.</w:t>
      </w:r>
    </w:p>
    <w:p>
      <w:pPr>
        <w:spacing w:after="0" w:line="20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Sales by our affiliates under Rule 144 are also limited by manner of sale provisions and notice requirements and to the availability of current public information about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Restrictions on Use of Rule 144 by Shell Companies or Former Shell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ind w:left="10440"/>
        <w:spacing w:after="0"/>
        <w:rPr>
          <w:sz w:val="20"/>
          <w:szCs w:val="20"/>
          <w:color w:val="auto"/>
        </w:rPr>
      </w:pPr>
      <w:r>
        <w:rPr>
          <w:rFonts w:ascii="Times New Roman" w:cs="Times New Roman" w:eastAsia="Times New Roman" w:hAnsi="Times New Roman"/>
          <w:sz w:val="17"/>
          <w:szCs w:val="17"/>
          <w:color w:val="auto"/>
        </w:rPr>
        <w:t>Exhibit 4.2</w:t>
      </w:r>
    </w:p>
    <w:p>
      <w:pPr>
        <w:spacing w:after="0" w:line="200" w:lineRule="exact"/>
        <w:rPr>
          <w:sz w:val="20"/>
          <w:szCs w:val="20"/>
          <w:color w:val="auto"/>
        </w:rPr>
      </w:pPr>
    </w:p>
    <w:p>
      <w:pPr>
        <w:spacing w:after="0" w:line="24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ind w:left="760" w:hanging="378"/>
        <w:spacing w:after="0" w:line="230" w:lineRule="auto"/>
        <w:tabs>
          <w:tab w:leader="none" w:pos="7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of the securities that was formerly a shell company has ceased to be a shell company;</w:t>
      </w:r>
    </w:p>
    <w:p>
      <w:pPr>
        <w:ind w:left="760" w:hanging="378"/>
        <w:spacing w:after="0" w:line="230" w:lineRule="auto"/>
        <w:tabs>
          <w:tab w:leader="none" w:pos="7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of the securities is subject to the reporting requirements of Section 13 or 15(d) of the Exchange Act;</w:t>
      </w:r>
    </w:p>
    <w:p>
      <w:pPr>
        <w:jc w:val="both"/>
        <w:ind w:left="760" w:hanging="378"/>
        <w:spacing w:after="0" w:line="230" w:lineRule="auto"/>
        <w:tabs>
          <w:tab w:leader="none" w:pos="7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1" w:lineRule="exact"/>
        <w:rPr>
          <w:rFonts w:ascii="Times New Roman" w:cs="Times New Roman" w:eastAsia="Times New Roman" w:hAnsi="Times New Roman"/>
          <w:sz w:val="22"/>
          <w:szCs w:val="22"/>
          <w:color w:val="auto"/>
        </w:rPr>
      </w:pPr>
    </w:p>
    <w:p>
      <w:pPr>
        <w:ind w:left="760" w:right="20" w:hanging="378"/>
        <w:spacing w:after="0" w:line="237" w:lineRule="auto"/>
        <w:tabs>
          <w:tab w:leader="none" w:pos="7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one year has elapsed from the time that the issuer filed current Form 10 type information with the SEC reflecting its status as an entity that is not a shell company.</w:t>
      </w:r>
    </w:p>
    <w:p>
      <w:pPr>
        <w:spacing w:after="0" w:line="20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As a result, it is likely that pursuant to Rule 144, our insiders will be able to sell their shares of Common Stock freely without registration one year after the Closing Date assuming they are not an affiliate of ours at that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 of Securities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Common Stock is currently listed on the Nasdaq under the symbol “DTI”.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1" w:name="page102"/>
    <w:bookmarkEnd w:id="101"/>
    <w:p>
      <w:pPr>
        <w:ind w:left="9740"/>
        <w:spacing w:after="0"/>
        <w:rPr>
          <w:sz w:val="20"/>
          <w:szCs w:val="20"/>
          <w:color w:val="auto"/>
        </w:rPr>
      </w:pPr>
      <w:r>
        <w:rPr>
          <w:rFonts w:ascii="Times New Roman" w:cs="Times New Roman" w:eastAsia="Times New Roman" w:hAnsi="Times New Roman"/>
          <w:sz w:val="18"/>
          <w:szCs w:val="18"/>
          <w:color w:val="auto"/>
        </w:rPr>
        <w:t>Exhibit 19.1</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Drilling Tools International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Drilling Tools International Corporation and its subsidiaries (collectively, the “Company”), expect Covered Persons to fully comply with all state and federal securities laws. Federal law prohibits the purchase or sale of Securities by a person aware of Material Non-Public Information, as well as the disclosure of Material Non-Public Information by a person to others who then trade in Securities based on that information. Punishment for insider trading violations is severe, and could result in significant fines and imprisonment. This Insider Trading Policy (the “Policy”) provides guidelines with respect to transactions in the Securities of the Company and the handling of confidential information about the Company and the companies with which the Company does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 xml:space="preserve">Business Partners and Competitors – </w:t>
      </w:r>
      <w:r>
        <w:rPr>
          <w:rFonts w:ascii="Times New Roman" w:cs="Times New Roman" w:eastAsia="Times New Roman" w:hAnsi="Times New Roman"/>
          <w:sz w:val="20"/>
          <w:szCs w:val="20"/>
          <w:color w:val="auto"/>
        </w:rPr>
        <w:t>All current and potential partners, vendors, suppliers and competitors of the Company.</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Affiliate </w:t>
      </w:r>
      <w:r>
        <w:rPr>
          <w:rFonts w:ascii="Times New Roman" w:cs="Times New Roman" w:eastAsia="Times New Roman" w:hAnsi="Times New Roman"/>
          <w:sz w:val="20"/>
          <w:szCs w:val="20"/>
          <w:color w:val="auto"/>
        </w:rPr>
        <w:t>– With respect to a (i) specified person, an affiliate of another person is a person who directly, or indirectly through one or more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intermediaries, controls or is controlled by, or is under common control with, the person specified; and (ii) company, such company is deemed to be an affiliate of another company if one of them is the subsidiary of the other or if both are subsidiaries of the same company or if each of them is controlled by the same person or company. Affiliate status is a facts and circumstances determination, but officers, directors and significant shareholders of an entity and partners of a partnership are generally deemed to be affiliates of the entity or partnership, as applicable.</w:t>
      </w:r>
    </w:p>
    <w:p>
      <w:pPr>
        <w:spacing w:after="0" w:line="1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Covered Persons </w:t>
      </w:r>
      <w:r>
        <w:rPr>
          <w:rFonts w:ascii="Times New Roman" w:cs="Times New Roman" w:eastAsia="Times New Roman" w:hAnsi="Times New Roman"/>
          <w:sz w:val="20"/>
          <w:szCs w:val="20"/>
          <w:color w:val="auto"/>
        </w:rPr>
        <w:t>– (i) All directors, officers, employees, consultants, contractors and agents of the Company, from time to time; (ii)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family member (including a spouse or domestic partner) or other person living in the household or a dependent child of any of the foregoing individuals; (iii) Affiliates of any of the above-mentioned individuals; (iv) partnerships, trusts, estates, corporations and other similar entities over which any of the above-mentioned individuals exercise control or direction (including by acting as trustee or in a similar capacity) collectively.</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Insider Trading </w:t>
      </w:r>
      <w:r>
        <w:rPr>
          <w:rFonts w:ascii="Times New Roman" w:cs="Times New Roman" w:eastAsia="Times New Roman" w:hAnsi="Times New Roman"/>
          <w:sz w:val="20"/>
          <w:szCs w:val="20"/>
          <w:color w:val="auto"/>
        </w:rPr>
        <w:t>– Trading or facilitating trading of the Company’s Securities while in possession of Material Non-Public Information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breach of a fiduciary duty or other relationship of trust and confidence owed to the Company, its shareholders or the source of the information.</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i w:val="1"/>
          <w:iCs w:val="1"/>
          <w:color w:val="auto"/>
        </w:rPr>
        <w:t xml:space="preserve">Material Information </w:t>
      </w:r>
      <w:r>
        <w:rPr>
          <w:rFonts w:ascii="Times New Roman" w:cs="Times New Roman" w:eastAsia="Times New Roman" w:hAnsi="Times New Roman"/>
          <w:sz w:val="20"/>
          <w:szCs w:val="20"/>
          <w:color w:val="auto"/>
        </w:rPr>
        <w:t>– Information that a reasonable investor would consider important in making a decision to buy, hold or sell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any information that could reasonably be expected to affect the price of a Security, whether it is positive or negative.</w:t>
      </w:r>
      <w:r>
        <w:rPr>
          <w:rFonts w:ascii="Times New Roman" w:cs="Times New Roman" w:eastAsia="Times New Roman" w:hAnsi="Times New Roman"/>
          <w:sz w:val="26"/>
          <w:szCs w:val="26"/>
          <w:color w:val="auto"/>
          <w:vertAlign w:val="superscript"/>
        </w:rPr>
        <w:t>[1]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Material Non-Public Information</w:t>
      </w:r>
      <w:r>
        <w:rPr>
          <w:rFonts w:ascii="Times New Roman" w:cs="Times New Roman" w:eastAsia="Times New Roman" w:hAnsi="Times New Roman"/>
          <w:sz w:val="20"/>
          <w:szCs w:val="20"/>
          <w:color w:val="auto"/>
        </w:rPr>
        <w:t>– Information that is both Material Information and Non-Public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Non-Public Information </w:t>
      </w:r>
      <w:r>
        <w:rPr>
          <w:rFonts w:ascii="Times New Roman" w:cs="Times New Roman" w:eastAsia="Times New Roman" w:hAnsi="Times New Roman"/>
          <w:sz w:val="20"/>
          <w:szCs w:val="20"/>
          <w:color w:val="auto"/>
        </w:rPr>
        <w:t>– Information that has not been disclosed to the public and widely disseminated.</w:t>
      </w:r>
      <w:r>
        <w:rPr>
          <w:rFonts w:ascii="Times New Roman" w:cs="Times New Roman" w:eastAsia="Times New Roman" w:hAnsi="Times New Roman"/>
          <w:sz w:val="26"/>
          <w:szCs w:val="26"/>
          <w:color w:val="auto"/>
          <w:vertAlign w:val="superscript"/>
        </w:rPr>
        <w:t>[2]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SEC </w:t>
      </w:r>
      <w:r>
        <w:rPr>
          <w:rFonts w:ascii="Times New Roman" w:cs="Times New Roman" w:eastAsia="Times New Roman" w:hAnsi="Times New Roman"/>
          <w:sz w:val="20"/>
          <w:szCs w:val="20"/>
          <w:color w:val="auto"/>
        </w:rPr>
        <w:t>– The Securities and Exchange Commission.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Security </w:t>
      </w:r>
      <w:r>
        <w:rPr>
          <w:rFonts w:ascii="Times New Roman" w:cs="Times New Roman" w:eastAsia="Times New Roman" w:hAnsi="Times New Roman"/>
          <w:sz w:val="20"/>
          <w:szCs w:val="20"/>
          <w:color w:val="auto"/>
        </w:rPr>
        <w:t>– a fungible, negotiable financial instrument issued by a company that offers evidence of (i) an ownership position in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(equity); (ii) a creditor relationship with the company (debt); or (iii) a hybrid combination of equity and debt. The Company’s Securities include its common stock, as well as any debt securities that it may issue.</w:t>
      </w:r>
    </w:p>
    <w:p>
      <w:pPr>
        <w:spacing w:after="0" w:line="200" w:lineRule="exact"/>
        <w:rPr>
          <w:sz w:val="20"/>
          <w:szCs w:val="20"/>
          <w:color w:val="auto"/>
        </w:rPr>
      </w:pPr>
    </w:p>
    <w:p>
      <w:pPr>
        <w:spacing w:after="0" w:line="202" w:lineRule="exact"/>
        <w:rPr>
          <w:sz w:val="20"/>
          <w:szCs w:val="20"/>
          <w:color w:val="auto"/>
        </w:rPr>
      </w:pPr>
    </w:p>
    <w:p>
      <w:pPr>
        <w:ind w:right="160" w:firstLine="8"/>
        <w:spacing w:after="0" w:line="242" w:lineRule="auto"/>
        <w:tabs>
          <w:tab w:leader="none" w:pos="204" w:val="left"/>
        </w:tabs>
        <w:numPr>
          <w:ilvl w:val="0"/>
          <w:numId w:val="5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There is no bright-line standard for assessing materiality. Rather, materiality is based on an assessment of all of the facts and circumstances, and is often evaluated by enforcement authorities with the benefit of hindsight. The information may relate to the Company itself or involve the Company’s suppliers, partners, or acquisition targets. Information deemed material could relate to, among other things, proposed acquisitions, dispositions or mergers, regulatory actions, financial results, financing or capital plans, changes in dividend rates, significant write-offs or significant increases in reserves, significant litigation or government investigations, cybersecurity incidents and major changes in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2" w:name="page103"/>
    <w:bookmarkEnd w:id="102"/>
    <w:p>
      <w:pPr>
        <w:ind w:left="9740"/>
        <w:spacing w:after="0"/>
        <w:rPr>
          <w:sz w:val="20"/>
          <w:szCs w:val="20"/>
          <w:color w:val="auto"/>
        </w:rPr>
      </w:pPr>
      <w:r>
        <w:rPr>
          <w:rFonts w:ascii="Times New Roman" w:cs="Times New Roman" w:eastAsia="Times New Roman" w:hAnsi="Times New Roman"/>
          <w:sz w:val="18"/>
          <w:szCs w:val="18"/>
          <w:color w:val="auto"/>
        </w:rPr>
        <w:t>Exhibit 19.1</w:t>
      </w:r>
    </w:p>
    <w:p>
      <w:pPr>
        <w:spacing w:after="0" w:line="239" w:lineRule="exact"/>
        <w:rPr>
          <w:sz w:val="20"/>
          <w:szCs w:val="20"/>
          <w:color w:val="auto"/>
        </w:rPr>
      </w:pPr>
    </w:p>
    <w:p>
      <w:pPr>
        <w:jc w:val="both"/>
        <w:ind w:firstLine="8"/>
        <w:spacing w:after="0"/>
        <w:tabs>
          <w:tab w:leader="none" w:pos="199" w:val="left"/>
        </w:tabs>
        <w:numPr>
          <w:ilvl w:val="0"/>
          <w:numId w:val="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Information generally is considered widely disseminated if it has been disclosed through a national newswire service, published in a widely available newspaper, magazine or news website, or publicly disclosed in a document filed with the SEC that is available on the SEC’s website. By contrast, information would likely not be considered widely disseminated if it is available only to the Company’s employees, or if it is only available to a select group of analysts, brokers and institutional investors. Once information is widely disseminated, it is still necessary to afford the investing public sufficient time to absorb the information. As a rule of thumb, information is generally not considered public until one to three days after it has been publicly disclosed.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POLICY GUIDELINES</w:t>
      </w: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It is the policy of the Company that if a Covered Person is aware of Material Non-Public Information relating to the Company,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Covered Person may not:</w:t>
      </w:r>
    </w:p>
    <w:p>
      <w:pPr>
        <w:spacing w:after="0" w:line="327"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 directly or indirectly, in any Securities of the Company;</w:t>
      </w:r>
    </w:p>
    <w:p>
      <w:pPr>
        <w:spacing w:after="0" w:line="28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 the purchase or sale of any Securities of the Company;</w:t>
      </w:r>
    </w:p>
    <w:p>
      <w:pPr>
        <w:spacing w:after="0" w:line="337"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Material Non-Public Information to persons within the Company whose jobs do not require them to have that information; or</w:t>
      </w:r>
    </w:p>
    <w:p>
      <w:pPr>
        <w:spacing w:after="0" w:line="280" w:lineRule="exact"/>
        <w:rPr>
          <w:rFonts w:ascii="Times New Roman" w:cs="Times New Roman" w:eastAsia="Times New Roman" w:hAnsi="Times New Roman"/>
          <w:sz w:val="20"/>
          <w:szCs w:val="20"/>
          <w:color w:val="auto"/>
        </w:rPr>
      </w:pPr>
    </w:p>
    <w:p>
      <w:pPr>
        <w:jc w:val="both"/>
        <w:ind w:left="1020" w:hanging="503"/>
        <w:spacing w:after="0" w:line="250" w:lineRule="auto"/>
        <w:tabs>
          <w:tab w:leader="none" w:pos="10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Material Non-Public information outside of the Company to any other persons, unless any such disclosure is made in accordance with the Company’s policies regarding the protection or authorized external disclosure of information regarding the</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Company.</w:t>
      </w:r>
    </w:p>
    <w:p>
      <w:pPr>
        <w:ind w:firstLine="374"/>
        <w:spacing w:after="0" w:line="271" w:lineRule="auto"/>
        <w:rPr>
          <w:sz w:val="20"/>
          <w:szCs w:val="20"/>
          <w:color w:val="auto"/>
        </w:rPr>
      </w:pPr>
      <w:r>
        <w:rPr>
          <w:rFonts w:ascii="Times New Roman" w:cs="Times New Roman" w:eastAsia="Times New Roman" w:hAnsi="Times New Roman"/>
          <w:sz w:val="19"/>
          <w:szCs w:val="19"/>
          <w:color w:val="auto"/>
        </w:rPr>
        <w:t>In addition, it is the policy of the Company that if a Covered Person learns of Material Non-Public Information about a Business Partner or Competitor, the Covered Person may not trade in that company’s Securities until the information becomes public or is no longer material.</w:t>
      </w:r>
    </w:p>
    <w:p>
      <w:pPr>
        <w:spacing w:after="0" w:line="173" w:lineRule="exact"/>
        <w:rPr>
          <w:sz w:val="20"/>
          <w:szCs w:val="20"/>
          <w:color w:val="auto"/>
        </w:rPr>
      </w:pPr>
    </w:p>
    <w:p>
      <w:pPr>
        <w:ind w:firstLine="374"/>
        <w:spacing w:after="0" w:line="269" w:lineRule="auto"/>
        <w:rPr>
          <w:sz w:val="20"/>
          <w:szCs w:val="20"/>
          <w:color w:val="auto"/>
        </w:rPr>
      </w:pPr>
      <w:r>
        <w:rPr>
          <w:rFonts w:ascii="Times New Roman" w:cs="Times New Roman" w:eastAsia="Times New Roman" w:hAnsi="Times New Roman"/>
          <w:sz w:val="20"/>
          <w:szCs w:val="20"/>
          <w:color w:val="auto"/>
        </w:rPr>
        <w:t>Any exceptions to this policy may be granted only by the Chief Financial Officer and must be provided before any activity contrary to this policy takes place.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 SPECULATING, SHORT-SELLING, PUTS AND CALLS</w:t>
      </w:r>
    </w:p>
    <w:p>
      <w:pPr>
        <w:spacing w:after="0" w:line="233" w:lineRule="exact"/>
        <w:rPr>
          <w:sz w:val="20"/>
          <w:szCs w:val="20"/>
          <w:color w:val="auto"/>
        </w:rPr>
      </w:pPr>
    </w:p>
    <w:p>
      <w:pPr>
        <w:ind w:right="860"/>
        <w:spacing w:after="0" w:line="269" w:lineRule="auto"/>
        <w:rPr>
          <w:sz w:val="20"/>
          <w:szCs w:val="20"/>
          <w:color w:val="auto"/>
        </w:rPr>
      </w:pPr>
      <w:r>
        <w:rPr>
          <w:rFonts w:ascii="Times New Roman" w:cs="Times New Roman" w:eastAsia="Times New Roman" w:hAnsi="Times New Roman"/>
          <w:sz w:val="20"/>
          <w:szCs w:val="20"/>
          <w:color w:val="auto"/>
        </w:rPr>
        <w:t>Trading in Securities of the Company by Covered Persons with access to Material Information may give rise to actual or perceived contraventions of applicable securities laws and/or inappropriate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conflicts of interest. To assist Covered Persons in undertaking trades of Securities that do not result in such contraventions or conflicts,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Covered Persons are prohibited at any time from, directly or indirectly, undertaking any of the following activities:</w:t>
      </w:r>
    </w:p>
    <w:p>
      <w:pPr>
        <w:spacing w:after="0" w:line="315"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speculating in Securities of the Company, which may include day trading;</w:t>
      </w:r>
    </w:p>
    <w:p>
      <w:pPr>
        <w:spacing w:after="0" w:line="33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buying the Company’s Securities on margin;</w:t>
      </w:r>
    </w:p>
    <w:p>
      <w:pPr>
        <w:spacing w:after="0" w:line="337"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selling a Security of the Company or any other arrangement that results in a gain only if the value of the Company’s Securities declines in the future;</w:t>
      </w:r>
    </w:p>
    <w:p>
      <w:pPr>
        <w:spacing w:after="0" w:line="28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selling a “call option” giving the holder an option to purchase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3" w:name="page104"/>
    <w:bookmarkEnd w:id="103"/>
    <w:p>
      <w:pPr>
        <w:ind w:left="9740"/>
        <w:spacing w:after="0"/>
        <w:rPr>
          <w:sz w:val="20"/>
          <w:szCs w:val="20"/>
          <w:color w:val="auto"/>
        </w:rPr>
      </w:pPr>
      <w:r>
        <w:rPr>
          <w:rFonts w:ascii="Times New Roman" w:cs="Times New Roman" w:eastAsia="Times New Roman" w:hAnsi="Times New Roman"/>
          <w:sz w:val="18"/>
          <w:szCs w:val="18"/>
          <w:color w:val="auto"/>
        </w:rPr>
        <w:t>Exhibit 19.1</w:t>
      </w:r>
    </w:p>
    <w:p>
      <w:pPr>
        <w:spacing w:after="0" w:line="329" w:lineRule="exact"/>
        <w:rPr>
          <w:sz w:val="20"/>
          <w:szCs w:val="20"/>
          <w:color w:val="auto"/>
        </w:rPr>
      </w:pPr>
    </w:p>
    <w:p>
      <w:pPr>
        <w:ind w:left="1020" w:hanging="503"/>
        <w:spacing w:after="0"/>
        <w:tabs>
          <w:tab w:leader="none" w:pos="102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buying a “put option” giving the holder an option to sell Securities of the Company;</w:t>
      </w:r>
    </w:p>
    <w:p>
      <w:pPr>
        <w:spacing w:after="0" w:line="242" w:lineRule="exact"/>
        <w:rPr>
          <w:rFonts w:ascii="Times New Roman" w:cs="Times New Roman" w:eastAsia="Times New Roman" w:hAnsi="Times New Roman"/>
          <w:sz w:val="20"/>
          <w:szCs w:val="20"/>
          <w:color w:val="auto"/>
        </w:rPr>
      </w:pPr>
    </w:p>
    <w:p>
      <w:pPr>
        <w:ind w:right="120" w:firstLine="8"/>
        <w:spacing w:after="0" w:line="231" w:lineRule="auto"/>
        <w:tabs>
          <w:tab w:leader="none" w:pos="204" w:val="left"/>
        </w:tabs>
        <w:numPr>
          <w:ilvl w:val="0"/>
          <w:numId w:val="5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A “trade” means any purchase, sale, pledge, gift, election made in a Company plan (e.g., 401(k) plan or employee stock purchase plan) or entry into, modification or termination of a 10b5-1 trading plan.</w:t>
      </w:r>
    </w:p>
    <w:p>
      <w:pPr>
        <w:spacing w:after="0" w:line="80" w:lineRule="exact"/>
        <w:rPr>
          <w:rFonts w:ascii="Times New Roman" w:cs="Times New Roman" w:eastAsia="Times New Roman" w:hAnsi="Times New Roman"/>
          <w:sz w:val="25"/>
          <w:szCs w:val="25"/>
          <w:color w:val="auto"/>
          <w:vertAlign w:val="superscript"/>
        </w:rPr>
      </w:pPr>
    </w:p>
    <w:p>
      <w:pPr>
        <w:jc w:val="both"/>
        <w:ind w:left="1020" w:hanging="503"/>
        <w:spacing w:after="0" w:line="254" w:lineRule="auto"/>
        <w:tabs>
          <w:tab w:leader="none" w:pos="102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purchasing financial instruments, including prepaid variable forward contracts, equity swaps, collars, or units of exchange funds, that are designed to hedge or offset a decrease in the market value of Securities of the Company held, directly or indirectly, by such Covered Persons, including equity Securities granted as compensation; and</w:t>
      </w:r>
    </w:p>
    <w:p>
      <w:pPr>
        <w:spacing w:after="0" w:line="295"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transaction similar to the foregoing.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TRADING PRE-CLEARANCE</w:t>
      </w:r>
    </w:p>
    <w:p>
      <w:pPr>
        <w:spacing w:after="0" w:line="233"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19"/>
          <w:szCs w:val="19"/>
          <w:color w:val="auto"/>
        </w:rPr>
        <w:t>To assist each of the Covered Persons specified below to avoid undertaking any trade in Securities of the Company that may contravene or be perceived to contravene applicable securities laws, the following individuals are required to notify the Chief Financial Officer of any proposed trade of Securities of the Company in order to confirm that there is no Material Information that has not been generally disclosed:</w:t>
      </w:r>
    </w:p>
    <w:p>
      <w:pPr>
        <w:spacing w:after="0" w:line="278" w:lineRule="exact"/>
        <w:rPr>
          <w:sz w:val="20"/>
          <w:szCs w:val="20"/>
          <w:color w:val="auto"/>
        </w:rPr>
      </w:pPr>
    </w:p>
    <w:p>
      <w:pPr>
        <w:ind w:left="1020" w:hanging="503"/>
        <w:spacing w:after="0" w:line="269" w:lineRule="auto"/>
        <w:tabs>
          <w:tab w:leader="none" w:pos="10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or executive officer of the Company subject to Section 16 of the Securities Exchange Act of 1934 with respect to Company Securities;</w:t>
      </w:r>
    </w:p>
    <w:p>
      <w:pPr>
        <w:spacing w:after="0" w:line="280"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individual who is notified by the Chief Financial Officer that the individual’s trades in Securities of the Company will be subject to pre-clearance in accordance with this Policy;</w:t>
      </w:r>
    </w:p>
    <w:p>
      <w:pPr>
        <w:spacing w:after="0" w:line="280"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family member (including a spouse or domestic partner) or other person living in the household or a dependent child of any of the foregoing individuals; and</w:t>
      </w:r>
    </w:p>
    <w:p>
      <w:pPr>
        <w:spacing w:after="0" w:line="280" w:lineRule="exact"/>
        <w:rPr>
          <w:rFonts w:ascii="Times New Roman" w:cs="Times New Roman" w:eastAsia="Times New Roman" w:hAnsi="Times New Roman"/>
          <w:sz w:val="20"/>
          <w:szCs w:val="20"/>
          <w:color w:val="auto"/>
        </w:rPr>
      </w:pPr>
    </w:p>
    <w:p>
      <w:pPr>
        <w:ind w:left="1020" w:right="20" w:hanging="503"/>
        <w:spacing w:after="0" w:line="269" w:lineRule="auto"/>
        <w:tabs>
          <w:tab w:leader="none" w:pos="10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persons as the Chief Executive Officer of the Company may designate as being subject to the trading pre-clearance restrictions.</w:t>
      </w:r>
    </w:p>
    <w:p>
      <w:pPr>
        <w:spacing w:after="0" w:line="17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Such notification shall be made by personal conversation with, or e-mail or written notice (“Trade Notice”) to the Chief Financial Officer no later than 9:00 a.m. (Central Time) on the business day before the date of the proposed trade (or such shorter period as the Chief Financial Officer may permit in his/her sole discretion) and no earlier than five (5) business days before the day of the proposed trades. The Chief Financial Officer may consult with outside counsel regarding Trade Notices. Prior to 5:00 p.m. (Central Time) on the business day preceding the date of the proposed trade, the Chief Financial Officer shall endeavor to notify any individual who has given a Trade Notice in accordance with this Policy whether the Chief Financial Officer reasonably anticipates that any proposed trade will contravene applicable securities laws and/or this Policy, and if so, that the proposed trade may not be undertaken. If the Chief Financial Officer does not notify the individual and provide pre-clearance of the trade, the applicable Covered Person may not proceed with such trade. The Chief Financial Officer will respond to all Trade Notices.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WINDOW PERIODS</w:t>
      </w:r>
    </w:p>
    <w:p>
      <w:pPr>
        <w:spacing w:after="0" w:line="23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“Blackout Group” consists of Company directors, officers and employees (designated by the Chief Financial Officer) whose duties may involve the receipt of Material Non-Public Information during preparation of the Company’s quarterly earnings information. Blackout Group members are prohibited from purchasing or selling any Security of the Company during the period beginning 15 calendar days before the end of any fiscal quarter of the Company and ending upon completion of the second full business day after the public release of earnings data for such fiscal quarter or during any other trading suspension period declared by the Company, except for:</w:t>
      </w:r>
    </w:p>
    <w:p>
      <w:pPr>
        <w:spacing w:after="0" w:line="306"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the Company’s Securities from the Company or sales of the Company’s Securities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4" w:name="page105"/>
    <w:bookmarkEnd w:id="104"/>
    <w:p>
      <w:pPr>
        <w:ind w:left="9740"/>
        <w:spacing w:after="0"/>
        <w:rPr>
          <w:sz w:val="20"/>
          <w:szCs w:val="20"/>
          <w:color w:val="auto"/>
        </w:rPr>
      </w:pPr>
      <w:r>
        <w:rPr>
          <w:rFonts w:ascii="Times New Roman" w:cs="Times New Roman" w:eastAsia="Times New Roman" w:hAnsi="Times New Roman"/>
          <w:sz w:val="18"/>
          <w:szCs w:val="18"/>
          <w:color w:val="auto"/>
        </w:rPr>
        <w:t>Exhibit 19.1</w:t>
      </w:r>
    </w:p>
    <w:p>
      <w:pPr>
        <w:spacing w:after="0" w:line="200" w:lineRule="exact"/>
        <w:rPr>
          <w:sz w:val="20"/>
          <w:szCs w:val="20"/>
          <w:color w:val="auto"/>
        </w:rPr>
      </w:pPr>
    </w:p>
    <w:p>
      <w:pPr>
        <w:spacing w:after="0" w:line="358" w:lineRule="exact"/>
        <w:rPr>
          <w:sz w:val="20"/>
          <w:szCs w:val="20"/>
          <w:color w:val="auto"/>
        </w:rPr>
      </w:pPr>
    </w:p>
    <w:p>
      <w:pPr>
        <w:jc w:val="both"/>
        <w:ind w:left="1020" w:hanging="503"/>
        <w:spacing w:after="0" w:line="246" w:lineRule="auto"/>
        <w:tabs>
          <w:tab w:leader="none" w:pos="10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a Company stock option through a broker </w:t>
      </w:r>
      <w:r>
        <w:rPr>
          <w:rFonts w:ascii="Times New Roman" w:cs="Times New Roman" w:eastAsia="Times New Roman" w:hAnsi="Times New Roman"/>
          <w:sz w:val="20"/>
          <w:szCs w:val="20"/>
          <w:u w:val="single" w:color="auto"/>
          <w:color w:val="auto"/>
        </w:rPr>
        <w:t>does</w:t>
      </w:r>
      <w:r>
        <w:rPr>
          <w:rFonts w:ascii="Times New Roman" w:cs="Times New Roman" w:eastAsia="Times New Roman" w:hAnsi="Times New Roman"/>
          <w:sz w:val="20"/>
          <w:szCs w:val="20"/>
          <w:color w:val="auto"/>
        </w:rPr>
        <w:t xml:space="preserve"> involve a market sale of the Company’s Securities, and therefore would not qualify under this exception); and</w:t>
      </w:r>
    </w:p>
    <w:p>
      <w:pPr>
        <w:spacing w:after="0" w:line="306" w:lineRule="exact"/>
        <w:rPr>
          <w:rFonts w:ascii="Times New Roman" w:cs="Times New Roman" w:eastAsia="Times New Roman" w:hAnsi="Times New Roman"/>
          <w:sz w:val="20"/>
          <w:szCs w:val="20"/>
          <w:color w:val="auto"/>
        </w:rPr>
      </w:pPr>
    </w:p>
    <w:p>
      <w:pPr>
        <w:jc w:val="both"/>
        <w:ind w:left="1020" w:hanging="503"/>
        <w:spacing w:after="0" w:line="245" w:lineRule="auto"/>
        <w:tabs>
          <w:tab w:leader="none" w:pos="10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or sales of the Company’s Securities made pursuant to any binding contract, specific instruction or written plan entered into while the purchaser or seller, as applicable, was unaware of any Material Non-Public Information and which contract, instruction or plan (i) meets all requirements of the affirmative defense provided by Rule 10b5-1 promulgated under the Securities Exchange Act of 1934, (ii) was pre-cleared in advance pursuant to this Policy and (iii) has not been amended or modified in any respect after such initial pre-clearance without such amendment or modification being pre-cleared in advance pursuant to this Policy.</w:t>
      </w:r>
    </w:p>
    <w:p>
      <w:pPr>
        <w:spacing w:after="0" w:line="198"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From time to time, the Company, through the Board of Directors or the Chief Financial Officer or Chief Executive Officer, may impose special window periods and require that Blackout Group members and other designated individuals suspend trading in the Company’s Securities because of developments that have not yet been disclosed to the public. Subject to the exceptions noted above, all those affected shall not trade in the Company’s Securities while the suspension is in effect, and shall not disclose to others that the Company has suspended trading.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INSIDE INFORMATION REGARDING OTHER COMPANIES</w:t>
      </w:r>
    </w:p>
    <w:p>
      <w:pPr>
        <w:spacing w:after="0" w:line="200" w:lineRule="exact"/>
        <w:rPr>
          <w:sz w:val="20"/>
          <w:szCs w:val="20"/>
          <w:color w:val="auto"/>
        </w:rPr>
      </w:pPr>
    </w:p>
    <w:p>
      <w:pPr>
        <w:spacing w:after="0" w:line="20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This Policy and the guidelines described in this Policy also apply to Material Non-Public Information relating to other companies, including the Company’s Business Partners and Competitors, when that information is obtained in the course of employment with, or the performance of services on behalf of, the Company. Covered Persons shall treat Material Non-Public Information about the Company’s Business Partners and Competitors with the same care required with respect to information related directly to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ADMINISTRATION</w:t>
      </w:r>
    </w:p>
    <w:p>
      <w:pPr>
        <w:spacing w:after="0" w:line="23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Implementation of this Policy is the responsibility of all management and supervisory personnel. Under federal law, corporate employers can be liable for insider trading violations of their employees. The SEC can bring action against persons who “control” violators, which may include the Company, employees with supervisory authority and officers and directors of the Company.</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Copies of the Policy are available to all Covered Persons upon request. The Policy is also available on the Company Intranet.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WHISTLEBLOWER</w:t>
      </w:r>
    </w:p>
    <w:p>
      <w:pPr>
        <w:spacing w:after="0" w:line="233"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Any individual who has information that another person has engaged in Insider Trading or any other activity in contravention of this Insider Trading Policy should report that information to the Chief Financial Officer.</w:t>
      </w:r>
    </w:p>
    <w:p>
      <w:pPr>
        <w:spacing w:after="0" w:line="17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There will be no retaliation against any person who makes a complaint, encourages another person to make a complaint, or who participates in the investigation of a complaint. However, any Covered Person complaint or participation that is not in good faith may subject the Covered Person to disciplinary or other responsive action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5" w:name="page106"/>
    <w:bookmarkEnd w:id="105"/>
    <w:p>
      <w:pPr>
        <w:ind w:left="9740"/>
        <w:spacing w:after="0"/>
        <w:rPr>
          <w:sz w:val="20"/>
          <w:szCs w:val="20"/>
          <w:color w:val="auto"/>
        </w:rPr>
      </w:pPr>
      <w:r>
        <w:rPr>
          <w:rFonts w:ascii="Times New Roman" w:cs="Times New Roman" w:eastAsia="Times New Roman" w:hAnsi="Times New Roman"/>
          <w:sz w:val="18"/>
          <w:szCs w:val="18"/>
          <w:color w:val="auto"/>
        </w:rPr>
        <w:t>Exhibit 19.1</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COMPLIANCE AND QUESTIONS</w:t>
      </w:r>
    </w:p>
    <w:p>
      <w:pPr>
        <w:spacing w:after="0" w:line="23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Any Covered Person who fails to comply with this Policy is subject to appropriate disciplinary action, which may include civil and criminal penalties and termination of employment or other service, with cause. Questions related to this Policy should be directed to the Chief Financial Officer.</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This Policy continues to apply to transactions in the Company’s Securities even after termination of service to the Company. If an individual is in possession of Material Non-Public Information about the Company when his or her service terminates, that individual may not trade in the Company’s Securities until the information becomes public or is no longer Material Information.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Covered Persons are responsible for ensuring that members of their households also comply with this Policy.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Adopted by the Board of Directors June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333-266522 and Form S8­ No. 333-214383 of Drilling Tools International Corporation of our report dated March 14, 2025, relating to the consolidated financial statements which appears in this Form 10-K.</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Wayne Prejean, certify that:</w:t>
      </w:r>
    </w:p>
    <w:p>
      <w:pPr>
        <w:spacing w:after="0" w:line="225"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Drilling Tools International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March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 Wayne Prejean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 Johnson, certify that:</w:t>
      </w:r>
    </w:p>
    <w:p>
      <w:pPr>
        <w:spacing w:after="0" w:line="225"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Drilling Tools International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March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David R. Johnson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Drilling Tools International Corporation (the “Company”) on Form 10-K for the period ending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6920" w:val="left"/>
          <w:tab w:leader="none" w:pos="8460" w:val="left"/>
        </w:tabs>
        <w:rPr>
          <w:sz w:val="20"/>
          <w:szCs w:val="20"/>
          <w:color w:val="auto"/>
        </w:rPr>
      </w:pPr>
      <w:r>
        <w:rPr>
          <w:rFonts w:ascii="Times New Roman" w:cs="Times New Roman" w:eastAsia="Times New Roman" w:hAnsi="Times New Roman"/>
          <w:sz w:val="18"/>
          <w:szCs w:val="18"/>
          <w:color w:val="auto"/>
        </w:rPr>
        <w:t>Date: March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285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2">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21"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8"/>
          <w:szCs w:val="18"/>
          <w:b w:val="1"/>
          <w:bCs w:val="1"/>
          <w:color w:val="auto"/>
        </w:rPr>
        <w:t>R. Wayne Prejean</w:t>
      </w:r>
    </w:p>
    <w:p>
      <w:pPr>
        <w:spacing w:after="0" w:line="9"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Drilling Tools International Corporation (the “Company”) on Form 10-K for the period ending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6920" w:val="left"/>
          <w:tab w:leader="none" w:pos="8480" w:val="left"/>
        </w:tabs>
        <w:rPr>
          <w:sz w:val="20"/>
          <w:szCs w:val="20"/>
          <w:color w:val="auto"/>
        </w:rPr>
      </w:pPr>
      <w:r>
        <w:rPr>
          <w:rFonts w:ascii="Times New Roman" w:cs="Times New Roman" w:eastAsia="Times New Roman" w:hAnsi="Times New Roman"/>
          <w:sz w:val="18"/>
          <w:szCs w:val="18"/>
          <w:color w:val="auto"/>
        </w:rPr>
        <w:t>Date: March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285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4">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21"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8"/>
          <w:szCs w:val="18"/>
          <w:b w:val="1"/>
          <w:bCs w:val="1"/>
          <w:color w:val="auto"/>
        </w:rPr>
        <w:t>David R. Johnson</w:t>
      </w:r>
    </w:p>
    <w:p>
      <w:pPr>
        <w:spacing w:after="0" w:line="9"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auto"/>
        </w:rPr>
        <w:t>Drilling Tools International Corp.</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POLICY FOR THE RECOVERY OF</w:t>
      </w:r>
    </w:p>
    <w:p>
      <w:pPr>
        <w:spacing w:after="0" w:line="14"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ERRONEOUSLY AWARDED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60" w:hanging="758"/>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OVERVIEW</w:t>
      </w:r>
    </w:p>
    <w:p>
      <w:pPr>
        <w:spacing w:after="0" w:line="212" w:lineRule="exact"/>
        <w:rPr>
          <w:sz w:val="20"/>
          <w:szCs w:val="20"/>
          <w:color w:val="auto"/>
        </w:rPr>
      </w:pPr>
    </w:p>
    <w:p>
      <w:pPr>
        <w:jc w:val="both"/>
        <w:ind w:right="500" w:firstLine="749"/>
        <w:spacing w:after="0" w:line="244" w:lineRule="auto"/>
        <w:rPr>
          <w:sz w:val="20"/>
          <w:szCs w:val="20"/>
          <w:color w:val="auto"/>
        </w:rPr>
      </w:pPr>
      <w:r>
        <w:rPr>
          <w:rFonts w:ascii="Arial" w:cs="Arial" w:eastAsia="Arial" w:hAnsi="Arial"/>
          <w:sz w:val="18"/>
          <w:szCs w:val="18"/>
          <w:color w:val="auto"/>
        </w:rPr>
        <w:t xml:space="preserve">In accordance with the applicable rules of The Nasdaq Stock Market LLC, including Nasdaq Rule 5608 (collectively, the </w:t>
      </w:r>
      <w:r>
        <w:rPr>
          <w:rFonts w:ascii="Arial" w:cs="Arial" w:eastAsia="Arial" w:hAnsi="Arial"/>
          <w:sz w:val="18"/>
          <w:szCs w:val="18"/>
          <w:b w:val="1"/>
          <w:bCs w:val="1"/>
          <w:i w:val="1"/>
          <w:iCs w:val="1"/>
          <w:color w:val="auto"/>
        </w:rPr>
        <w:t>“Nasdaq Rules”</w:t>
      </w:r>
      <w:r>
        <w:rPr>
          <w:rFonts w:ascii="Arial" w:cs="Arial" w:eastAsia="Arial" w:hAnsi="Arial"/>
          <w:sz w:val="18"/>
          <w:szCs w:val="18"/>
          <w:color w:val="auto"/>
        </w:rPr>
        <w:t>), Section 10D and Rule 10D-1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w:t>
      </w:r>
      <w:r>
        <w:rPr>
          <w:rFonts w:ascii="Arial" w:cs="Arial" w:eastAsia="Arial" w:hAnsi="Arial"/>
          <w:sz w:val="18"/>
          <w:szCs w:val="18"/>
          <w:b w:val="1"/>
          <w:bCs w:val="1"/>
          <w:i w:val="1"/>
          <w:iCs w:val="1"/>
          <w:color w:val="auto"/>
        </w:rPr>
        <w:t>Rule 10D-1</w:t>
      </w:r>
      <w:r>
        <w:rPr>
          <w:rFonts w:ascii="Arial" w:cs="Arial" w:eastAsia="Arial" w:hAnsi="Arial"/>
          <w:sz w:val="18"/>
          <w:szCs w:val="18"/>
          <w:color w:val="auto"/>
        </w:rPr>
        <w:t>”),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Drilling Tools International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adopted this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to provide for the recovery of erroneously awarded Incentive-based Compensation from Executive Officers. All capitalized terms used and not otherwise defined herein shall have the meanings set forth in Section H, below.</w:t>
      </w:r>
    </w:p>
    <w:p>
      <w:pPr>
        <w:spacing w:after="0" w:line="163" w:lineRule="exact"/>
        <w:rPr>
          <w:sz w:val="20"/>
          <w:szCs w:val="20"/>
          <w:color w:val="auto"/>
        </w:rPr>
      </w:pPr>
    </w:p>
    <w:p>
      <w:pPr>
        <w:ind w:left="760" w:hanging="758"/>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RECOVERY OF ERRONEOUSLY AWARDED COMPENSATION</w:t>
      </w:r>
    </w:p>
    <w:p>
      <w:pPr>
        <w:spacing w:after="0" w:line="211" w:lineRule="exact"/>
        <w:rPr>
          <w:rFonts w:ascii="Arial" w:cs="Arial" w:eastAsia="Arial" w:hAnsi="Arial"/>
          <w:sz w:val="18"/>
          <w:szCs w:val="18"/>
          <w:color w:val="auto"/>
        </w:rPr>
      </w:pPr>
    </w:p>
    <w:p>
      <w:pPr>
        <w:ind w:right="500" w:firstLine="716"/>
        <w:spacing w:after="0" w:line="271" w:lineRule="auto"/>
        <w:tabs>
          <w:tab w:leader="none" w:pos="986"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event of an Accounting Restatement, the Company will reasonably promptly recover the Erroneously Awarded Compensation Received in accordance with Nasdaq Rules and Rule 10D-1 as follows:</w:t>
      </w:r>
    </w:p>
    <w:p>
      <w:pPr>
        <w:spacing w:after="0" w:line="154" w:lineRule="exact"/>
        <w:rPr>
          <w:sz w:val="20"/>
          <w:szCs w:val="20"/>
          <w:color w:val="auto"/>
        </w:rPr>
      </w:pPr>
    </w:p>
    <w:p>
      <w:pPr>
        <w:jc w:val="both"/>
        <w:ind w:left="1460" w:right="500" w:hanging="709"/>
        <w:spacing w:after="0" w:line="239" w:lineRule="auto"/>
        <w:tabs>
          <w:tab w:leader="none" w:pos="1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After an Accounting Restatement, the Compensation Committee (if composed entirely of independent directors, or in the absence of such a committee, a majority of independent directors serving on the Board)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determine the amount of any Erroneously Awarded Compensation Received by each Executive Officer and shall promptly notify each Executive Officer with a written notice containing the amount of any Erroneously Awarded Compensation and a demand for repayment or return of such compensation, as applicable, including any repayment schedule associated therewith. For the avoidance of doubt, this Policy shall apply to all Executive Officers who received Erroneously Awarded Compensation during the applicable Clawback Period, regardless of whether any particular Executive Officer was or was not responsible for or involved in the preparation of the Company’s financial statements.</w:t>
      </w:r>
    </w:p>
    <w:p>
      <w:pPr>
        <w:spacing w:after="0" w:line="183" w:lineRule="exact"/>
        <w:rPr>
          <w:sz w:val="20"/>
          <w:szCs w:val="20"/>
          <w:color w:val="auto"/>
        </w:rPr>
      </w:pPr>
    </w:p>
    <w:p>
      <w:pPr>
        <w:jc w:val="both"/>
        <w:ind w:left="1500" w:right="500"/>
        <w:spacing w:after="0" w:line="253" w:lineRule="auto"/>
        <w:rPr>
          <w:sz w:val="20"/>
          <w:szCs w:val="20"/>
          <w:color w:val="auto"/>
        </w:rPr>
      </w:pPr>
      <w:r>
        <w:rPr>
          <w:rFonts w:ascii="Arial" w:cs="Arial" w:eastAsia="Arial" w:hAnsi="Arial"/>
          <w:sz w:val="18"/>
          <w:szCs w:val="18"/>
          <w:color w:val="auto"/>
        </w:rPr>
        <w:t>For Incentive-based Compensation based on (or derived from) the Company’s stock price or total shareholder return, where the amount of Erroneously Awarded Compensation is not subject to mathematical recalculation directly from the information in the applicable Accounting Restatement:</w:t>
      </w:r>
    </w:p>
    <w:p>
      <w:pPr>
        <w:spacing w:after="0" w:line="223" w:lineRule="exact"/>
        <w:rPr>
          <w:sz w:val="20"/>
          <w:szCs w:val="20"/>
          <w:color w:val="auto"/>
        </w:rPr>
      </w:pPr>
    </w:p>
    <w:p>
      <w:pPr>
        <w:jc w:val="both"/>
        <w:ind w:left="2040" w:right="500" w:hanging="526"/>
        <w:spacing w:after="0" w:line="253" w:lineRule="auto"/>
        <w:tabs>
          <w:tab w:leader="none" w:pos="2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amount to be repaid or returned shall be determined by the Committee based on a reasonable estimate of the effect of the Accounting Restatement on the Company’s stock price or total shareholder return upon which the Incentive-based Compensation was Received; and</w:t>
      </w:r>
    </w:p>
    <w:p>
      <w:pPr>
        <w:spacing w:after="0" w:line="168" w:lineRule="exact"/>
        <w:rPr>
          <w:rFonts w:ascii="Arial" w:cs="Arial" w:eastAsia="Arial" w:hAnsi="Arial"/>
          <w:sz w:val="18"/>
          <w:szCs w:val="18"/>
          <w:color w:val="auto"/>
        </w:rPr>
      </w:pPr>
    </w:p>
    <w:p>
      <w:pPr>
        <w:ind w:left="2040" w:right="500" w:hanging="526"/>
        <w:spacing w:after="0" w:line="271" w:lineRule="auto"/>
        <w:tabs>
          <w:tab w:leader="none" w:pos="2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Company shall maintain documentation of the determination of such reasonable estimate and provide the relevant documentation as required to Nasdaq.</w:t>
      </w:r>
    </w:p>
    <w:p>
      <w:pPr>
        <w:spacing w:after="0" w:line="140" w:lineRule="exact"/>
        <w:rPr>
          <w:rFonts w:ascii="Arial" w:cs="Arial" w:eastAsia="Arial" w:hAnsi="Arial"/>
          <w:sz w:val="18"/>
          <w:szCs w:val="18"/>
          <w:color w:val="auto"/>
        </w:rPr>
      </w:pPr>
    </w:p>
    <w:p>
      <w:pPr>
        <w:jc w:val="both"/>
        <w:ind w:left="1460" w:right="500" w:hanging="709"/>
        <w:spacing w:after="0" w:line="247" w:lineRule="auto"/>
        <w:tabs>
          <w:tab w:leader="none" w:pos="1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Committee shall have discretion to determine the appropriate means of recovering Erroneously Awarded Compensation based on the particular facts and circumstances. Notwithstanding the foregoing, except as set forth in Section B(2) below, in no event may the Company accept an amount that is less than the amount of Erroneously Awarded Compensation in satisfaction of an Executive Officer’s obligations hereunder.</w:t>
      </w:r>
    </w:p>
    <w:p>
      <w:pPr>
        <w:spacing w:after="0" w:line="160" w:lineRule="exact"/>
        <w:rPr>
          <w:rFonts w:ascii="Arial" w:cs="Arial" w:eastAsia="Arial" w:hAnsi="Arial"/>
          <w:sz w:val="18"/>
          <w:szCs w:val="18"/>
          <w:color w:val="auto"/>
        </w:rPr>
      </w:pPr>
    </w:p>
    <w:p>
      <w:pPr>
        <w:ind w:left="1460" w:right="500" w:hanging="709"/>
        <w:spacing w:after="0" w:line="271" w:lineRule="auto"/>
        <w:tabs>
          <w:tab w:leader="none" w:pos="1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the extent that the Executive Officer has already reimbursed the Company for any Erroneously Awarded Compensation Received under any duplicative recovery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559435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460" w:right="500"/>
        <w:spacing w:after="0" w:line="271" w:lineRule="auto"/>
        <w:rPr>
          <w:sz w:val="20"/>
          <w:szCs w:val="20"/>
          <w:color w:val="auto"/>
        </w:rPr>
      </w:pPr>
      <w:r>
        <w:rPr>
          <w:rFonts w:ascii="Arial" w:cs="Arial" w:eastAsia="Arial" w:hAnsi="Arial"/>
          <w:sz w:val="18"/>
          <w:szCs w:val="18"/>
          <w:color w:val="auto"/>
        </w:rPr>
        <w:t>established by the Company or applicable law, it shall be appropriate for any such reimbursed amount to be credited to the amount of Erroneously Awarded Compensation that is subject to recovery under this Policy.</w:t>
      </w:r>
    </w:p>
    <w:p>
      <w:pPr>
        <w:spacing w:after="0" w:line="140" w:lineRule="exact"/>
        <w:rPr>
          <w:sz w:val="20"/>
          <w:szCs w:val="20"/>
          <w:color w:val="auto"/>
        </w:rPr>
      </w:pPr>
    </w:p>
    <w:p>
      <w:pPr>
        <w:jc w:val="both"/>
        <w:ind w:left="1460" w:right="500" w:hanging="709"/>
        <w:spacing w:after="0" w:line="242" w:lineRule="auto"/>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To the extent that an Executive Officer fails to repay all Erroneously Awarded Compensation to the Company when due,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w:t>
      </w:r>
    </w:p>
    <w:p>
      <w:pPr>
        <w:spacing w:after="0" w:line="178" w:lineRule="exact"/>
        <w:rPr>
          <w:rFonts w:ascii="Arial" w:cs="Arial" w:eastAsia="Arial" w:hAnsi="Arial"/>
          <w:sz w:val="18"/>
          <w:szCs w:val="18"/>
          <w:color w:val="auto"/>
        </w:rPr>
      </w:pPr>
    </w:p>
    <w:p>
      <w:pPr>
        <w:jc w:val="both"/>
        <w:ind w:right="500" w:firstLine="716"/>
        <w:spacing w:after="0" w:line="247" w:lineRule="auto"/>
        <w:tabs>
          <w:tab w:leader="none" w:pos="986"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take the actions contemplated by Section B(1) above if the Committee (which, as specified above, is composed entirely of independent directors or in the absence of such a committee, a majority of the independent directors serving on the Board) determines that recovery would be impracticable and either of the following two conditions is met:</w:t>
      </w:r>
    </w:p>
    <w:p>
      <w:pPr>
        <w:spacing w:after="0" w:line="268" w:lineRule="exact"/>
        <w:rPr>
          <w:sz w:val="20"/>
          <w:szCs w:val="20"/>
          <w:color w:val="auto"/>
        </w:rPr>
      </w:pPr>
    </w:p>
    <w:p>
      <w:pPr>
        <w:jc w:val="both"/>
        <w:ind w:left="1460" w:right="600" w:hanging="740"/>
        <w:spacing w:after="0" w:line="232" w:lineRule="auto"/>
        <w:tabs>
          <w:tab w:leader="none" w:pos="1460" w:val="left"/>
        </w:tabs>
        <w:numPr>
          <w:ilvl w:val="1"/>
          <w:numId w:val="71"/>
        </w:numPr>
        <w:rPr>
          <w:rFonts w:ascii="Arial" w:cs="Arial" w:eastAsia="Arial" w:hAnsi="Arial"/>
          <w:sz w:val="22"/>
          <w:szCs w:val="22"/>
          <w:color w:val="auto"/>
        </w:rPr>
      </w:pPr>
      <w:r>
        <w:rPr>
          <w:rFonts w:ascii="Arial" w:cs="Arial" w:eastAsia="Arial" w:hAnsi="Arial"/>
          <w:sz w:val="18"/>
          <w:szCs w:val="18"/>
          <w:color w:val="auto"/>
        </w:rPr>
        <w:t>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 such attempt(s) and provide such documentation to Nasdaq; or</w:t>
      </w:r>
    </w:p>
    <w:p>
      <w:pPr>
        <w:spacing w:after="0" w:line="194" w:lineRule="exact"/>
        <w:rPr>
          <w:rFonts w:ascii="Arial" w:cs="Arial" w:eastAsia="Arial" w:hAnsi="Arial"/>
          <w:sz w:val="22"/>
          <w:szCs w:val="22"/>
          <w:color w:val="auto"/>
        </w:rPr>
      </w:pPr>
    </w:p>
    <w:p>
      <w:pPr>
        <w:jc w:val="both"/>
        <w:ind w:left="1460" w:right="500" w:hanging="709"/>
        <w:spacing w:after="0" w:line="231" w:lineRule="auto"/>
        <w:tabs>
          <w:tab w:leader="none" w:pos="1460" w:val="left"/>
        </w:tabs>
        <w:numPr>
          <w:ilvl w:val="2"/>
          <w:numId w:val="71"/>
        </w:numPr>
        <w:rPr>
          <w:rFonts w:ascii="Arial" w:cs="Arial" w:eastAsia="Arial" w:hAnsi="Arial"/>
          <w:sz w:val="22"/>
          <w:szCs w:val="22"/>
          <w:color w:val="auto"/>
        </w:rPr>
      </w:pPr>
      <w:r>
        <w:rPr>
          <w:rFonts w:ascii="Arial" w:cs="Arial" w:eastAsia="Arial" w:hAnsi="Arial"/>
          <w:sz w:val="18"/>
          <w:szCs w:val="18"/>
          <w:color w:val="auto"/>
        </w:rPr>
        <w:t>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spacing w:after="0" w:line="181" w:lineRule="exact"/>
        <w:rPr>
          <w:rFonts w:ascii="Arial" w:cs="Arial" w:eastAsia="Arial" w:hAnsi="Arial"/>
          <w:sz w:val="22"/>
          <w:szCs w:val="22"/>
          <w:color w:val="auto"/>
        </w:rPr>
      </w:pPr>
    </w:p>
    <w:p>
      <w:pPr>
        <w:ind w:left="680" w:hanging="603"/>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DISCLOSURE REQUIREMENTS</w:t>
      </w:r>
    </w:p>
    <w:p>
      <w:pPr>
        <w:spacing w:after="0" w:line="198"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The Company shall file all disclosures with respect to this Policy required by applicable U.S. Securities and Exchange</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filings and rules.</w:t>
      </w:r>
    </w:p>
    <w:p>
      <w:pPr>
        <w:spacing w:after="0" w:line="194" w:lineRule="exact"/>
        <w:rPr>
          <w:sz w:val="20"/>
          <w:szCs w:val="20"/>
          <w:color w:val="auto"/>
        </w:rPr>
      </w:pPr>
    </w:p>
    <w:p>
      <w:pPr>
        <w:ind w:left="680" w:hanging="603"/>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PROHIBITION OF INDEMNIFICATION</w:t>
      </w:r>
    </w:p>
    <w:p>
      <w:pPr>
        <w:spacing w:after="0" w:line="212" w:lineRule="exact"/>
        <w:rPr>
          <w:sz w:val="20"/>
          <w:szCs w:val="20"/>
          <w:color w:val="auto"/>
        </w:rPr>
      </w:pPr>
    </w:p>
    <w:p>
      <w:pPr>
        <w:jc w:val="both"/>
        <w:ind w:left="80" w:right="500" w:firstLine="598"/>
        <w:spacing w:after="0" w:line="242" w:lineRule="auto"/>
        <w:rPr>
          <w:sz w:val="20"/>
          <w:szCs w:val="20"/>
          <w:color w:val="auto"/>
        </w:rPr>
      </w:pPr>
      <w:r>
        <w:rPr>
          <w:rFonts w:ascii="Arial" w:cs="Arial" w:eastAsia="Arial" w:hAnsi="Arial"/>
          <w:sz w:val="18"/>
          <w:szCs w:val="18"/>
          <w:color w:val="auto"/>
        </w:rPr>
        <w:t>The Company shall not be permitted to insure or indemnify any Executive Officer against (i) the loss of any Erroneously Awarded Compensation that is repaid, returned or recovered pursuant to the terms of this Policy, or (ii) any claims relating to the Company’s enforcement of its rights under this Policy. Further, the Company shall not enter into any agreement that exempts any Incentive-based Compensation that is granted, paid or awarded to an Executive Officer from the application of this Policy or that waives the Company’s right to recovery of any Erroneously Awarded Compensation, and this Policy shall supersede any such agreement (whether entered into before, on or after the Effective Date of this Policy).</w:t>
      </w:r>
    </w:p>
    <w:p>
      <w:pPr>
        <w:spacing w:after="0" w:line="165" w:lineRule="exact"/>
        <w:rPr>
          <w:sz w:val="20"/>
          <w:szCs w:val="20"/>
          <w:color w:val="auto"/>
        </w:rPr>
      </w:pPr>
    </w:p>
    <w:p>
      <w:pPr>
        <w:ind w:left="760" w:hanging="758"/>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ADMINISTRATION AND INTERPRETATION</w:t>
      </w:r>
    </w:p>
    <w:p>
      <w:pPr>
        <w:spacing w:after="0" w:line="212" w:lineRule="exact"/>
        <w:rPr>
          <w:sz w:val="20"/>
          <w:szCs w:val="20"/>
          <w:color w:val="auto"/>
        </w:rPr>
      </w:pPr>
    </w:p>
    <w:p>
      <w:pPr>
        <w:jc w:val="both"/>
        <w:ind w:right="500" w:firstLine="749"/>
        <w:spacing w:after="0" w:line="271" w:lineRule="auto"/>
        <w:rPr>
          <w:sz w:val="20"/>
          <w:szCs w:val="20"/>
          <w:color w:val="auto"/>
        </w:rPr>
      </w:pPr>
      <w:r>
        <w:rPr>
          <w:rFonts w:ascii="Arial" w:cs="Arial" w:eastAsia="Arial" w:hAnsi="Arial"/>
          <w:sz w:val="18"/>
          <w:szCs w:val="18"/>
          <w:color w:val="auto"/>
        </w:rPr>
        <w:t>This Policy shall be administered by the Committee, and any determinations made by the Committee shall be final and binding on all affected individuals.</w:t>
      </w:r>
    </w:p>
    <w:p>
      <w:pPr>
        <w:spacing w:after="0" w:line="140" w:lineRule="exact"/>
        <w:rPr>
          <w:sz w:val="20"/>
          <w:szCs w:val="20"/>
          <w:color w:val="auto"/>
        </w:rPr>
      </w:pPr>
    </w:p>
    <w:p>
      <w:pPr>
        <w:jc w:val="both"/>
        <w:ind w:right="500" w:firstLine="749"/>
        <w:spacing w:after="0" w:line="242" w:lineRule="auto"/>
        <w:rPr>
          <w:sz w:val="20"/>
          <w:szCs w:val="20"/>
          <w:color w:val="auto"/>
        </w:rPr>
      </w:pPr>
      <w:r>
        <w:rPr>
          <w:rFonts w:ascii="Arial" w:cs="Arial" w:eastAsia="Arial" w:hAnsi="Arial"/>
          <w:sz w:val="18"/>
          <w:szCs w:val="18"/>
          <w:color w:val="auto"/>
        </w:rPr>
        <w:t>No recovery hereunder of any Erroneously Awarded Compensation shall constitute an event giving rise to a right for any Executive Officer to resign for “good reason” or “constructive termination” (or similar term) under any plan, agreement, arrangement or contract with the Company or any affiliate thereof. In addition, the Board may require that any employment agreement, equity or equity-based award agreement or other similar agreement entered into on or after the effective date of this Policy shall, as a condition to the grant of any compensation or benefit thereunder, require the applicable Executive Officer to acknowledge and agree to abide by the terms of this Policy.</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Committee is authorized to interpret and construe this Policy and to make all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596265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80" w:right="500"/>
        <w:spacing w:after="0" w:line="253" w:lineRule="auto"/>
        <w:rPr>
          <w:sz w:val="20"/>
          <w:szCs w:val="20"/>
          <w:color w:val="auto"/>
        </w:rPr>
      </w:pPr>
      <w:r>
        <w:rPr>
          <w:rFonts w:ascii="Arial" w:cs="Arial" w:eastAsia="Arial" w:hAnsi="Arial"/>
          <w:sz w:val="18"/>
          <w:szCs w:val="18"/>
          <w:color w:val="auto"/>
        </w:rPr>
        <w:t>necessary, appropriate, or advisable for the administration of this Policy and for the Company’s compliance with Nasdaq Rules, Section 10D, Rule 10D-1 and any other applicable law, regulation, rule or interpretation of the SEC or Nasdaq promulgated or issued in connection therewith.</w:t>
      </w:r>
    </w:p>
    <w:p>
      <w:pPr>
        <w:spacing w:after="0" w:line="169" w:lineRule="exact"/>
        <w:rPr>
          <w:sz w:val="20"/>
          <w:szCs w:val="20"/>
          <w:color w:val="auto"/>
        </w:rPr>
      </w:pPr>
    </w:p>
    <w:p>
      <w:pPr>
        <w:ind w:left="680" w:hanging="603"/>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AMENDMENT; TERMINATION; SEVERABILITY</w:t>
      </w:r>
    </w:p>
    <w:p>
      <w:pPr>
        <w:spacing w:after="0" w:line="198" w:lineRule="exact"/>
        <w:rPr>
          <w:sz w:val="20"/>
          <w:szCs w:val="20"/>
          <w:color w:val="auto"/>
        </w:rPr>
      </w:pPr>
    </w:p>
    <w:p>
      <w:pPr>
        <w:jc w:val="both"/>
        <w:ind w:left="80" w:right="500" w:firstLine="597"/>
        <w:spacing w:after="0" w:line="244" w:lineRule="auto"/>
        <w:rPr>
          <w:sz w:val="20"/>
          <w:szCs w:val="20"/>
          <w:color w:val="auto"/>
        </w:rPr>
      </w:pPr>
      <w:r>
        <w:rPr>
          <w:rFonts w:ascii="Arial" w:cs="Arial" w:eastAsia="Arial" w:hAnsi="Arial"/>
          <w:sz w:val="18"/>
          <w:szCs w:val="18"/>
          <w:color w:val="auto"/>
        </w:rPr>
        <w:t>The Committee may amend this Policy from time to time in its discretion and shall amend this Policy as it deems necessary. Notwithstanding anything in this Section F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rules or Nasdaq Rules.</w:t>
      </w:r>
    </w:p>
    <w:p>
      <w:pPr>
        <w:spacing w:after="0" w:line="163" w:lineRule="exact"/>
        <w:rPr>
          <w:sz w:val="20"/>
          <w:szCs w:val="20"/>
          <w:color w:val="auto"/>
        </w:rPr>
      </w:pPr>
    </w:p>
    <w:p>
      <w:pPr>
        <w:jc w:val="both"/>
        <w:ind w:left="80" w:right="500" w:firstLine="597"/>
        <w:spacing w:after="0" w:line="253" w:lineRule="auto"/>
        <w:rPr>
          <w:sz w:val="20"/>
          <w:szCs w:val="20"/>
          <w:color w:val="auto"/>
        </w:rPr>
      </w:pPr>
      <w:r>
        <w:rPr>
          <w:rFonts w:ascii="Arial" w:cs="Arial" w:eastAsia="Arial" w:hAnsi="Arial"/>
          <w:sz w:val="18"/>
          <w:szCs w:val="18"/>
          <w:color w:val="auto"/>
        </w:rPr>
        <w:t>If any provision of this Policy is determined to be unenforceable or invalid under any applicable law, SEC rules or Nasdaq Rules, such provision shall be applied to the maximum extent permitted thereby and shall automatically be deemed amended in a manner consistent with its objectives to the extent necessary to confirm to any such limitations.</w:t>
      </w:r>
    </w:p>
    <w:p>
      <w:pPr>
        <w:spacing w:after="0" w:line="169" w:lineRule="exact"/>
        <w:rPr>
          <w:sz w:val="20"/>
          <w:szCs w:val="20"/>
          <w:color w:val="auto"/>
        </w:rPr>
      </w:pPr>
    </w:p>
    <w:p>
      <w:pPr>
        <w:ind w:left="680" w:hanging="603"/>
        <w:spacing w:after="0"/>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OTHER RECOVERY RIGHTS</w:t>
      </w:r>
    </w:p>
    <w:p>
      <w:pPr>
        <w:spacing w:after="0" w:line="212" w:lineRule="exact"/>
        <w:rPr>
          <w:sz w:val="20"/>
          <w:szCs w:val="20"/>
          <w:color w:val="auto"/>
        </w:rPr>
      </w:pPr>
    </w:p>
    <w:p>
      <w:pPr>
        <w:jc w:val="both"/>
        <w:ind w:left="80" w:right="500" w:firstLine="674"/>
        <w:spacing w:after="0" w:line="239" w:lineRule="auto"/>
        <w:rPr>
          <w:sz w:val="20"/>
          <w:szCs w:val="20"/>
          <w:color w:val="auto"/>
        </w:rPr>
      </w:pPr>
      <w:r>
        <w:rPr>
          <w:rFonts w:ascii="Arial" w:cs="Arial" w:eastAsia="Arial" w:hAnsi="Arial"/>
          <w:sz w:val="18"/>
          <w:szCs w:val="18"/>
          <w:color w:val="auto"/>
        </w:rPr>
        <w:t>This Policy shall be binding and enforceable against all Executive Officers and, to the extent required by applicable law or guidance from the SEC or Nasdaq, their beneficiaries, heirs, executors, administrators or other legal representatives. The Committee intends that this Policy will be applied to the fullest extent required by applicable law.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w:t>
      </w:r>
    </w:p>
    <w:p>
      <w:pPr>
        <w:spacing w:after="0" w:line="170" w:lineRule="exact"/>
        <w:rPr>
          <w:sz w:val="20"/>
          <w:szCs w:val="20"/>
          <w:color w:val="auto"/>
        </w:rPr>
      </w:pPr>
    </w:p>
    <w:p>
      <w:pPr>
        <w:ind w:left="760" w:hanging="758"/>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9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For purposes of this Policy, the following capitalized terms shall have the meanings set forth below.</w:t>
      </w:r>
    </w:p>
    <w:p>
      <w:pPr>
        <w:spacing w:after="0" w:line="211" w:lineRule="exact"/>
        <w:rPr>
          <w:rFonts w:ascii="Arial" w:cs="Arial" w:eastAsia="Arial" w:hAnsi="Arial"/>
          <w:sz w:val="18"/>
          <w:szCs w:val="18"/>
          <w:color w:val="auto"/>
        </w:rPr>
      </w:pPr>
    </w:p>
    <w:p>
      <w:pPr>
        <w:jc w:val="both"/>
        <w:ind w:right="500" w:firstLine="716"/>
        <w:spacing w:after="0" w:line="244" w:lineRule="auto"/>
        <w:tabs>
          <w:tab w:leader="none" w:pos="986"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Accounting Restatement</w:t>
      </w:r>
      <w:r>
        <w:rPr>
          <w:rFonts w:ascii="Arial" w:cs="Arial" w:eastAsia="Arial" w:hAnsi="Arial"/>
          <w:sz w:val="18"/>
          <w:szCs w:val="18"/>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 r” restatement).</w:t>
      </w:r>
    </w:p>
    <w:p>
      <w:pPr>
        <w:spacing w:after="0" w:line="176" w:lineRule="exact"/>
        <w:rPr>
          <w:rFonts w:ascii="Arial" w:cs="Arial" w:eastAsia="Arial" w:hAnsi="Arial"/>
          <w:sz w:val="18"/>
          <w:szCs w:val="18"/>
          <w:color w:val="auto"/>
        </w:rPr>
      </w:pPr>
    </w:p>
    <w:p>
      <w:pPr>
        <w:jc w:val="both"/>
        <w:ind w:right="500" w:firstLine="716"/>
        <w:spacing w:after="0" w:line="242" w:lineRule="auto"/>
        <w:tabs>
          <w:tab w:leader="none" w:pos="986"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Clawback Eligible Incentive Compensation</w:t>
      </w:r>
      <w:r>
        <w:rPr>
          <w:rFonts w:ascii="Arial" w:cs="Arial" w:eastAsia="Arial" w:hAnsi="Arial"/>
          <w:sz w:val="18"/>
          <w:szCs w:val="18"/>
          <w:color w:val="auto"/>
        </w:rPr>
        <w:t>” means all Incentive-based Compensation Received by an Executive Officer (i) after beginning service as an Executive Officer, (ii) who served as an Executive Officer at any time during the applicable performance period relating to any Incentive-based Compensation (whether or not such Executive Officer is serving at the time the Erroneously Awarded Compensation is required to be repaid to the Company), (iii) while the Company has a class of securities listed on a national securities exchange or a national securities association, and (iv) during the applicable Clawback Period (as defined below).</w:t>
      </w:r>
    </w:p>
    <w:p>
      <w:pPr>
        <w:spacing w:after="0" w:line="178" w:lineRule="exact"/>
        <w:rPr>
          <w:rFonts w:ascii="Arial" w:cs="Arial" w:eastAsia="Arial" w:hAnsi="Arial"/>
          <w:sz w:val="18"/>
          <w:szCs w:val="18"/>
          <w:color w:val="auto"/>
        </w:rPr>
      </w:pPr>
    </w:p>
    <w:p>
      <w:pPr>
        <w:jc w:val="both"/>
        <w:ind w:right="500" w:firstLine="716"/>
        <w:spacing w:after="0" w:line="253" w:lineRule="auto"/>
        <w:tabs>
          <w:tab w:leader="none" w:pos="986"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Clawback Period</w:t>
      </w:r>
      <w:r>
        <w:rPr>
          <w:rFonts w:ascii="Arial" w:cs="Arial" w:eastAsia="Arial" w:hAnsi="Arial"/>
          <w:sz w:val="18"/>
          <w:szCs w:val="18"/>
          <w:color w:val="auto"/>
        </w:rPr>
        <w:t>” means, with respect to any Accounting Restatement, the three completed fiscal years of the Company immediately preceding the Restatement Date (as defined below), and if the Company changes its fiscal year, any transition period of less than nine months within or immediately following those three completed fiscal years.</w:t>
      </w:r>
    </w:p>
    <w:p>
      <w:pPr>
        <w:spacing w:after="0" w:line="155" w:lineRule="exact"/>
        <w:rPr>
          <w:rFonts w:ascii="Arial" w:cs="Arial" w:eastAsia="Arial" w:hAnsi="Arial"/>
          <w:sz w:val="18"/>
          <w:szCs w:val="18"/>
          <w:color w:val="auto"/>
        </w:rPr>
      </w:pPr>
    </w:p>
    <w:p>
      <w:pPr>
        <w:jc w:val="both"/>
        <w:ind w:right="500" w:firstLine="716"/>
        <w:spacing w:after="0" w:line="247" w:lineRule="auto"/>
        <w:tabs>
          <w:tab w:leader="none" w:pos="986"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Erroneously Awarded Compensation</w:t>
      </w:r>
      <w:r>
        <w:rPr>
          <w:rFonts w:ascii="Arial" w:cs="Arial" w:eastAsia="Arial" w:hAnsi="Arial"/>
          <w:sz w:val="18"/>
          <w:szCs w:val="18"/>
          <w:color w:val="auto"/>
        </w:rPr>
        <w:t>” 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572770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500" w:firstLine="716"/>
        <w:spacing w:after="0" w:line="242" w:lineRule="auto"/>
        <w:tabs>
          <w:tab w:leader="none" w:pos="986"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Executive Officer</w:t>
      </w:r>
      <w:r>
        <w:rPr>
          <w:rFonts w:ascii="Arial" w:cs="Arial" w:eastAsia="Arial" w:hAnsi="Arial"/>
          <w:sz w:val="18"/>
          <w:szCs w:val="18"/>
          <w:color w:val="auto"/>
        </w:rPr>
        <w:t>” means the Company’s current or former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 making functions for the Company. Executive Officers shall include at a minimum executive officers identified pursuant to 17 CFR 229.401(b).</w:t>
      </w:r>
    </w:p>
    <w:p>
      <w:pPr>
        <w:spacing w:after="0" w:line="178" w:lineRule="exact"/>
        <w:rPr>
          <w:rFonts w:ascii="Arial" w:cs="Arial" w:eastAsia="Arial" w:hAnsi="Arial"/>
          <w:sz w:val="18"/>
          <w:szCs w:val="18"/>
          <w:color w:val="auto"/>
        </w:rPr>
      </w:pPr>
    </w:p>
    <w:p>
      <w:pPr>
        <w:jc w:val="both"/>
        <w:ind w:right="500" w:firstLine="716"/>
        <w:spacing w:after="0" w:line="242" w:lineRule="auto"/>
        <w:tabs>
          <w:tab w:leader="none" w:pos="986"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Reporting Measures</w:t>
      </w:r>
      <w:r>
        <w:rPr>
          <w:rFonts w:ascii="Arial" w:cs="Arial" w:eastAsia="Arial" w:hAnsi="Arial"/>
          <w:sz w:val="18"/>
          <w:szCs w:val="18"/>
          <w:color w:val="auto"/>
        </w:rPr>
        <w:t>” 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178" w:lineRule="exact"/>
        <w:rPr>
          <w:rFonts w:ascii="Arial" w:cs="Arial" w:eastAsia="Arial" w:hAnsi="Arial"/>
          <w:sz w:val="18"/>
          <w:szCs w:val="18"/>
          <w:color w:val="auto"/>
        </w:rPr>
      </w:pPr>
    </w:p>
    <w:p>
      <w:pPr>
        <w:jc w:val="both"/>
        <w:ind w:right="500" w:firstLine="716"/>
        <w:spacing w:after="0" w:line="242" w:lineRule="auto"/>
        <w:tabs>
          <w:tab w:leader="none" w:pos="986"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Incentive-based Compensation</w:t>
      </w:r>
      <w:r>
        <w:rPr>
          <w:rFonts w:ascii="Arial" w:cs="Arial" w:eastAsia="Arial" w:hAnsi="Arial"/>
          <w:sz w:val="18"/>
          <w:szCs w:val="18"/>
          <w:color w:val="auto"/>
        </w:rPr>
        <w:t>” means any compensation, including, but not limited to, cash, stock options, restricted stock, restricted stock units, phantom stock and other equity or equity-based awards, that is granted, earned or vested based wholly or in part upon the attainment of a Financial Reporting Measure. Equity and equity-based awards that vest exclusively upon completion of a specified employment period, without any performance condition, and bonus awards that are discretionary or based on subjective goals or goals unrelated to Financial Reporting Measures, do not constitute Incentive-based Compensation.</w:t>
      </w:r>
    </w:p>
    <w:p>
      <w:pPr>
        <w:spacing w:after="0" w:line="178" w:lineRule="exact"/>
        <w:rPr>
          <w:rFonts w:ascii="Arial" w:cs="Arial" w:eastAsia="Arial" w:hAnsi="Arial"/>
          <w:sz w:val="18"/>
          <w:szCs w:val="18"/>
          <w:color w:val="auto"/>
        </w:rPr>
      </w:pPr>
    </w:p>
    <w:p>
      <w:pPr>
        <w:ind w:left="980" w:hanging="26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 LLC.</w:t>
      </w:r>
    </w:p>
    <w:p>
      <w:pPr>
        <w:spacing w:after="0" w:line="211" w:lineRule="exact"/>
        <w:rPr>
          <w:rFonts w:ascii="Arial" w:cs="Arial" w:eastAsia="Arial" w:hAnsi="Arial"/>
          <w:sz w:val="18"/>
          <w:szCs w:val="18"/>
          <w:color w:val="auto"/>
        </w:rPr>
      </w:pPr>
    </w:p>
    <w:p>
      <w:pPr>
        <w:jc w:val="both"/>
        <w:ind w:right="500" w:firstLine="716"/>
        <w:spacing w:after="0" w:line="247" w:lineRule="auto"/>
        <w:tabs>
          <w:tab w:leader="none" w:pos="986"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Received</w:t>
      </w:r>
      <w:r>
        <w:rPr>
          <w:rFonts w:ascii="Arial" w:cs="Arial" w:eastAsia="Arial" w:hAnsi="Arial"/>
          <w:sz w:val="18"/>
          <w:szCs w:val="18"/>
          <w:color w:val="auto"/>
        </w:rPr>
        <w:t>” 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Executive Officer occurs after the end of that period.</w:t>
      </w:r>
    </w:p>
    <w:p>
      <w:pPr>
        <w:spacing w:after="0" w:line="174" w:lineRule="exact"/>
        <w:rPr>
          <w:sz w:val="20"/>
          <w:szCs w:val="20"/>
          <w:color w:val="auto"/>
        </w:rPr>
      </w:pPr>
    </w:p>
    <w:p>
      <w:pPr>
        <w:jc w:val="both"/>
        <w:ind w:right="500" w:firstLine="714"/>
        <w:spacing w:after="0" w:line="247" w:lineRule="auto"/>
        <w:rPr>
          <w:sz w:val="20"/>
          <w:szCs w:val="20"/>
          <w:color w:val="auto"/>
        </w:rPr>
      </w:pPr>
      <w:r>
        <w:rPr>
          <w:rFonts w:ascii="Arial" w:cs="Arial" w:eastAsia="Arial" w:hAnsi="Arial"/>
          <w:sz w:val="18"/>
          <w:szCs w:val="18"/>
          <w:color w:val="auto"/>
        </w:rPr>
        <w:t>(10)“</w:t>
      </w:r>
      <w:r>
        <w:rPr>
          <w:rFonts w:ascii="Arial" w:cs="Arial" w:eastAsia="Arial" w:hAnsi="Arial"/>
          <w:sz w:val="18"/>
          <w:szCs w:val="18"/>
          <w:b w:val="1"/>
          <w:bCs w:val="1"/>
          <w:i w:val="1"/>
          <w:iCs w:val="1"/>
          <w:color w:val="auto"/>
        </w:rPr>
        <w:t>Restatement Date</w:t>
      </w:r>
      <w:r>
        <w:rPr>
          <w:rFonts w:ascii="Arial" w:cs="Arial" w:eastAsia="Arial" w:hAnsi="Arial"/>
          <w:sz w:val="18"/>
          <w:szCs w:val="18"/>
          <w:color w:val="auto"/>
        </w:rPr>
        <w:t>” 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Effective October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853440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34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Exhibit A</w:t>
      </w:r>
    </w:p>
    <w:p>
      <w:pPr>
        <w:spacing w:after="0" w:line="28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Drilling Tools International Corp.</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ATTESTATION AND ACKNOWLEDGEMENT OF POLICY FOR</w:t>
      </w:r>
    </w:p>
    <w:p>
      <w:pPr>
        <w:ind w:left="2680"/>
        <w:spacing w:after="0"/>
        <w:rPr>
          <w:sz w:val="20"/>
          <w:szCs w:val="20"/>
          <w:color w:val="auto"/>
        </w:rPr>
      </w:pPr>
      <w:r>
        <w:rPr>
          <w:rFonts w:ascii="Arial" w:cs="Arial" w:eastAsia="Arial" w:hAnsi="Arial"/>
          <w:sz w:val="18"/>
          <w:szCs w:val="18"/>
          <w:b w:val="1"/>
          <w:bCs w:val="1"/>
          <w:color w:val="auto"/>
        </w:rPr>
        <w:t>THE RECOVERY OF ERRONEOUSLY AWARDED COMPENSATION</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By signing this Attestation and Acknowledgement Form below, the undersigned (the “</w:t>
      </w:r>
      <w:r>
        <w:rPr>
          <w:rFonts w:ascii="Arial" w:cs="Arial" w:eastAsia="Arial" w:hAnsi="Arial"/>
          <w:sz w:val="18"/>
          <w:szCs w:val="18"/>
          <w:u w:val="single" w:color="auto"/>
          <w:color w:val="auto"/>
        </w:rPr>
        <w:t>Executive Officer</w:t>
      </w:r>
      <w:r>
        <w:rPr>
          <w:rFonts w:ascii="Arial" w:cs="Arial" w:eastAsia="Arial" w:hAnsi="Arial"/>
          <w:sz w:val="18"/>
          <w:szCs w:val="18"/>
          <w:color w:val="auto"/>
        </w:rPr>
        <w:t>”) acknowledges and confirms that the Executive Officer has received and reviewed a copy of the Policy for the Recovery of Erroneously Award Compensation (the “</w:t>
      </w:r>
      <w:r>
        <w:rPr>
          <w:rFonts w:ascii="Arial" w:cs="Arial" w:eastAsia="Arial" w:hAnsi="Arial"/>
          <w:sz w:val="18"/>
          <w:szCs w:val="18"/>
          <w:u w:val="single" w:color="auto"/>
          <w:color w:val="auto"/>
        </w:rPr>
        <w:t>Policy</w:t>
      </w:r>
      <w:r>
        <w:rPr>
          <w:rFonts w:ascii="Arial" w:cs="Arial" w:eastAsia="Arial" w:hAnsi="Arial"/>
          <w:sz w:val="18"/>
          <w:szCs w:val="18"/>
          <w:color w:val="auto"/>
        </w:rPr>
        <w:t>”) of Drilling Tools International Corp.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consideration of the Executive Officer’s eligibility to receive future Incentive-based Compensation (as defined in the Policy) and to participate in Incentive-based Compensation plans, as well as other good and valuable consideration, the receipt and sufficiency of which are acknowledged by the Executive Officer signing this Attestation and Acknowledgement Form below, the Executive Officer acknowledges and agrees that:</w:t>
      </w:r>
    </w:p>
    <w:p>
      <w:pPr>
        <w:spacing w:after="0" w:line="293" w:lineRule="exact"/>
        <w:rPr>
          <w:sz w:val="20"/>
          <w:szCs w:val="20"/>
          <w:color w:val="auto"/>
        </w:rPr>
      </w:pPr>
    </w:p>
    <w:p>
      <w:pPr>
        <w:ind w:left="820" w:hanging="378"/>
        <w:spacing w:after="0"/>
        <w:tabs>
          <w:tab w:leader="none" w:pos="82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20"/>
          <w:szCs w:val="20"/>
          <w:color w:val="auto"/>
        </w:rPr>
        <w:t>the Executive Officer is and will continue to be fully bound by, and subject to, the Policy;</w:t>
      </w:r>
    </w:p>
    <w:p>
      <w:pPr>
        <w:spacing w:after="0" w:line="148" w:lineRule="exact"/>
        <w:rPr>
          <w:rFonts w:ascii="Times New Roman" w:cs="Times New Roman" w:eastAsia="Times New Roman" w:hAnsi="Times New Roman"/>
          <w:sz w:val="18"/>
          <w:szCs w:val="18"/>
          <w:color w:val="auto"/>
        </w:rPr>
      </w:pPr>
    </w:p>
    <w:p>
      <w:pPr>
        <w:ind w:left="820" w:right="200" w:hanging="378"/>
        <w:spacing w:after="0" w:line="266" w:lineRule="auto"/>
        <w:tabs>
          <w:tab w:leader="none" w:pos="82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9"/>
          <w:szCs w:val="19"/>
          <w:color w:val="auto"/>
        </w:rPr>
        <w:t xml:space="preserve">in the event of any inconsistency between the Policy and the terms of any employment or separation agreement to which the Executive Officer is a party, or the terms of any compensation plan, program or arrangement under which any Incentive-based Compensation is granted, awarded, earned or paid, </w:t>
      </w:r>
      <w:r>
        <w:rPr>
          <w:rFonts w:ascii="Arial" w:cs="Arial" w:eastAsia="Arial" w:hAnsi="Arial"/>
          <w:sz w:val="19"/>
          <w:szCs w:val="19"/>
          <w:b w:val="1"/>
          <w:bCs w:val="1"/>
          <w:color w:val="auto"/>
        </w:rPr>
        <w:t>the terms of the Policy shall govern</w:t>
      </w:r>
      <w:r>
        <w:rPr>
          <w:rFonts w:ascii="Arial" w:cs="Arial" w:eastAsia="Arial" w:hAnsi="Arial"/>
          <w:sz w:val="19"/>
          <w:szCs w:val="19"/>
          <w:color w:val="auto"/>
        </w:rPr>
        <w:t>;</w:t>
      </w:r>
    </w:p>
    <w:p>
      <w:pPr>
        <w:spacing w:after="0" w:line="54" w:lineRule="exact"/>
        <w:rPr>
          <w:rFonts w:ascii="Times New Roman" w:cs="Times New Roman" w:eastAsia="Times New Roman" w:hAnsi="Times New Roman"/>
          <w:sz w:val="17"/>
          <w:szCs w:val="17"/>
          <w:color w:val="auto"/>
        </w:rPr>
      </w:pPr>
    </w:p>
    <w:p>
      <w:pPr>
        <w:ind w:left="820" w:hanging="378"/>
        <w:spacing w:after="0"/>
        <w:tabs>
          <w:tab w:leader="none" w:pos="82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the Policy will apply </w:t>
      </w:r>
      <w:r>
        <w:rPr>
          <w:rFonts w:ascii="Arial" w:cs="Arial" w:eastAsia="Arial" w:hAnsi="Arial"/>
          <w:sz w:val="20"/>
          <w:szCs w:val="20"/>
          <w:b w:val="1"/>
          <w:bCs w:val="1"/>
          <w:color w:val="auto"/>
        </w:rPr>
        <w:t>both during and after the Executive Officer’s employment with the Company</w:t>
      </w:r>
      <w:r>
        <w:rPr>
          <w:rFonts w:ascii="Arial" w:cs="Arial" w:eastAsia="Arial" w:hAnsi="Arial"/>
          <w:sz w:val="20"/>
          <w:szCs w:val="20"/>
          <w:color w:val="auto"/>
        </w:rPr>
        <w:t>;</w:t>
      </w:r>
    </w:p>
    <w:p>
      <w:pPr>
        <w:spacing w:after="0" w:line="148" w:lineRule="exact"/>
        <w:rPr>
          <w:rFonts w:ascii="Times New Roman" w:cs="Times New Roman" w:eastAsia="Times New Roman" w:hAnsi="Times New Roman"/>
          <w:sz w:val="18"/>
          <w:szCs w:val="18"/>
          <w:color w:val="auto"/>
        </w:rPr>
      </w:pPr>
    </w:p>
    <w:p>
      <w:pPr>
        <w:ind w:left="820" w:hanging="378"/>
        <w:spacing w:after="0"/>
        <w:tabs>
          <w:tab w:leader="none" w:pos="82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the Policy will apply </w:t>
      </w:r>
      <w:r>
        <w:rPr>
          <w:rFonts w:ascii="Arial" w:cs="Arial" w:eastAsia="Arial" w:hAnsi="Arial"/>
          <w:sz w:val="20"/>
          <w:szCs w:val="20"/>
          <w:b w:val="1"/>
          <w:bCs w:val="1"/>
          <w:color w:val="auto"/>
        </w:rPr>
        <w:t>to past and future Incentive-based Compensation as provided in the Policy</w:t>
      </w:r>
      <w:r>
        <w:rPr>
          <w:rFonts w:ascii="Arial" w:cs="Arial" w:eastAsia="Arial" w:hAnsi="Arial"/>
          <w:sz w:val="20"/>
          <w:szCs w:val="20"/>
          <w:color w:val="auto"/>
        </w:rPr>
        <w:t>; and</w:t>
      </w:r>
    </w:p>
    <w:p>
      <w:pPr>
        <w:spacing w:after="0" w:line="379" w:lineRule="exact"/>
        <w:rPr>
          <w:rFonts w:ascii="Times New Roman" w:cs="Times New Roman" w:eastAsia="Times New Roman" w:hAnsi="Times New Roman"/>
          <w:sz w:val="18"/>
          <w:szCs w:val="18"/>
          <w:color w:val="auto"/>
        </w:rPr>
      </w:pPr>
    </w:p>
    <w:p>
      <w:pPr>
        <w:jc w:val="both"/>
        <w:ind w:left="820" w:right="120"/>
        <w:spacing w:after="0" w:line="241" w:lineRule="auto"/>
        <w:rPr>
          <w:rFonts w:ascii="Times New Roman" w:cs="Times New Roman" w:eastAsia="Times New Roman" w:hAnsi="Times New Roman"/>
          <w:sz w:val="18"/>
          <w:szCs w:val="18"/>
          <w:color w:val="auto"/>
        </w:rPr>
      </w:pPr>
      <w:r>
        <w:rPr>
          <w:rFonts w:ascii="Arial" w:cs="Arial" w:eastAsia="Arial" w:hAnsi="Arial"/>
          <w:sz w:val="20"/>
          <w:szCs w:val="20"/>
          <w:color w:val="auto"/>
        </w:rPr>
        <w:t>the Executive Officer is required to comply with the terms and conditions of the Policy, including, without limitation, the requirement to return any Erroneously Awarded Compensation (as defined in the Policy) to the Company to the extent required by, and in a manner consistent with, the Policy</w:t>
      </w:r>
    </w:p>
    <w:p>
      <w:pPr>
        <w:spacing w:after="0" w:line="16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3379470</wp:posOffset>
            </wp:positionH>
            <wp:positionV relativeFrom="paragraph">
              <wp:posOffset>-7620</wp:posOffset>
            </wp:positionV>
            <wp:extent cx="24066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0">
                      <a:extLst>
                        <a:ext uri="{28A0092B-C50C-407E-A947-70E740481C1C}"/>
                      </a:extLst>
                    </a:blip>
                    <a:srcRect/>
                    <a:stretch>
                      <a:fillRect/>
                    </a:stretch>
                  </pic:blipFill>
                  <pic:spPr bwMode="auto">
                    <a:xfrm>
                      <a:off x="0" y="0"/>
                      <a:ext cx="240665" cy="8890"/>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-7620</wp:posOffset>
            </wp:positionV>
            <wp:extent cx="2851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1">
                      <a:extLst>
                        <a:ext uri="{28A0092B-C50C-407E-A947-70E740481C1C}"/>
                      </a:extLst>
                    </a:blip>
                    <a:srcRect/>
                    <a:stretch>
                      <a:fillRect/>
                    </a:stretch>
                  </pic:blipFill>
                  <pic:spPr bwMode="auto">
                    <a:xfrm>
                      <a:off x="0" y="0"/>
                      <a:ext cx="28511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219075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-7620</wp:posOffset>
            </wp:positionV>
            <wp:extent cx="23495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3">
                      <a:extLst>
                        <a:ext uri="{28A0092B-C50C-407E-A947-70E740481C1C}"/>
                      </a:extLst>
                    </a:blip>
                    <a:srcRect/>
                    <a:stretch>
                      <a:fillRect/>
                    </a:stretch>
                  </pic:blipFill>
                  <pic:spPr bwMode="auto">
                    <a:xfrm>
                      <a:off x="0" y="0"/>
                      <a:ext cx="234950" cy="8255"/>
                    </a:xfrm>
                    <a:prstGeom prst="rect">
                      <a:avLst/>
                    </a:prstGeom>
                    <a:noFill/>
                  </pic:spPr>
                </pic:pic>
              </a:graphicData>
            </a:graphic>
          </wp:anchor>
        </w:drawing>
      </w:r>
    </w:p>
    <w:p>
      <w:pPr>
        <w:sectPr>
          <w:pgSz w:w="11900" w:h="16838" w:orient="portrait"/>
          <w:cols w:equalWidth="0" w:num="1">
            <w:col w:w="11120"/>
          </w:cols>
          <w:pgMar w:left="440" w:top="337" w:right="339" w:bottom="1440" w:gutter="0" w:footer="0" w:header="0"/>
        </w:sectPr>
      </w:pPr>
    </w:p>
    <w:bookmarkStart w:id="116" w:name="page117"/>
    <w:bookmarkEnd w:id="1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decimal"/>
      <w:start w:val="2"/>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1]"/>
      <w:numFmt w:val="decimal"/>
      <w:start w:val="2"/>
    </w:lvl>
  </w:abstractNum>
  <w:abstractNum w:abstractNumId="52">
    <w:nsid w:val="1DBABF00"/>
    <w:multiLevelType w:val="hybridMultilevel"/>
    <w:lvl w:ilvl="0">
      <w:lvlJc w:val="left"/>
      <w:lvlText w:val="%1."/>
      <w:numFmt w:val="decimal"/>
      <w:start w:val="1"/>
    </w:lvl>
  </w:abstractNum>
  <w:abstractNum w:abstractNumId="53">
    <w:nsid w:val="4AD084E9"/>
    <w:multiLevelType w:val="hybridMultilevel"/>
    <w:lvl w:ilvl="0">
      <w:lvlJc w:val="left"/>
      <w:lvlText w:val="%1."/>
      <w:numFmt w:val="decimal"/>
      <w:start w:val="1"/>
    </w:lvl>
  </w:abstractNum>
  <w:abstractNum w:abstractNumId="54">
    <w:nsid w:val="1F48EAA1"/>
    <w:multiLevelType w:val="hybridMultilevel"/>
    <w:lvl w:ilvl="0">
      <w:lvlJc w:val="left"/>
      <w:lvlText w:val="%1"/>
      <w:numFmt w:val="decimal"/>
      <w:start w:val="1"/>
    </w:lvl>
    <w:lvl w:ilvl="1">
      <w:lvlJc w:val="left"/>
      <w:lvlText w:val="%2."/>
      <w:numFmt w:val="decimal"/>
      <w:start w:val="5"/>
    </w:lvl>
  </w:abstractNum>
  <w:abstractNum w:abstractNumId="55">
    <w:nsid w:val="1381823A"/>
    <w:multiLevelType w:val="hybridMultilevel"/>
    <w:lvl w:ilvl="0">
      <w:lvlJc w:val="left"/>
      <w:lvlText w:val="[%1]"/>
      <w:numFmt w:val="decimal"/>
      <w:start w:val="3"/>
    </w:lvl>
    <w:lvl w:ilvl="1">
      <w:lvlJc w:val="left"/>
      <w:lvlText w:val="%2."/>
      <w:numFmt w:val="decimal"/>
      <w:start w:val="6"/>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1."/>
      <w:numFmt w:val="decimal"/>
      <w:start w:val="1"/>
    </w:lvl>
  </w:abstractNum>
  <w:abstractNum w:abstractNumId="58">
    <w:nsid w:val="6590700B"/>
    <w:multiLevelType w:val="hybridMultilevel"/>
    <w:lvl w:ilvl="0">
      <w:lvlJc w:val="left"/>
      <w:lvlText w:val="%1."/>
      <w:numFmt w:val="decimal"/>
      <w:start w:val="2"/>
    </w:lvl>
  </w:abstractNum>
  <w:abstractNum w:abstractNumId="59">
    <w:nsid w:val="15014ACB"/>
    <w:multiLevelType w:val="hybridMultilevel"/>
    <w:lvl w:ilvl="0">
      <w:lvlJc w:val="left"/>
      <w:lvlText w:val="(%1)"/>
      <w:numFmt w:val="decimal"/>
      <w:start w:val="1"/>
    </w:lvl>
    <w:lvl w:ilvl="1">
      <w:lvlJc w:val="left"/>
      <w:lvlText w:val="(%2)"/>
      <w:numFmt w:val="lowerLetter"/>
      <w:start w:val="1"/>
    </w:lvl>
  </w:abstractNum>
  <w:abstractNum w:abstractNumId="60">
    <w:nsid w:val="5F5E7FD0"/>
    <w:multiLevelType w:val="hybridMultilevel"/>
    <w:lvl w:ilvl="0">
      <w:lvlJc w:val="left"/>
      <w:lvlText w:val="(%1)"/>
      <w:numFmt w:val="decimal"/>
      <w:start w:val="1"/>
    </w:lvl>
    <w:lvl w:ilvl="1">
      <w:lvlJc w:val="left"/>
      <w:lvlText w:val="(%2)"/>
      <w:numFmt w:val="lowerLetter"/>
      <w:start w:val="1"/>
    </w:lvl>
  </w:abstractNum>
  <w:abstractNum w:abstractNumId="61">
    <w:nsid w:val="98A3148"/>
    <w:multiLevelType w:val="hybridMultilevel"/>
    <w:lvl w:ilvl="0">
      <w:lvlJc w:val="left"/>
      <w:lvlText w:val="(%1)"/>
      <w:numFmt w:val="decimal"/>
      <w:start w:val="1"/>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1."/>
      <w:numFmt w:val="upperLetter"/>
      <w:start w:val="1"/>
    </w:lvl>
  </w:abstractNum>
  <w:abstractNum w:abstractNumId="64">
    <w:nsid w:val="42C296BD"/>
    <w:multiLevelType w:val="hybridMultilevel"/>
    <w:lvl w:ilvl="0">
      <w:lvlJc w:val="left"/>
      <w:lvlText w:val="%1."/>
      <w:numFmt w:val="upperLetter"/>
      <w:start w:val="2"/>
    </w:lvl>
    <w:lvl w:ilvl="1">
      <w:lvlJc w:val="left"/>
      <w:lvlText w:val="(%2)"/>
      <w:numFmt w:val="decimal"/>
      <w:start w:val="1"/>
    </w:lvl>
  </w:abstractNum>
  <w:abstractNum w:abstractNumId="65">
    <w:nsid w:val="168E121F"/>
    <w:multiLevelType w:val="hybridMultilevel"/>
    <w:lvl w:ilvl="0">
      <w:lvlJc w:val="left"/>
      <w:lvlText w:val="(%1)"/>
      <w:numFmt w:val="lowerRoman"/>
      <w:start w:val="1"/>
    </w:lvl>
  </w:abstractNum>
  <w:abstractNum w:abstractNumId="66">
    <w:nsid w:val="1EBA5D23"/>
    <w:multiLevelType w:val="hybridMultilevel"/>
    <w:lvl w:ilvl="0">
      <w:lvlJc w:val="left"/>
      <w:lvlText w:val="%1"/>
      <w:numFmt w:val="lowerRoman"/>
      <w:start w:val="1"/>
    </w:lvl>
    <w:lvl w:ilvl="1">
      <w:lvlJc w:val="left"/>
      <w:lvlText w:val="(%2)"/>
      <w:numFmt w:val="lowerLetter"/>
      <w:start w:val="1"/>
    </w:lvl>
  </w:abstractNum>
  <w:abstractNum w:abstractNumId="67">
    <w:nsid w:val="661E3F1E"/>
    <w:multiLevelType w:val="hybridMultilevel"/>
    <w:lvl w:ilvl="0">
      <w:lvlJc w:val="left"/>
      <w:lvlText w:val="(%1)"/>
      <w:numFmt w:val="lowerRoman"/>
      <w:start w:val="2"/>
    </w:lvl>
    <w:lvl w:ilvl="1">
      <w:lvlJc w:val="left"/>
      <w:lvlText w:val="%2"/>
      <w:numFmt w:val="lowerLetter"/>
      <w:start w:val="1"/>
    </w:lvl>
  </w:abstractNum>
  <w:abstractNum w:abstractNumId="68">
    <w:nsid w:val="5DC79EA8"/>
    <w:multiLevelType w:val="hybridMultilevel"/>
    <w:lvl w:ilvl="0">
      <w:lvlJc w:val="left"/>
      <w:lvlText w:val="%1"/>
      <w:numFmt w:val="decimal"/>
      <w:start w:val="1"/>
    </w:lvl>
    <w:lvl w:ilvl="1">
      <w:lvlJc w:val="left"/>
      <w:lvlText w:val="(%2)"/>
      <w:numFmt w:val="lowerRoman"/>
      <w:start w:val="4"/>
    </w:lvl>
  </w:abstractNum>
  <w:abstractNum w:abstractNumId="69">
    <w:nsid w:val="540A471C"/>
    <w:multiLevelType w:val="hybridMultilevel"/>
    <w:lvl w:ilvl="0">
      <w:lvlJc w:val="left"/>
      <w:lvlText w:val="(%1)"/>
      <w:numFmt w:val="decimal"/>
      <w:start w:val="2"/>
    </w:lvl>
    <w:lvl w:ilvl="1">
      <w:lvlJc w:val="left"/>
      <w:lvlText w:val="%2"/>
      <w:numFmt w:val="lowerRoman"/>
      <w:start w:val="1"/>
    </w:lvl>
  </w:abstractNum>
  <w:abstractNum w:abstractNumId="70">
    <w:nsid w:val="7BD3EE7B"/>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abstractNum>
  <w:abstractNum w:abstractNumId="71">
    <w:nsid w:val="51D9C564"/>
    <w:multiLevelType w:val="hybridMultilevel"/>
    <w:lvl w:ilvl="0">
      <w:lvlJc w:val="left"/>
      <w:lvlText w:val="%1."/>
      <w:numFmt w:val="upperLetter"/>
      <w:start w:val="3"/>
    </w:lvl>
    <w:lvl w:ilvl="1">
      <w:lvlJc w:val="left"/>
      <w:lvlText w:val="%2"/>
      <w:numFmt w:val="lowerRoman"/>
      <w:start w:val="1"/>
    </w:lvl>
    <w:lvl w:ilvl="2">
      <w:lvlJc w:val="left"/>
      <w:lvlText w:val="%3"/>
      <w:numFmt w:val="lowerRoman"/>
      <w:start w:val="1"/>
    </w:lvl>
  </w:abstractNum>
  <w:abstractNum w:abstractNumId="72">
    <w:nsid w:val="613EFDC5"/>
    <w:multiLevelType w:val="hybridMultilevel"/>
    <w:lvl w:ilvl="0">
      <w:lvlJc w:val="left"/>
      <w:lvlText w:val="%1."/>
      <w:numFmt w:val="upperLetter"/>
      <w:start w:val="4"/>
    </w:lvl>
  </w:abstractNum>
  <w:abstractNum w:abstractNumId="73">
    <w:nsid w:val="BF72B14"/>
    <w:multiLevelType w:val="hybridMultilevel"/>
    <w:lvl w:ilvl="0">
      <w:lvlJc w:val="left"/>
      <w:lvlText w:val="%1."/>
      <w:numFmt w:val="upperLetter"/>
      <w:start w:val="5"/>
    </w:lvl>
  </w:abstractNum>
  <w:abstractNum w:abstractNumId="74">
    <w:nsid w:val="11447B73"/>
    <w:multiLevelType w:val="hybridMultilevel"/>
    <w:lvl w:ilvl="0">
      <w:lvlJc w:val="left"/>
      <w:lvlText w:val="%1."/>
      <w:numFmt w:val="upperLetter"/>
      <w:start w:val="6"/>
    </w:lvl>
  </w:abstractNum>
  <w:abstractNum w:abstractNumId="75">
    <w:nsid w:val="42963E5A"/>
    <w:multiLevelType w:val="hybridMultilevel"/>
    <w:lvl w:ilvl="0">
      <w:lvlJc w:val="left"/>
      <w:lvlText w:val="%1."/>
      <w:numFmt w:val="upperLetter"/>
      <w:start w:val="7"/>
    </w:lvl>
  </w:abstractNum>
  <w:abstractNum w:abstractNumId="76">
    <w:nsid w:val="A0382C5"/>
    <w:multiLevelType w:val="hybridMultilevel"/>
    <w:lvl w:ilvl="0">
      <w:lvlJc w:val="left"/>
      <w:lvlText w:val="%1."/>
      <w:numFmt w:val="upperLetter"/>
      <w:start w:val="8"/>
    </w:lvl>
    <w:lvl w:ilvl="1">
      <w:lvlJc w:val="left"/>
      <w:lvlText w:val="(%2)"/>
      <w:numFmt w:val="decimal"/>
      <w:start w:val="1"/>
    </w:lvl>
  </w:abstractNum>
  <w:abstractNum w:abstractNumId="77">
    <w:nsid w:val="8F2B15E"/>
    <w:multiLevelType w:val="hybridMultilevel"/>
    <w:lvl w:ilvl="0">
      <w:lvlJc w:val="left"/>
      <w:lvlText w:val="(%1)"/>
      <w:numFmt w:val="decimal"/>
      <w:start w:val="5"/>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306" Type="http://schemas.openxmlformats.org/officeDocument/2006/relationships/image" Target="media/image284.png"/><Relationship Id="rId307" Type="http://schemas.openxmlformats.org/officeDocument/2006/relationships/image" Target="media/image285.png"/><Relationship Id="rId309" Type="http://schemas.openxmlformats.org/officeDocument/2006/relationships/image" Target="media/image286.png"/><Relationship Id="rId310" Type="http://schemas.openxmlformats.org/officeDocument/2006/relationships/image" Target="media/image287.png"/><Relationship Id="rId311" Type="http://schemas.openxmlformats.org/officeDocument/2006/relationships/image" Target="media/image288.png"/><Relationship Id="rId312" Type="http://schemas.openxmlformats.org/officeDocument/2006/relationships/image" Target="media/image289.png"/><Relationship Id="rId313" Type="http://schemas.openxmlformats.org/officeDocument/2006/relationships/image" Target="media/image290.png"/><Relationship Id="rId314" Type="http://schemas.openxmlformats.org/officeDocument/2006/relationships/image" Target="media/image291.png"/><Relationship Id="rId315" Type="http://schemas.openxmlformats.org/officeDocument/2006/relationships/image" Target="media/image292.png"/><Relationship Id="rId316" Type="http://schemas.openxmlformats.org/officeDocument/2006/relationships/image" Target="media/image293.png"/><Relationship Id="rId317" Type="http://schemas.openxmlformats.org/officeDocument/2006/relationships/image" Target="media/image294.png"/><Relationship Id="rId318" Type="http://schemas.openxmlformats.org/officeDocument/2006/relationships/image" Target="media/image295.png"/><Relationship Id="rId319" Type="http://schemas.openxmlformats.org/officeDocument/2006/relationships/image" Target="media/image296.png"/><Relationship Id="rId320" Type="http://schemas.openxmlformats.org/officeDocument/2006/relationships/image" Target="media/image297.png"/><Relationship Id="rId321" Type="http://schemas.openxmlformats.org/officeDocument/2006/relationships/image" Target="media/image298.png"/><Relationship Id="rId322" Type="http://schemas.openxmlformats.org/officeDocument/2006/relationships/image" Target="media/image299.png"/><Relationship Id="rId323" Type="http://schemas.openxmlformats.org/officeDocument/2006/relationships/image" Target="media/image300.png"/><Relationship Id="rId324" Type="http://schemas.openxmlformats.org/officeDocument/2006/relationships/image" Target="media/image301.png"/><Relationship Id="rId325" Type="http://schemas.openxmlformats.org/officeDocument/2006/relationships/image" Target="media/image302.png"/><Relationship Id="rId326" Type="http://schemas.openxmlformats.org/officeDocument/2006/relationships/image" Target="media/image303.png"/><Relationship Id="rId327" Type="http://schemas.openxmlformats.org/officeDocument/2006/relationships/image" Target="media/image304.png"/><Relationship Id="rId328" Type="http://schemas.openxmlformats.org/officeDocument/2006/relationships/image" Target="media/image305.png"/><Relationship Id="rId329" Type="http://schemas.openxmlformats.org/officeDocument/2006/relationships/image" Target="media/image306.png"/><Relationship Id="rId330" Type="http://schemas.openxmlformats.org/officeDocument/2006/relationships/image" Target="media/image307.png"/><Relationship Id="rId331" Type="http://schemas.openxmlformats.org/officeDocument/2006/relationships/image" Target="media/image308.png"/><Relationship Id="rId332" Type="http://schemas.openxmlformats.org/officeDocument/2006/relationships/image" Target="media/image309.png"/><Relationship Id="rId333" Type="http://schemas.openxmlformats.org/officeDocument/2006/relationships/image" Target="media/image310.png"/><Relationship Id="rId334" Type="http://schemas.openxmlformats.org/officeDocument/2006/relationships/image" Target="media/image311.png"/><Relationship Id="rId335" Type="http://schemas.openxmlformats.org/officeDocument/2006/relationships/image" Target="media/image312.png"/><Relationship Id="rId336" Type="http://schemas.openxmlformats.org/officeDocument/2006/relationships/image" Target="media/image313.png"/><Relationship Id="rId337" Type="http://schemas.openxmlformats.org/officeDocument/2006/relationships/image" Target="media/image314.png"/><Relationship Id="rId338" Type="http://schemas.openxmlformats.org/officeDocument/2006/relationships/image" Target="media/image315.png"/><Relationship Id="rId339" Type="http://schemas.openxmlformats.org/officeDocument/2006/relationships/image" Target="media/image316.png"/><Relationship Id="rId340" Type="http://schemas.openxmlformats.org/officeDocument/2006/relationships/image" Target="media/image317.png"/><Relationship Id="rId341" Type="http://schemas.openxmlformats.org/officeDocument/2006/relationships/image" Target="media/image318.png"/><Relationship Id="rId342" Type="http://schemas.openxmlformats.org/officeDocument/2006/relationships/image" Target="media/image319.png"/><Relationship Id="rId343" Type="http://schemas.openxmlformats.org/officeDocument/2006/relationships/image" Target="media/image320.png"/><Relationship Id="rId291" Type="http://schemas.openxmlformats.org/officeDocument/2006/relationships/hyperlink" Target="https://www.sec.gov/Archives/edgar/data/1884516/000110465923020480/tm236420d1_ex2-1.htm" TargetMode="External"/><Relationship Id="rId292" Type="http://schemas.openxmlformats.org/officeDocument/2006/relationships/hyperlink" Target="https://www.sec.gov/Archives/edgar/data/1884516/000110465923069995/tm2317528d1_ex2-1.htm" TargetMode="External"/><Relationship Id="rId293" Type="http://schemas.openxmlformats.org/officeDocument/2006/relationships/hyperlink" Target="https://www.sec.gov/Archives/edgar/data/1884516/000119312523175331/d498600dex31.htm" TargetMode="External"/><Relationship Id="rId294" Type="http://schemas.openxmlformats.org/officeDocument/2006/relationships/hyperlink" Target="https://www.sec.gov/Archives/edgar/data/1884516/000119312523175331/d498600dex32.htm" TargetMode="External"/><Relationship Id="rId295" Type="http://schemas.openxmlformats.org/officeDocument/2006/relationships/hyperlink" Target="https://www.sec.gov/Archives/edgar/data/1884516/000119312523175331/d498600dex41.htm" TargetMode="External"/><Relationship Id="rId296" Type="http://schemas.openxmlformats.org/officeDocument/2006/relationships/hyperlink" Target="https://www.sec.gov/Archives/edgar/data/1884516/000110465923048548/tm236205d14_ex10-13.htm" TargetMode="External"/><Relationship Id="rId297" Type="http://schemas.openxmlformats.org/officeDocument/2006/relationships/hyperlink" Target="https://www.sec.gov/Archives/edgar/data/1884516/000119312523175331/d498600dex102.htm" TargetMode="External"/><Relationship Id="rId298" Type="http://schemas.openxmlformats.org/officeDocument/2006/relationships/hyperlink" Target="https://www.sec.gov/Archives/edgar/data/1884516/000119312523175331/d498600dex103.htm" TargetMode="External"/><Relationship Id="rId299" Type="http://schemas.openxmlformats.org/officeDocument/2006/relationships/hyperlink" Target="https://www.sec.gov/Archives/edgar/data/1884516/000119312523175331/d498600dex105.htm" TargetMode="External"/><Relationship Id="rId300" Type="http://schemas.openxmlformats.org/officeDocument/2006/relationships/hyperlink" Target="https://www.sec.gov/Archives/edgar/data/1884516/000110465923021677/rocau-20220930xex10d12.htm" TargetMode="External"/><Relationship Id="rId301" Type="http://schemas.openxmlformats.org/officeDocument/2006/relationships/hyperlink" Target="https://www.sec.gov/Archives/edgar/data/1884516/000119312523175331/d498600dex107.htm" TargetMode="External"/><Relationship Id="rId302" Type="http://schemas.openxmlformats.org/officeDocument/2006/relationships/hyperlink" Target="https://www.sec.gov/Archives/edgar/data/1884516/000110465923021677/rocau-20220930xex10d18.htm" TargetMode="External"/><Relationship Id="rId303" Type="http://schemas.openxmlformats.org/officeDocument/2006/relationships/hyperlink" Target="https://www.sec.gov/ix?doc=/Archives/edgar/data/0001884516/000110465923021677/rocau-20220930xs4.htm" TargetMode="External"/><Relationship Id="rId304" Type="http://schemas.openxmlformats.org/officeDocument/2006/relationships/hyperlink" Target="https://www.sec.gov/Archives/edgar/data/1884516/000119312523190490/d537847dex1013.htm" TargetMode="External"/><Relationship Id="rId305" Type="http://schemas.openxmlformats.org/officeDocument/2006/relationships/hyperlink" Target="https://www.sec.gov/ix?doc=/Archives/edgar/data/0001884516/000119312524070307/d761498d8k.htm" TargetMode="External"/><Relationship Id="rId308" Type="http://schemas.openxmlformats.org/officeDocument/2006/relationships/hyperlink" Target="https://www.sec.gov/Archives/edgar/data/1884516/000119312523175331/d498600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2025-03-14T12:43:58Z</dcterms:created>
  <dcterms:modified xsi:type="dcterms:W3CDTF">2025-03-14T12:43:58Z</dcterms:modified>
</cp:coreProperties>
</file>