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49"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960" w:right="1620" w:hanging="39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DRILLING TOOLS INTERNATIONAL CORPORATION</w:t>
      </w:r>
    </w:p>
    <w:p>
      <w:pPr>
        <w:sectPr>
          <w:pgSz w:w="11900" w:h="16838" w:orient="portrait"/>
          <w:cols w:equalWidth="0" w:num="1">
            <w:col w:w="11240"/>
          </w:cols>
          <w:pgMar w:left="320" w:top="1333" w:right="339" w:bottom="1440" w:gutter="0" w:footer="0" w:header="0"/>
        </w:sectPr>
      </w:pPr>
    </w:p>
    <w:p>
      <w:pPr>
        <w:spacing w:after="0" w:line="6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700" w:space="240"/>
            <w:col w:w="3300"/>
          </w:cols>
          <w:pgMar w:left="320" w:top="1333" w:right="339" w:bottom="1440" w:gutter="0" w:footer="0" w:header="0"/>
          <w:type w:val="continuous"/>
        </w:sectPr>
      </w:pPr>
    </w:p>
    <w:tbl>
      <w:tblPr>
        <w:tblLayout w:type="fixed"/>
        <w:tblInd w:w="1780" w:type="dxa"/>
        <w:tblCellMar>
          <w:top w:w="0" w:type="dxa"/>
          <w:left w:w="0" w:type="dxa"/>
          <w:bottom w:w="0" w:type="dxa"/>
          <w:right w:w="0" w:type="dxa"/>
        </w:tblCellMar>
      </w:tblPr>
      <w:tr>
        <w:trPr>
          <w:trHeight w:val="223"/>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rPr>
              <w:t>3701 Briarpark Drive</w:t>
            </w:r>
          </w:p>
        </w:tc>
        <w:tc>
          <w:tcPr>
            <w:tcW w:w="2720" w:type="dxa"/>
            <w:vAlign w:val="bottom"/>
          </w:tcPr>
          <w:p>
            <w:pPr>
              <w:spacing w:after="0"/>
              <w:rPr>
                <w:sz w:val="19"/>
                <w:szCs w:val="19"/>
                <w:color w:val="auto"/>
              </w:rPr>
            </w:pPr>
          </w:p>
        </w:tc>
      </w:tr>
      <w:tr>
        <w:trPr>
          <w:trHeight w:val="229"/>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rPr>
              <w:t>Suite 150</w:t>
            </w:r>
          </w:p>
        </w:tc>
        <w:tc>
          <w:tcPr>
            <w:tcW w:w="2720" w:type="dxa"/>
            <w:vAlign w:val="bottom"/>
          </w:tcPr>
          <w:p>
            <w:pPr>
              <w:spacing w:after="0"/>
              <w:rPr>
                <w:sz w:val="19"/>
                <w:szCs w:val="19"/>
                <w:color w:val="auto"/>
              </w:rPr>
            </w:pPr>
          </w:p>
        </w:tc>
      </w:tr>
      <w:tr>
        <w:trPr>
          <w:trHeight w:val="252"/>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77042</w:t>
            </w:r>
          </w:p>
        </w:tc>
      </w:tr>
      <w:tr>
        <w:trPr>
          <w:trHeight w:val="173"/>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0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5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460" w:firstLine="509"/>
        <w:spacing w:after="0" w:line="26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48" w:lineRule="exact"/>
        <w:rPr>
          <w:sz w:val="24"/>
          <w:szCs w:val="24"/>
          <w:color w:val="auto"/>
        </w:rPr>
      </w:pPr>
    </w:p>
    <w:p>
      <w:pPr>
        <w:ind w:right="1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7620" w:val="left"/>
          <w:tab w:leader="none" w:pos="82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4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November 14, 2024, the registrant had 34,704,696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5140" w:type="dxa"/>
            <w:vAlign w:val="bottom"/>
            <w:gridSpan w:val="9"/>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60" w:type="dxa"/>
            <w:vAlign w:val="bottom"/>
            <w:tcBorders>
              <w:bottom w:val="single" w:sz="8" w:color="0000FF"/>
            </w:tcBorders>
            <w:gridSpan w:val="16"/>
            <w:vMerge w:val="continue"/>
          </w:tcPr>
          <w:p>
            <w:pPr>
              <w:spacing w:after="0"/>
              <w:rPr>
                <w:sz w:val="14"/>
                <w:szCs w:val="14"/>
                <w:color w:val="auto"/>
              </w:rPr>
            </w:pPr>
          </w:p>
        </w:tc>
        <w:tc>
          <w:tcPr>
            <w:tcW w:w="5140" w:type="dxa"/>
            <w:vAlign w:val="bottom"/>
            <w:gridSpan w:val="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20" w:type="dxa"/>
            <w:vAlign w:val="bottom"/>
            <w:tcBorders>
              <w:bottom w:val="single" w:sz="8" w:color="0000EE"/>
            </w:tcBorders>
          </w:tcPr>
          <w:p>
            <w:pPr>
              <w:spacing w:after="0"/>
              <w:rPr>
                <w:sz w:val="18"/>
                <w:szCs w:val="18"/>
                <w:color w:val="auto"/>
              </w:rPr>
            </w:pPr>
          </w:p>
        </w:tc>
        <w:tc>
          <w:tcPr>
            <w:tcW w:w="702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w:t>
            </w:r>
          </w:p>
        </w:tc>
        <w:tc>
          <w:tcPr>
            <w:tcW w:w="20" w:type="dxa"/>
            <w:vAlign w:val="bottom"/>
            <w:tcBorders>
              <w:bottom w:val="single" w:sz="8" w:color="0000EE"/>
            </w:tcBorders>
          </w:tcPr>
          <w:p>
            <w:pPr>
              <w:spacing w:after="0"/>
              <w:rPr>
                <w:sz w:val="18"/>
                <w:szCs w:val="18"/>
                <w:color w:val="auto"/>
              </w:rPr>
            </w:pPr>
          </w:p>
        </w:tc>
        <w:tc>
          <w:tcPr>
            <w:tcW w:w="3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Convertible Preferred Stock and Shareholders' Equity</w:t>
            </w: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8"/>
                <w:szCs w:val="18"/>
                <w:color w:val="auto"/>
              </w:rPr>
            </w:pPr>
          </w:p>
        </w:tc>
        <w:tc>
          <w:tcPr>
            <w:tcW w:w="6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25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19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influeAnced by the general level activity in the oil and gas industry;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17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22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162"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DTIC Common Stock;</w:t>
      </w:r>
    </w:p>
    <w:p>
      <w:pPr>
        <w:spacing w:after="0" w:line="22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DTIC Common Stock;</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2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Report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by us in this Report speak only as of the date of this Report.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0"/>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 equity securities, at fair value</w:t>
            </w:r>
          </w:p>
        </w:tc>
        <w:tc>
          <w:tcPr>
            <w:tcW w:w="1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note receivable, noncurrent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218,844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100" w:type="dxa"/>
            <w:vAlign w:val="bottom"/>
            <w:shd w:val="clear" w:color="auto" w:fill="CFF0FC"/>
          </w:tcPr>
          <w:p>
            <w:pPr>
              <w:spacing w:after="0"/>
              <w:rPr>
                <w:sz w:val="20"/>
                <w:szCs w:val="20"/>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shares authorized 500,000,000 as of September 30, 2024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34,704,696 shares issued and outstanding as of September 30, 2024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29,768,568 shares issued and outstanding as of December 31, 2023</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(2,238 )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(6,306 )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r>
      <w:tr>
        <w:trPr>
          <w:trHeight w:val="238"/>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123,190</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218,844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-3441700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-3424555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9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90,639</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116,845</w:t>
            </w:r>
          </w:p>
        </w:tc>
        <w:tc>
          <w:tcPr>
            <w:tcW w:w="100" w:type="dxa"/>
            <w:vAlign w:val="bottom"/>
          </w:tcPr>
          <w:p>
            <w:pPr>
              <w:spacing w:after="0"/>
              <w:rPr>
                <w:sz w:val="20"/>
                <w:szCs w:val="20"/>
                <w:color w:val="auto"/>
              </w:rPr>
            </w:pPr>
          </w:p>
        </w:tc>
      </w:tr>
      <w:tr>
        <w:trPr>
          <w:trHeight w:val="24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20"/>
                <w:szCs w:val="20"/>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shd w:val="clear" w:color="auto" w:fill="CFF0FC"/>
          </w:tcPr>
          <w:p>
            <w:pPr>
              <w:spacing w:after="0"/>
              <w:rPr>
                <w:sz w:val="21"/>
                <w:szCs w:val="2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93,474</w:t>
            </w:r>
          </w:p>
        </w:tc>
        <w:tc>
          <w:tcPr>
            <w:tcW w:w="100" w:type="dxa"/>
            <w:vAlign w:val="bottom"/>
          </w:tcPr>
          <w:p>
            <w:pPr>
              <w:spacing w:after="0"/>
              <w:rPr>
                <w:sz w:val="20"/>
                <w:szCs w:val="20"/>
                <w:color w:val="auto"/>
              </w:rPr>
            </w:pPr>
          </w:p>
        </w:tc>
      </w:tr>
      <w:tr>
        <w:trPr>
          <w:trHeight w:val="23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100" w:type="dxa"/>
            <w:vAlign w:val="bottom"/>
            <w:shd w:val="clear" w:color="auto" w:fill="CFF0FC"/>
          </w:tcPr>
          <w:p>
            <w:pPr>
              <w:spacing w:after="0"/>
              <w:rPr>
                <w:sz w:val="20"/>
                <w:szCs w:val="20"/>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(1,038 )</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(2,030 )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property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remeasurement of previously held equity interest</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(361 )</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(535 )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(2,443 )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(5,241 )</w:t>
            </w: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(6,170 )</w:t>
            </w:r>
          </w:p>
        </w:tc>
      </w:tr>
      <w:tr>
        <w:trPr>
          <w:trHeight w:val="20"/>
        </w:trPr>
        <w:tc>
          <w:tcPr>
            <w:tcW w:w="5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(3,823 )</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(743 )</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(6,842 )</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(7,245 )</w:t>
            </w:r>
          </w:p>
        </w:tc>
      </w:tr>
      <w:tr>
        <w:trPr>
          <w:trHeight w:val="234"/>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Borders>
              <w:top w:val="single" w:sz="8" w:color="CFF0FC"/>
            </w:tcBorders>
          </w:tcPr>
          <w:p>
            <w:pPr>
              <w:spacing w:after="0"/>
              <w:rPr>
                <w:sz w:val="20"/>
                <w:szCs w:val="20"/>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(2,102 )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(415 )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(5,201 )</w:t>
            </w:r>
          </w:p>
        </w:tc>
      </w:tr>
      <w:tr>
        <w:trPr>
          <w:trHeight w:val="238"/>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top w:val="single" w:sz="8" w:color="CFF0FC"/>
            </w:tcBorders>
          </w:tcPr>
          <w:p>
            <w:pPr>
              <w:spacing w:after="0"/>
              <w:rPr>
                <w:sz w:val="20"/>
                <w:szCs w:val="20"/>
                <w:color w:val="auto"/>
              </w:rPr>
            </w:pPr>
          </w:p>
        </w:tc>
      </w:tr>
      <w:tr>
        <w:trPr>
          <w:trHeight w:val="24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dividends on redeemable convertible preferred stock</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0"/>
                <w:szCs w:val="20"/>
                <w:color w:val="auto"/>
              </w:rPr>
            </w:pPr>
          </w:p>
        </w:tc>
      </w:tr>
      <w:tr>
        <w:trPr>
          <w:trHeight w:val="236"/>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Borders>
              <w:top w:val="single" w:sz="8" w:color="CFF0FC"/>
            </w:tcBorders>
          </w:tcPr>
          <w:p>
            <w:pPr>
              <w:spacing w:after="0"/>
              <w:rPr>
                <w:sz w:val="20"/>
                <w:szCs w:val="20"/>
                <w:color w:val="auto"/>
              </w:rPr>
            </w:pPr>
          </w:p>
        </w:tc>
      </w:tr>
      <w:tr>
        <w:trPr>
          <w:trHeight w:val="27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33,072,097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30,893,602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18,608,708</w:t>
            </w:r>
          </w:p>
        </w:tc>
        <w:tc>
          <w:tcPr>
            <w:tcW w:w="100" w:type="dxa"/>
            <w:vAlign w:val="bottom"/>
            <w:shd w:val="clear" w:color="auto" w:fill="CFF0FC"/>
          </w:tcPr>
          <w:p>
            <w:pPr>
              <w:spacing w:after="0"/>
              <w:rPr>
                <w:sz w:val="19"/>
                <w:szCs w:val="19"/>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33,547,056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30,043,546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31,404,333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23,554,593</w:t>
            </w:r>
          </w:p>
        </w:tc>
        <w:tc>
          <w:tcPr>
            <w:tcW w:w="100" w:type="dxa"/>
            <w:vAlign w:val="bottom"/>
          </w:tcPr>
          <w:p>
            <w:pPr>
              <w:spacing w:after="0"/>
              <w:rPr>
                <w:sz w:val="20"/>
                <w:szCs w:val="20"/>
                <w:color w:val="auto"/>
              </w:rPr>
            </w:pPr>
          </w:p>
        </w:tc>
      </w:tr>
      <w:tr>
        <w:trPr>
          <w:trHeight w:val="24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r>
      <w:tr>
        <w:trPr>
          <w:trHeight w:val="238"/>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tcBorders>
              <w:top w:val="single" w:sz="8" w:color="CFF0FC"/>
            </w:tcBorders>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-4323080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-4323080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-4323080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-4323080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-3390265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-3390265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-3390265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-2131695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-2131695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-2131695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-1814830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-1814830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-1814830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-1497965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-1497965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-1497965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-1172210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-1155065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-1172210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-1155065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-1172210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-1155065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-187960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920" w:type="dxa"/>
            <w:vAlign w:val="bottom"/>
            <w:gridSpan w:val="3"/>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920" w:type="dxa"/>
            <w:vAlign w:val="bottom"/>
            <w:gridSpan w:val="3"/>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15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18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2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i w:val="1"/>
                <w:iCs w:val="1"/>
                <w:color w:val="auto"/>
              </w:rPr>
              <w:t>(In thousands, except share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right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8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9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Shareholders'</w:t>
            </w: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and per share data)</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86"/>
              </w:rPr>
              <w:t>nt</w:t>
            </w: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5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20,370,</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17,8</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(811,15</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53,175,028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6 )</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(933 )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52,790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(21,054 )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Retroactive application of</w:t>
            </w: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(13,650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811,15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Merger</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,736 )</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(41,223,891 )</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(531 )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(402 )</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3"/>
        </w:trPr>
        <w:tc>
          <w:tcPr>
            <w:tcW w:w="166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Adjusted Balances,</w:t>
            </w:r>
          </w:p>
        </w:tc>
        <w:tc>
          <w:tcPr>
            <w:tcW w:w="54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6,719,6</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17,8</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 of period*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52,388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(21,054 )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Accretion of redeemable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convertible preferred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 to redemption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(314 )</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(314 )</w:t>
            </w:r>
          </w:p>
        </w:tc>
        <w:tc>
          <w:tcPr>
            <w:tcW w:w="0" w:type="dxa"/>
            <w:vAlign w:val="bottom"/>
          </w:tcPr>
          <w:p>
            <w:pPr>
              <w:spacing w:after="0"/>
              <w:rPr>
                <w:sz w:val="1"/>
                <w:szCs w:val="1"/>
                <w:color w:val="auto"/>
              </w:rPr>
            </w:pPr>
          </w:p>
        </w:tc>
      </w:tr>
      <w:tr>
        <w:trPr>
          <w:trHeight w:val="131"/>
        </w:trPr>
        <w:tc>
          <w:tcPr>
            <w:tcW w:w="16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Foreign currency</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5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6,719,6</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18,1</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52,074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(15,353 )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(111 )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660" w:type="dxa"/>
            <w:vAlign w:val="bottom"/>
            <w:tcBorders>
              <w:top w:val="single" w:sz="8" w:color="CFF0FC"/>
            </w:tcBorders>
          </w:tcPr>
          <w:p>
            <w:pPr>
              <w:ind w:left="20"/>
              <w:spacing w:after="0" w:line="112" w:lineRule="exact"/>
              <w:rPr>
                <w:sz w:val="20"/>
                <w:szCs w:val="20"/>
                <w:color w:val="auto"/>
              </w:rPr>
            </w:pPr>
            <w:r>
              <w:rPr>
                <w:rFonts w:ascii="Times New Roman" w:cs="Times New Roman" w:eastAsia="Times New Roman" w:hAnsi="Times New Roman"/>
                <w:sz w:val="12"/>
                <w:szCs w:val="12"/>
                <w:color w:val="auto"/>
              </w:rPr>
              <w:t>Net exercise of DTIH</w:t>
            </w: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stock options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16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Exchange of DTIH</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redeemable convertible</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for DTIC</w:t>
            </w: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(6,719,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88"/>
              </w:rPr>
              <w:t>(18,1</w:t>
            </w: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641 )</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92 )</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DTIC Common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to former holders of</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DTIH redeemable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convertible preferred stock in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connection with Exchange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2,042,181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6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Merger, net of redemptions</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transaction costs</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5,711,721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(8,839 )</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(8,838 )</w:t>
            </w: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DTIC Common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in connection with the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consummation of the PIPE</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2,970,296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337,429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(207 )</w:t>
            </w: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(207 )</w:t>
            </w:r>
          </w:p>
        </w:tc>
        <w:tc>
          <w:tcPr>
            <w:tcW w:w="0" w:type="dxa"/>
            <w:vAlign w:val="bottom"/>
          </w:tcPr>
          <w:p>
            <w:pPr>
              <w:spacing w:after="0"/>
              <w:rPr>
                <w:sz w:val="1"/>
                <w:szCs w:val="1"/>
                <w:color w:val="auto"/>
              </w:rPr>
            </w:pPr>
          </w:p>
        </w:tc>
      </w:tr>
      <w:tr>
        <w:trPr>
          <w:trHeight w:val="163"/>
        </w:trPr>
        <w:tc>
          <w:tcPr>
            <w:tcW w:w="1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29,768,568</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22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(14,416 )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(318 )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6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Foreign currency</w:t>
            </w: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September 30,</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29,768,568</w:t>
            </w:r>
          </w:p>
        </w:tc>
        <w:tc>
          <w:tcPr>
            <w:tcW w:w="2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2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(10,129 )</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(228 )</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240" w:type="dxa"/>
            <w:vAlign w:val="bottom"/>
            <w:tcBorders>
              <w:right w:val="single" w:sz="8" w:color="auto"/>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-2756535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-2739390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-2756535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-2739390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-2756535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-2739390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-2756535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-2739390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-2756535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-2739390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-2756535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-2739390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-2756535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-2739390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-2756535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-2739390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-2756535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-2739390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-2739390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-709930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-709930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-709930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-709930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-709930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-709930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-709930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-709930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-709930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6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3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3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Shareholders'</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29,768,5</w:t>
            </w: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(6,306 )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(225 )</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88,690</w:t>
            </w:r>
          </w:p>
        </w:tc>
        <w:tc>
          <w:tcPr>
            <w:tcW w:w="100" w:type="dxa"/>
            <w:vAlign w:val="bottom"/>
          </w:tcPr>
          <w:p>
            <w:pPr>
              <w:spacing w:after="0"/>
              <w:rPr>
                <w:sz w:val="14"/>
                <w:szCs w:val="14"/>
                <w:color w:val="auto"/>
              </w:rPr>
            </w:pPr>
          </w:p>
        </w:tc>
      </w:tr>
      <w:tr>
        <w:trPr>
          <w:trHeight w:val="17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FF0FC"/>
          </w:tcPr>
          <w:p>
            <w:pPr>
              <w:spacing w:after="0"/>
              <w:rPr>
                <w:sz w:val="15"/>
                <w:szCs w:val="15"/>
                <w:color w:val="auto"/>
              </w:rPr>
            </w:pPr>
          </w:p>
        </w:tc>
      </w:tr>
      <w:tr>
        <w:trPr>
          <w:trHeight w:val="130"/>
        </w:trPr>
        <w:tc>
          <w:tcPr>
            <w:tcW w:w="35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(511 )</w:t>
            </w:r>
          </w:p>
        </w:tc>
        <w:tc>
          <w:tcPr>
            <w:tcW w:w="2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(511 )</w:t>
            </w:r>
          </w:p>
        </w:tc>
      </w:tr>
      <w:tr>
        <w:trPr>
          <w:trHeight w:val="16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shd w:val="clear" w:color="auto" w:fill="CFF0FC"/>
          </w:tcPr>
          <w:p>
            <w:pPr>
              <w:spacing w:after="0"/>
              <w:rPr>
                <w:sz w:val="14"/>
                <w:szCs w:val="14"/>
                <w:color w:val="auto"/>
              </w:rPr>
            </w:pPr>
          </w:p>
        </w:tc>
      </w:tr>
      <w:tr>
        <w:trPr>
          <w:trHeight w:val="124"/>
        </w:trPr>
        <w:tc>
          <w:tcPr>
            <w:tcW w:w="356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March 31, 2024</w:t>
            </w:r>
          </w:p>
        </w:tc>
        <w:tc>
          <w:tcPr>
            <w:tcW w:w="6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29,768,5</w:t>
            </w:r>
          </w:p>
        </w:tc>
        <w:tc>
          <w:tcPr>
            <w:tcW w:w="4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95,426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(3,180 )</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(736 )</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91,513</w:t>
            </w:r>
          </w:p>
        </w:tc>
        <w:tc>
          <w:tcPr>
            <w:tcW w:w="100" w:type="dxa"/>
            <w:vAlign w:val="bottom"/>
          </w:tcPr>
          <w:p>
            <w:pPr>
              <w:spacing w:after="0"/>
              <w:rPr>
                <w:sz w:val="14"/>
                <w:szCs w:val="14"/>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shd w:val="clear" w:color="auto" w:fill="CFF0FC"/>
          </w:tcPr>
          <w:p>
            <w:pPr>
              <w:spacing w:after="0"/>
              <w:rPr>
                <w:sz w:val="13"/>
                <w:szCs w:val="13"/>
                <w:color w:val="auto"/>
              </w:rPr>
            </w:pPr>
          </w:p>
        </w:tc>
      </w:tr>
      <w:tr>
        <w:trPr>
          <w:trHeight w:val="174"/>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(290 )</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(35 )</w:t>
            </w:r>
          </w:p>
        </w:tc>
      </w:tr>
      <w:tr>
        <w:trPr>
          <w:trHeight w:val="17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due to vesting of restricted stock units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74,440</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FF0FC"/>
          </w:tcPr>
          <w:p>
            <w:pPr>
              <w:spacing w:after="0"/>
              <w:rPr>
                <w:sz w:val="15"/>
                <w:szCs w:val="15"/>
                <w:color w:val="auto"/>
              </w:rPr>
            </w:pPr>
          </w:p>
        </w:tc>
      </w:tr>
      <w:tr>
        <w:trPr>
          <w:trHeight w:val="130"/>
        </w:trPr>
        <w:tc>
          <w:tcPr>
            <w:tcW w:w="35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r>
      <w:tr>
        <w:trPr>
          <w:trHeight w:val="163"/>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4"/>
        </w:trPr>
        <w:tc>
          <w:tcPr>
            <w:tcW w:w="356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June 30, 2024</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29,859,5</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3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96,536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(3,105 )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(634 )</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92,800</w:t>
            </w:r>
          </w:p>
        </w:tc>
        <w:tc>
          <w:tcPr>
            <w:tcW w:w="100" w:type="dxa"/>
            <w:vAlign w:val="bottom"/>
          </w:tcPr>
          <w:p>
            <w:pPr>
              <w:spacing w:after="0"/>
              <w:rPr>
                <w:sz w:val="14"/>
                <w:szCs w:val="14"/>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2"/>
        </w:trPr>
        <w:tc>
          <w:tcPr>
            <w:tcW w:w="35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2"/>
                <w:szCs w:val="12"/>
                <w:color w:val="auto"/>
              </w:rPr>
              <w:t>Issuance of Common Stock related to business combination</w:t>
            </w:r>
          </w:p>
        </w:tc>
        <w:tc>
          <w:tcPr>
            <w:tcW w:w="64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2"/>
                <w:szCs w:val="12"/>
                <w:color w:val="auto"/>
              </w:rPr>
              <w:t>4,845,13</w:t>
            </w: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7"/>
        </w:trPr>
        <w:tc>
          <w:tcPr>
            <w:tcW w:w="35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27,714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27,714</w:t>
            </w:r>
          </w:p>
        </w:tc>
        <w:tc>
          <w:tcPr>
            <w:tcW w:w="100" w:type="dxa"/>
            <w:vAlign w:val="bottom"/>
            <w:shd w:val="clear" w:color="auto" w:fill="CFF0FC"/>
          </w:tcPr>
          <w:p>
            <w:pPr>
              <w:spacing w:after="0"/>
              <w:rPr>
                <w:sz w:val="14"/>
                <w:szCs w:val="14"/>
                <w:color w:val="auto"/>
              </w:rPr>
            </w:pPr>
          </w:p>
        </w:tc>
      </w:tr>
      <w:tr>
        <w:trPr>
          <w:trHeight w:val="174"/>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Accelerated vesting of substitute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5"/>
                <w:szCs w:val="15"/>
                <w:color w:val="auto"/>
              </w:rPr>
            </w:pPr>
          </w:p>
        </w:tc>
      </w:tr>
      <w:tr>
        <w:trPr>
          <w:trHeight w:val="17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shd w:val="clear" w:color="auto" w:fill="CFF0FC"/>
          </w:tcPr>
          <w:p>
            <w:pPr>
              <w:spacing w:after="0"/>
              <w:rPr>
                <w:sz w:val="15"/>
                <w:szCs w:val="15"/>
                <w:color w:val="auto"/>
              </w:rPr>
            </w:pPr>
          </w:p>
        </w:tc>
      </w:tr>
      <w:tr>
        <w:trPr>
          <w:trHeight w:val="130"/>
        </w:trPr>
        <w:tc>
          <w:tcPr>
            <w:tcW w:w="35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Foreign currency</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translation adjustment,</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3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00" w:type="dxa"/>
            <w:vAlign w:val="bottom"/>
          </w:tcPr>
          <w:p>
            <w:pPr>
              <w:spacing w:after="0"/>
              <w:rPr>
                <w:sz w:val="14"/>
                <w:szCs w:val="14"/>
                <w:color w:val="auto"/>
              </w:rPr>
            </w:pPr>
          </w:p>
        </w:tc>
      </w:tr>
      <w:tr>
        <w:trPr>
          <w:trHeight w:val="16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100" w:type="dxa"/>
            <w:vAlign w:val="bottom"/>
            <w:shd w:val="clear" w:color="auto" w:fill="CFF0FC"/>
          </w:tcPr>
          <w:p>
            <w:pPr>
              <w:spacing w:after="0"/>
              <w:rPr>
                <w:sz w:val="14"/>
                <w:szCs w:val="14"/>
                <w:color w:val="auto"/>
              </w:rPr>
            </w:pPr>
          </w:p>
        </w:tc>
      </w:tr>
      <w:tr>
        <w:trPr>
          <w:trHeight w:val="124"/>
        </w:trPr>
        <w:tc>
          <w:tcPr>
            <w:tcW w:w="356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September 30, 2023</w:t>
            </w:r>
          </w:p>
        </w:tc>
        <w:tc>
          <w:tcPr>
            <w:tcW w:w="6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34,704,6</w:t>
            </w:r>
          </w:p>
        </w:tc>
        <w:tc>
          <w:tcPr>
            <w:tcW w:w="4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124,896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(2,238 )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2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123,190</w:t>
            </w:r>
          </w:p>
        </w:tc>
        <w:tc>
          <w:tcPr>
            <w:tcW w:w="100" w:type="dxa"/>
            <w:vAlign w:val="bottom"/>
          </w:tcPr>
          <w:p>
            <w:pPr>
              <w:spacing w:after="0"/>
              <w:rPr>
                <w:sz w:val="14"/>
                <w:szCs w:val="14"/>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-2165350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-2165350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-2165350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-2165350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-2165350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-1232535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-1232535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-1232535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-1232535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-1232535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-222250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-222250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-222250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-222250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-222250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40"/>
        <w:spacing w:after="0" w:line="257" w:lineRule="auto"/>
        <w:rPr>
          <w:sz w:val="20"/>
          <w:szCs w:val="20"/>
          <w:color w:val="auto"/>
        </w:rPr>
      </w:pPr>
      <w:r>
        <w:rPr>
          <w:rFonts w:ascii="Arial" w:cs="Arial" w:eastAsia="Arial" w:hAnsi="Arial"/>
          <w:sz w:val="18"/>
          <w:szCs w:val="18"/>
          <w:b w:val="1"/>
          <w:bCs w:val="1"/>
          <w:color w:val="auto"/>
        </w:rPr>
        <w:t>DRILLING TOOLS INTERNATIONAL CORPORATION UNAUDITED CONDENSED CONSOLIDATED STATEMENTS OF CASH FLOWS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57"/>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55"/>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2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10,925</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15,035</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lease expense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Provision for excess and obsolete property and equipment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tax expense</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(1,301 )</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Gain on sale of property</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(72 )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asset disposal</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Realized loss on interest rate swaps</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equity securities</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(368 )</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Realized loss on equity securities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Gross profit from sale of lost-in-hole equipment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(7,348 )</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(13,968 )</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(577 )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(633 )</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(92 )</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(2,883 )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(2,876 )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(3,416 )</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(3,311 )</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(2,802 )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(888 )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(916 )</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tcPr>
          <w:p>
            <w:pPr>
              <w:spacing w:after="0"/>
              <w:rPr>
                <w:sz w:val="14"/>
                <w:szCs w:val="14"/>
                <w:color w:val="auto"/>
              </w:rPr>
            </w:pPr>
          </w:p>
        </w:tc>
      </w:tr>
      <w:tr>
        <w:trPr>
          <w:trHeight w:val="155"/>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flows from operating activities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9,723</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17,484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Acquisition of a business, net of cash acquired</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(38,670 )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sale of equity securities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(19,678 )</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(36,776 )</w:t>
            </w:r>
          </w:p>
        </w:tc>
      </w:tr>
      <w:tr>
        <w:trPr>
          <w:trHeight w:val="162"/>
        </w:trPr>
        <w:tc>
          <w:tcPr>
            <w:tcW w:w="8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Proceeds from sale of lost-in-hole equipment</w:t>
            </w: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10,895</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16,623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from investing activities</w:t>
            </w:r>
          </w:p>
        </w:tc>
        <w:tc>
          <w:tcPr>
            <w:tcW w:w="1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(46,132 )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(20,027 )</w:t>
            </w:r>
          </w:p>
        </w:tc>
      </w:tr>
      <w:tr>
        <w:trPr>
          <w:trHeight w:val="155"/>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Merger and PIPE Financing, net of transaction costs</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23,162</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(721 )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(322 )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revolving line of credit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30,062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71,646</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Payments on revolving line of credit</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(8,898 )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(89,995 )</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Term Loan</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Repayment of Term Loan</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(2,083 )</w:t>
            </w: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to holders of DTIH redeemable convertible preferred stock in connection with retiring their DTI stock upon the Merger</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(194 )</w:t>
            </w:r>
          </w:p>
        </w:tc>
      </w:tr>
      <w:tr>
        <w:trPr>
          <w:trHeight w:val="155"/>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from financing activities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43,360</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changes in foreign exchange rates</w:t>
            </w:r>
          </w:p>
        </w:tc>
        <w:tc>
          <w:tcPr>
            <w:tcW w:w="1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(993 )</w:t>
            </w: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(117 )</w:t>
            </w:r>
          </w:p>
        </w:tc>
      </w:tr>
      <w:tr>
        <w:trPr>
          <w:trHeight w:val="162"/>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cash</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at beginning of period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00" w:type="dxa"/>
            <w:vAlign w:val="bottom"/>
          </w:tcPr>
          <w:p>
            <w:pPr>
              <w:spacing w:after="0"/>
              <w:rPr>
                <w:sz w:val="14"/>
                <w:szCs w:val="14"/>
                <w:color w:val="auto"/>
              </w:rPr>
            </w:pPr>
          </w:p>
        </w:tc>
      </w:tr>
      <w:tr>
        <w:trPr>
          <w:trHeight w:val="195"/>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at end of period</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11,961</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42"/>
        </w:trPr>
        <w:tc>
          <w:tcPr>
            <w:tcW w:w="80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0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Cash paid for interest</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1,488</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Cash paid for income taxes</w:t>
            </w:r>
          </w:p>
        </w:tc>
        <w:tc>
          <w:tcPr>
            <w:tcW w:w="1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256</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2,546</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Fair value of CTG liabilities assumed in CTG Acquisition</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3,162</w:t>
            </w:r>
          </w:p>
        </w:tc>
        <w:tc>
          <w:tcPr>
            <w:tcW w:w="220" w:type="dxa"/>
            <w:vAlign w:val="bottom"/>
          </w:tcPr>
          <w:p>
            <w:pPr>
              <w:spacing w:after="0"/>
              <w:rPr>
                <w:sz w:val="14"/>
                <w:szCs w:val="14"/>
                <w:color w:val="auto"/>
              </w:rPr>
            </w:pP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Fair value of SDPI liabilities assumed in SDPI Acquisition</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6,246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8020" w:type="dxa"/>
            <w:vAlign w:val="bottom"/>
            <w:tcBorders>
              <w:top w:val="single" w:sz="8" w:color="CFF0FC"/>
            </w:tcBorders>
          </w:tcPr>
          <w:p>
            <w:pPr>
              <w:ind w:left="160"/>
              <w:spacing w:after="0" w:line="142" w:lineRule="exact"/>
              <w:rPr>
                <w:sz w:val="20"/>
                <w:szCs w:val="20"/>
                <w:color w:val="auto"/>
              </w:rPr>
            </w:pPr>
            <w:r>
              <w:rPr>
                <w:rFonts w:ascii="Times New Roman" w:cs="Times New Roman" w:eastAsia="Times New Roman" w:hAnsi="Times New Roman"/>
                <w:sz w:val="13"/>
                <w:szCs w:val="13"/>
                <w:color w:val="auto"/>
              </w:rPr>
              <w:t>ROU assets obtained in exchange for lease liabilities</w:t>
            </w: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5,737</w:t>
            </w: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3,002</w:t>
            </w:r>
          </w:p>
        </w:tc>
        <w:tc>
          <w:tcPr>
            <w:tcW w:w="100" w:type="dxa"/>
            <w:vAlign w:val="bottom"/>
            <w:tcBorders>
              <w:top w:val="single" w:sz="8" w:color="CFF0FC"/>
            </w:tcBorders>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Non-cash recovery of note receivable</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453</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Net exercise of stock options</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254</w:t>
            </w:r>
          </w:p>
        </w:tc>
        <w:tc>
          <w:tcPr>
            <w:tcW w:w="220" w:type="dxa"/>
            <w:vAlign w:val="bottom"/>
          </w:tcPr>
          <w:p>
            <w:pPr>
              <w:spacing w:after="0"/>
              <w:rPr>
                <w:sz w:val="12"/>
                <w:szCs w:val="12"/>
                <w:color w:val="auto"/>
              </w:rPr>
            </w:pP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Shares withheld from exercise of stock options for payment of taxes</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8020" w:type="dxa"/>
            <w:vAlign w:val="bottom"/>
            <w:tcBorders>
              <w:top w:val="single" w:sz="8" w:color="CFF0FC"/>
            </w:tcBorders>
          </w:tcPr>
          <w:p>
            <w:pPr>
              <w:ind w:left="160"/>
              <w:spacing w:after="0" w:line="142" w:lineRule="exact"/>
              <w:rPr>
                <w:sz w:val="20"/>
                <w:szCs w:val="20"/>
                <w:color w:val="auto"/>
              </w:rPr>
            </w:pPr>
            <w:r>
              <w:rPr>
                <w:rFonts w:ascii="Times New Roman" w:cs="Times New Roman" w:eastAsia="Times New Roman" w:hAnsi="Times New Roman"/>
                <w:sz w:val="13"/>
                <w:szCs w:val="13"/>
                <w:color w:val="auto"/>
              </w:rPr>
              <w:t>Purchases of inventory included in accounts payable and accrued expenses and other current liabilities</w:t>
            </w: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1,592</w:t>
            </w: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451</w:t>
            </w:r>
          </w:p>
        </w:tc>
        <w:tc>
          <w:tcPr>
            <w:tcW w:w="100" w:type="dxa"/>
            <w:vAlign w:val="bottom"/>
            <w:tcBorders>
              <w:top w:val="single" w:sz="8" w:color="CFF0FC"/>
            </w:tcBorders>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 and other current liabilities</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1,733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Non-cash directors and officers insurance</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1,063</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Non-cash Merger financing</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Exchange of DTIH redeemable convertible preferred stock for DTIC Common Stock in connection with the Merger</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7,193</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Issuance of DTIC Common Stock to former holders of DTIH redeemable convertible preferred stock in connection with Exchange Agreements</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10,805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2"/>
        </w:trPr>
        <w:tc>
          <w:tcPr>
            <w:tcW w:w="80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Accretion of redeemable convertible preferred stock to redemption value</w:t>
            </w:r>
          </w:p>
        </w:tc>
        <w:tc>
          <w:tcPr>
            <w:tcW w:w="1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-4263390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-4263390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-3638550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-3638550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-2585085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-2585085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-2157095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-2139950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-2157095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-2139950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-1925955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-1908810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-1925955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-1908810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-1437640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-1420495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-1437640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-1420495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-1181100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-1163955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-1181100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-1163955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-923925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-906780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-923925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-906780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-667385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-650240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-667385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-650240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-410210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-393065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-410210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-393065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-136525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-153670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6647815</wp:posOffset>
            </wp:positionH>
            <wp:positionV relativeFrom="paragraph">
              <wp:posOffset>-136525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4"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Nature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(the “CTG Acquisition Date”), we entered into a Share Purchase Agreement (the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approximately £16.2 million, or $20.9 million, based on the British pound sterling to United States dollar exchange rate on the CTG Acquisition Date. For further details regarding the acquisition, refer to Note 2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6, 2024, the Company entered into an agreement and plan of merger (the "Merger Agreement")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ComApany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accordance with the terms of the Merger Agreement, the closing of the Merger occurred on July 31, 2024 (the “SDPI Closing Date” or “SDPI Closing”) for total consideration of $47.9 million. For further details regarding the acquisition, refer to Note 2 - "</w:t>
      </w:r>
      <w:r>
        <w:rPr>
          <w:rFonts w:ascii="Times New Roman" w:cs="Times New Roman" w:eastAsia="Times New Roman" w:hAnsi="Times New Roman"/>
          <w:sz w:val="18"/>
          <w:szCs w:val="18"/>
          <w:i w:val="1"/>
          <w:iCs w:val="1"/>
          <w:color w:val="auto"/>
        </w:rPr>
        <w:t>Business Combinations."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California, Louisiana, Oklahoma, Pennsylvania, North Dakota, New Mexico, Utah, and Wyoming. The Company’s international operations are located in Canada, United Kingdom, Germany, United Arab Emirates, Saudi Arabia, Kuwait, Oman, Malaysia, and Australia.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U.S (“U.S. GAAP”) as set forth by the Financial Accounting Standards Board ("FASB") and pursuant to the rules and regulations of the U.S. Securities and Exchange Commission (“SEC”). References to US GAAP issued by the FASB in these notes to the accompanying unaudited condensed consolidated financial statements are to the FASB Accounting Standards Codification (“ASC”) and Accounting Standards Update (“ASUs”).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September 30, 2024, and its results of operations for the three and nine months ended September 30, 2024 and 2023, and cash flows for the nine months ended September 30, 2024 and 2023. The condensed consolidated balance sheet at December 31, 2023, was derived from the audited annual financial statements but does not contain all of the footnote disclosures from the annual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condensed consolidated statements of income and comprehensive income have been translated at the average rates during the reporting period. Translation gains and losses are recorded in accumulated other comprehensive loss as a component of shareholders’ equity. Gains or losses arising from currency exchange rate fluctuations on transactions denominated in a currency other than the local functional currency are included in the unaudited condensed consolidated statements of income and comprehensive income. For the three and nine months ended September 30, 2024 and 2023, aggregate transaction gains and losses included in the unaudited condensed consolidated statements of income and comprehensive income were immaterial.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Revenue from tool rental services are accounted for in accordance with Topic 842.</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1" w:name="page12"/>
    <w:bookmarkEnd w:id="11"/>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contracts are billed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unaudited condensed consolidated balance sheets.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does not know how much the customer will owe the Company upon return of the tool and cannot provide a maturity analysis of future lease payments. The Company’s drilling tools are generally rented for short periods of time (significantly less than a year). Lessees do not provide residual value guarantees on rented equipment.</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drill bit manufacturing and refurbishment, and other charges for made to order product sales. Product sales are accounted for under Topic 606.</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 and drill bit manufacturing and refurbishments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per geographic location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generated was concentrated within the United States. For the three and nine months ended September 30, 2024, the revenue generated within the United States was $31.7 million and $96.9 million respectively, or 79% and 85% of total revenues. For the three and nine months ended September 30, 2024, the revenue generated outside the United States, in Canada and International, was $8.4 million and $17.7 million, respectively, or 21% and 15% of total revenues. For the three and nine months ended September 30, 2023, the revenue generated within the United States was $34.9 million and $106.6 million , respectively, or 92% and 91% of total revenues. For the three and nine months ended September 30, 2023, the revenue generated outside the United States, in Canada and Internationl was $3.2 million and $10.2 million, respectively, or 8% and 9% of total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September 30, 2024 and December 31, 2023, the Company had contract assets of $4.0 million and $4.2 million, respectively. Contract assets were recorded in accounts receivable, net in the accompanying unaudited condensed consolidated balance sheets.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September 30, 2024 and December 31, 2023, the Company did not have any material contract liabilities. All deferred revenues are expected to be recognized during the following 12 months, and they were recorded in accrued expenses and other current liabilities in the accompanying unaudited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September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allowance for credit losses totaled $1.3 million and $1.5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operating costs section of the unaudited condensed consolidated statements of income and comprehensive income and establish a new cost basis for the inventory. Inventory includes raw material and finished goods.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We conduct our annual assessment of the recoverability of goodwill as of December 31 of each year.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Impairment of Long-lived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management determined that there were no triggering events necessitating impairment testing of property, plant, and equipment or intangible assets.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Investments - Equity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During the three months ended September 30, 2024, the Company settled all investments in equity securities for a realized loss of $12 thousand.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closing of the Merger, there were outstanding shares of DTIH Series A redeemable convertible preferred stock ("Redeemable Convertible Preferred Stock"), which was classified outside of permanent equity in mezzanine equity on the unaudited condensed consolidated balance sheets as it was redeemable on a fixed date.</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Upon the closing of the Merger, all of the Redeemable Convertible Preferred Stock was canceled in exchange for DTIC common stock and the right to receive cash. Accordingly, there was no Redeemable Convertible Preferred Stock outstanding as of September 30, 2024 and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the closing of the Merger, the Board of Directors (the "Board") has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has not issued any shares of any classes or series of preferred stock as of September 30, 2024, and through the date these financial statements were available to be issued.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 administrative expense in the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expenses over the requisite service period. The Company historically granted stock-based compensation awards with performance based vesting conditions. These options all vested upon the closing of the Merger with ROC. Subsequent to the closing of the merger with ROC, the Company’s stock-based compensation awards granted are subject to service based and performance based vesting conditions. Pursuant to ASC 718-10-35-8, the Company recognizes compensation cost for stock awards with only service conditions that have a graded vesting schedule on a straight-line basis over the service period for each separately vesting portion of the award as if the award was, in-substance, multiple awards.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The Board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the sale of the Company, given prevailing market conditions; and (vii) precedent transactions involving the Company’s shares.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Redeemable Convertible Preferred Stock did not contractually entitle its holders to participate in profits or losses. As such, it was not treated as a participating security in periods of net income or net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September 30, 2024 and December 31, 2023. The Company believes there are no tax positions taken or expected to be taken that would significantly increase or decrease unrecognized tax benefits within twelve months of the reporting date.</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income and comprehensive income for the three and nine months ended September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and nine months ended September 30, 2024 the application of valuation techniques applied to similar assets and liabilities has been consistent.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interest swap agreement was settled on July 10, 2023. Upon settlement, the swap had a fair value of $0.4 million. For the three and nine months ended September 30, 2023, the settlement resulted in a realized loss of $4 thousand. No new interest swaps were entered into subsequently or during the nine months ended September 30, 2024.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liabilities measured at fair value on a recurring basis are summarized as follows (in thousands):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20" w:type="dxa"/>
            <w:vAlign w:val="bottom"/>
            <w:gridSpan w:val="7"/>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Assets at Fair Value as of September 30, 2024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8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1"/>
                <w:szCs w:val="21"/>
                <w:color w:val="auto"/>
              </w:rPr>
            </w:pPr>
          </w:p>
        </w:tc>
      </w:tr>
      <w:tr>
        <w:trPr>
          <w:trHeight w:val="238"/>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3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8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920" w:type="dxa"/>
            <w:vAlign w:val="bottom"/>
            <w:gridSpan w:val="7"/>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Assets at Fair Value as of December 31, 2023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86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32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7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-1155065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-1155065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-1155065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-1155065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did not have any Level 1, 2, or 3 assets or liabilities. As of December 31, 2023, the Company did not have any Level 2 or 3 assets or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generated approximately 29% and 28%, respectively, of its revenue from 2 customers. During the nine months ended September 30, 2024 and 2023, the Company generated approximately 28% and 28%, respectively, of its revenue from 2 customers. Amounts due from these customers included in accounts receivable at September 30, 2024 and December 31, 2023 were approximately $5.8 million and $8.6 million, respectively.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had 2 vendors that represented approximately 25% of purchases. During the three months ended September 30, 2023, the Company had 1 vendor that represented approximately 15% of purchases. During the nine months ended September 30, 2024 and 2023, the Company had 2 vendors that represented approximately 25% and 21% of purchases, respectively. Amounts due from these vendors included in accounts payable at September 30, 2024 and December 31, 2023 were approximately $0.1 million and $1.8 million, respectively.</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and Chief Financial Officer work together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Effective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November 2023,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2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CTG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£16.2 million, or approximately $20.9 million, based on the British pound sterling to United States dollar exchange rate on the CTG Acquisition Date.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£16.2 million, or approximately $20.9 million, gross cash purchase consideration was used on the CTG Acquisition Date to (i) settle Deep Casing’s outstanding debt of £15.3 million, or approximately $19.8 million; (ii) pay Deep Casing’s legacy shareholders £0.3 million, or approximately $0.3 million, in accordance with the Share Purchase Agreement; and (iii) pay Deep Casing’s acquisition-related costs of £0.6 million, or approximately $0.8 million.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CTG Acquisition has been accounted for as a business combination in accordance with ASC 805, Business Combinations (“ASC 805”).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Preliminary</w:t>
            </w:r>
          </w:p>
        </w:tc>
        <w:tc>
          <w:tcPr>
            <w:tcW w:w="100" w:type="dxa"/>
            <w:vAlign w:val="bottom"/>
          </w:tcPr>
          <w:p>
            <w:pPr>
              <w:spacing w:after="0"/>
              <w:rPr>
                <w:sz w:val="13"/>
                <w:szCs w:val="13"/>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Measurement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 adjusted March 15,</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March 15, 2024</w:t>
            </w:r>
          </w:p>
        </w:tc>
        <w:tc>
          <w:tcPr>
            <w:tcW w:w="10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Adjustments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w:t>
            </w:r>
          </w:p>
        </w:tc>
        <w:tc>
          <w:tcPr>
            <w:tcW w:w="2860" w:type="dxa"/>
            <w:vAlign w:val="bottom"/>
            <w:gridSpan w:val="2"/>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ROU asset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23,571</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24,097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(295 )</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-144780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-144780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 During the three months ended June 30, 2024, a measurement period adjustment was identified as it relates to assumed accrued liabilities. The total measurement period adjustment was $0.5 million. The measurement period adjustment impacted the goodwill recognized on March 15, 2024. As of September 30, 2024, the Company is substantially complete with the process of allocating the purchase price and valuing the acquired assets and liabilities assumed.</w:t>
      </w:r>
    </w:p>
    <w:p>
      <w:pPr>
        <w:spacing w:after="0" w:line="18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CTG Acquisition Date, and the methodologies used to determine the fair values of those intangible assets ($ in thousands):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0" w:name="page21"/>
    <w:bookmarkEnd w:id="20"/>
    <w:tbl>
      <w:tblPr>
        <w:tblLayout w:type="fixed"/>
        <w:tblInd w:w="120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Useful</w:t>
            </w:r>
          </w:p>
        </w:tc>
        <w:tc>
          <w:tcPr>
            <w:tcW w:w="2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life</w:t>
            </w:r>
          </w:p>
        </w:tc>
        <w:tc>
          <w:tcPr>
            <w:tcW w:w="28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7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15</w:t>
            </w:r>
          </w:p>
        </w:tc>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7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w w:val="99"/>
              </w:rPr>
              <w:t>20</w:t>
            </w:r>
          </w:p>
        </w:tc>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39"/>
        </w:trPr>
        <w:tc>
          <w:tcPr>
            <w:tcW w:w="4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700" w:type="dxa"/>
            <w:vAlign w:val="bottom"/>
            <w:gridSpan w:val="2"/>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w w:val="99"/>
              </w:rPr>
              <w:t>20</w:t>
            </w:r>
          </w:p>
        </w:tc>
        <w:tc>
          <w:tcPr>
            <w:tcW w:w="2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Multi-period excess earnings method of the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approach</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4331335</wp:posOffset>
            </wp:positionH>
            <wp:positionV relativeFrom="page">
              <wp:posOffset>624205</wp:posOffset>
            </wp:positionV>
            <wp:extent cx="76835" cy="3422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Company incurred acquisition-related costs of $0.3 million during the nine months ended September 30, 2024, which are included in other income (expense), net in the condensed consolidated statement of income and comprehensive income.</w:t>
      </w:r>
    </w:p>
    <w:p>
      <w:pPr>
        <w:spacing w:after="0" w:line="1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Company’s condensed consolidated statements of income and comprehensive income for the three and nine months ended September 30, 2024 include CTG’s revenues of $3.9 million and $8.7 million, respectively and net income of $0.6 million and $1.4 million, respectively. CTG’s revenues and net income included in the Company’s condensed consolidated statement of income and comprehensive income for the nine months ended September 30, 2024 are from the CTG Acquisition Date through September 30, 2024.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and nine months ended September 30, 2024 and 2023, combine the consolidated results of the Company and CTG, giving effect to the CTG Acquisition as if it had been completed on January 1, 2023. This unaudited supplemental pro forma financial information is presented for informational purposes only and is not indicative of future operations or results had the acquisition been completed as of January 1, 2023, or any other date.</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r>
      <w:tr>
        <w:trPr>
          <w:trHeight w:val="169"/>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 forma revenue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40,093</w:t>
            </w:r>
          </w:p>
        </w:tc>
        <w:tc>
          <w:tcPr>
            <w:tcW w:w="12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37,775</w:t>
            </w:r>
          </w:p>
        </w:tc>
        <w:tc>
          <w:tcPr>
            <w:tcW w:w="10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117,972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130,606</w:t>
            </w:r>
          </w:p>
        </w:tc>
        <w:tc>
          <w:tcPr>
            <w:tcW w:w="80" w:type="dxa"/>
            <w:vAlign w:val="bottom"/>
            <w:shd w:val="clear" w:color="auto" w:fill="CFF0FC"/>
          </w:tcPr>
          <w:p>
            <w:pPr>
              <w:spacing w:after="0"/>
              <w:rPr>
                <w:sz w:val="14"/>
                <w:szCs w:val="14"/>
                <w:color w:val="auto"/>
              </w:rPr>
            </w:pPr>
          </w:p>
        </w:tc>
      </w:tr>
      <w:tr>
        <w:trPr>
          <w:trHeight w:val="186"/>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22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12,702</w:t>
            </w:r>
          </w:p>
        </w:tc>
        <w:tc>
          <w:tcPr>
            <w:tcW w:w="80" w:type="dxa"/>
            <w:vAlign w:val="bottom"/>
          </w:tcPr>
          <w:p>
            <w:pPr>
              <w:spacing w:after="0"/>
              <w:rPr>
                <w:sz w:val="16"/>
                <w:szCs w:val="16"/>
                <w:color w:val="auto"/>
              </w:rPr>
            </w:pPr>
          </w:p>
        </w:tc>
      </w:tr>
    </w:tbl>
    <w:p>
      <w:pPr>
        <w:spacing w:after="0" w:line="18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remove interest expense on CTG's debt as it is assumed that the business combination occurred and the debt was paid off on January 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Superior Drilling Products, Inc.</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On March 6, 2024,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Merger Agreement, the closing of the Merger occurred on July 31, 2024 (the “SDPI Closing Date” or “SDPI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total consideration of $47.9 million. The consideration for the Merger of $47.9 million is comprised of the following items (in thousands):</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to holders of SDPI Common Stock(1)</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13,668</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Cash payment of SDPI transaction costs</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repayment of SDPI debt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Cash payment to holders of SDPI Restricted Stock</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severance payment to former SDPI employee(2)</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DTI Common Stock issued in exchange for outstanding SDPI Common Stock(3)</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27,714</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of replacement awards issued to holders of SDPI Options</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Effective settlement of preexisting relationship between DTI and SDPI(4)</w:t>
            </w:r>
          </w:p>
        </w:tc>
        <w:tc>
          <w:tcPr>
            <w:tcW w:w="3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(828 )</w:t>
            </w:r>
          </w:p>
        </w:tc>
      </w:tr>
      <w:tr>
        <w:trPr>
          <w:trHeight w:val="209"/>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Fair value of consideration transferred</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47,916</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jc w:val="both"/>
        <w:ind w:left="1500" w:right="1540" w:firstLine="5"/>
        <w:spacing w:after="0" w:line="260" w:lineRule="auto"/>
        <w:tabs>
          <w:tab w:leader="none" w:pos="1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consideration paid to holders of SDPI common stock, which consisted of (i) payment of $0.4 million to holders of SDPI common stock who elected to receive cash election consideration of $1.00 per share of SDPI common stock held pursuant to the terms of the Merger Agreement; (ii) payment of $4.3 million to SDPI stockholders who did not make an election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p>
      <w:pPr>
        <w:ind w:left="1500" w:right="1520"/>
        <w:spacing w:after="0" w:line="258" w:lineRule="auto"/>
        <w:rPr>
          <w:sz w:val="20"/>
          <w:szCs w:val="20"/>
          <w:color w:val="auto"/>
        </w:rPr>
      </w:pPr>
      <w:r>
        <w:rPr>
          <w:rFonts w:ascii="Times New Roman" w:cs="Times New Roman" w:eastAsia="Times New Roman" w:hAnsi="Times New Roman"/>
          <w:sz w:val="18"/>
          <w:szCs w:val="18"/>
          <w:color w:val="auto"/>
        </w:rPr>
        <w:t>receive either cash election consideration or stock election consideration and, therefore, pursuant to the terms of the Merger Agreement, automatically received the cash election consideration of $1.00 per share of SDPI common stock held; and (iii) payment of $9.0 million to holders of SDPI common stock whereby the stock election shares exceeded the maximum share amount, as described in the Merger Agreement, which triggered the proration provision described in the Merger Agreement.</w:t>
      </w:r>
    </w:p>
    <w:p>
      <w:pPr>
        <w:spacing w:after="0" w:line="182" w:lineRule="exact"/>
        <w:rPr>
          <w:sz w:val="20"/>
          <w:szCs w:val="20"/>
          <w:color w:val="auto"/>
        </w:rPr>
      </w:pPr>
    </w:p>
    <w:p>
      <w:pPr>
        <w:ind w:left="1500" w:right="1760" w:firstLine="5"/>
        <w:spacing w:after="0" w:line="258"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severance payment made in accordance with the terms of an employment agreement between SDPI and an employee that was entered into prior to contemplation of the Merger Agreement. The agreement contained a provision whereby a change in control event would trigger a severance payment, and it was determined that the closing of the Merger triggered the requirement for such a payment to be made. Upon the SDPI Closing, DTI paid the severance payment on SDPI’s behalf.</w:t>
      </w:r>
    </w:p>
    <w:p>
      <w:pPr>
        <w:spacing w:after="0" w:line="181" w:lineRule="exact"/>
        <w:rPr>
          <w:rFonts w:ascii="Times New Roman" w:cs="Times New Roman" w:eastAsia="Times New Roman" w:hAnsi="Times New Roman"/>
          <w:sz w:val="18"/>
          <w:szCs w:val="18"/>
          <w:color w:val="auto"/>
        </w:rPr>
      </w:pPr>
    </w:p>
    <w:p>
      <w:pPr>
        <w:ind w:left="1500" w:right="1440" w:firstLine="5"/>
        <w:spacing w:after="0" w:line="260"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shares of DTI common stock issued to holders of SDPI common stock as consideration for the Merger. Holders of SDPI common stock received 4,845,132 shares of DTI's common stock with an aggregate fair value of $27.7 million, which was calculated using the quoted market price of DTI common stock of $5.72 per share on the SDPI Closing Date.</w:t>
      </w:r>
    </w:p>
    <w:p>
      <w:pPr>
        <w:spacing w:after="0" w:line="181" w:lineRule="exact"/>
        <w:rPr>
          <w:rFonts w:ascii="Times New Roman" w:cs="Times New Roman" w:eastAsia="Times New Roman" w:hAnsi="Times New Roman"/>
          <w:sz w:val="18"/>
          <w:szCs w:val="18"/>
          <w:color w:val="auto"/>
        </w:rPr>
      </w:pPr>
    </w:p>
    <w:p>
      <w:pPr>
        <w:ind w:left="1500" w:right="1540" w:firstLine="5"/>
        <w:spacing w:after="0" w:line="281"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effective settlement of DTI’s accounts payable to SDPI as DTI was a customer of SDPI's prior to the SDPI Closing.</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previously held an equity interest in SDPI that was acquired and held prior to the SDPI Closing Date. The Company’s previously held interest was remeasured to its fair value of $1.2 million based on the market price of SDPI’s common stock on the SDPI Closing Date. This remeasurement resulted in a $0.4 million loss included in the Company’s condensed consolidated statement of income and comprehensive income for the three months ended September 30, 2024 and a total gain of $0.4 million included in the Company’s condensed consolidated statement of income and comprehensive income for the nine months ended September 30, 2024. The fair value of DTI’s previously held equity interest in SDPI was included in the measurement of goodwill on the SDPI Closing Date.</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 UT bit repair business supporting major OEMs of PDC drill bits, and leverage their high-spec machine shop. In addition, we acquired over 30 patents and patents pending, the majority of which have been granted.</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acquisition of SDPI has been accounted for as a business combination in accordance with ASC 805, Business Combinations. The Company has been treated as the accounting acquirer. Accordingly, SDPI's tangible and identifiable intangible assets acquired and its liabilities assumed were recorded at their estimated fair values on the SDPI Closing Date. The purchase price allocation for the Merger is preliminary and subject to revision, primarily relating to information pertaining to inventory. Additional information that existed as of the SDPI Closing Date may become known during the remainder of the measurement period, which will not extend beyond one year from the SDPI Closing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 (in thousands):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sectPr>
      </w:pPr>
    </w:p>
    <w:bookmarkStart w:id="22" w:name="page23"/>
    <w:bookmarkEnd w:id="22"/>
    <w:tbl>
      <w:tblPr>
        <w:tblLayout w:type="fixed"/>
        <w:tblInd w:w="1700" w:type="dxa"/>
        <w:tblCellMar>
          <w:top w:w="0" w:type="dxa"/>
          <w:left w:w="0" w:type="dxa"/>
          <w:bottom w:w="0" w:type="dxa"/>
          <w:right w:w="0" w:type="dxa"/>
        </w:tblCellMar>
      </w:tblPr>
      <w:tr>
        <w:trPr>
          <w:trHeight w:val="187"/>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Related party note receivable, current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10,213</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Related party note receivable, noncurrent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22,850</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Deposits and other long-term assets</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r>
      <w:tr>
        <w:trPr>
          <w:trHeight w:val="16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47,687</w:t>
            </w:r>
          </w:p>
        </w:tc>
        <w:tc>
          <w:tcPr>
            <w:tcW w:w="80" w:type="dxa"/>
            <w:vAlign w:val="bottom"/>
            <w:shd w:val="clear" w:color="auto" w:fill="CFF0FC"/>
          </w:tcPr>
          <w:p>
            <w:pPr>
              <w:spacing w:after="0"/>
              <w:rPr>
                <w:sz w:val="14"/>
                <w:szCs w:val="14"/>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5"/>
                <w:szCs w:val="15"/>
                <w:color w:val="auto"/>
              </w:rPr>
            </w:pPr>
          </w:p>
        </w:tc>
      </w:tr>
      <w:tr>
        <w:trPr>
          <w:trHeight w:val="175"/>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5"/>
                <w:szCs w:val="15"/>
                <w:color w:val="auto"/>
              </w:rPr>
            </w:pPr>
          </w:p>
        </w:tc>
      </w:tr>
      <w:tr>
        <w:trPr>
          <w:trHeight w:val="169"/>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41,442</w:t>
            </w:r>
          </w:p>
        </w:tc>
        <w:tc>
          <w:tcPr>
            <w:tcW w:w="80" w:type="dxa"/>
            <w:vAlign w:val="bottom"/>
          </w:tcPr>
          <w:p>
            <w:pPr>
              <w:spacing w:after="0"/>
              <w:rPr>
                <w:sz w:val="14"/>
                <w:szCs w:val="14"/>
                <w:color w:val="auto"/>
              </w:rPr>
            </w:pPr>
          </w:p>
        </w:tc>
      </w:tr>
      <w:tr>
        <w:trPr>
          <w:trHeight w:val="169"/>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68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 acquired and goodwill</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49,160</w:t>
            </w:r>
          </w:p>
        </w:tc>
        <w:tc>
          <w:tcPr>
            <w:tcW w:w="80" w:type="dxa"/>
            <w:vAlign w:val="bottom"/>
          </w:tcPr>
          <w:p>
            <w:pPr>
              <w:spacing w:after="0"/>
              <w:rPr>
                <w:sz w:val="14"/>
                <w:szCs w:val="14"/>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-384810</wp:posOffset>
            </wp:positionV>
            <wp:extent cx="42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following table presents a preliminary reconciliation of the fair value of consideration transferred and the fair value of DTI’s investment in SDPI that was acquired and held prior to Closing which is included in the calculation of goodwill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47,916</w:t>
            </w:r>
          </w:p>
        </w:tc>
        <w:tc>
          <w:tcPr>
            <w:tcW w:w="100" w:type="dxa"/>
            <w:vAlign w:val="bottom"/>
            <w:shd w:val="clear" w:color="auto" w:fill="CFF0FC"/>
          </w:tcPr>
          <w:p>
            <w:pPr>
              <w:spacing w:after="0"/>
              <w:rPr>
                <w:sz w:val="15"/>
                <w:szCs w:val="15"/>
                <w:color w:val="auto"/>
              </w:rPr>
            </w:pPr>
          </w:p>
        </w:tc>
      </w:tr>
      <w:tr>
        <w:trPr>
          <w:trHeight w:val="175"/>
        </w:trPr>
        <w:tc>
          <w:tcPr>
            <w:tcW w:w="884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DTI's investment in SDPI that was acquired and held prior to Closing</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5"/>
                <w:szCs w:val="15"/>
                <w:color w:val="auto"/>
              </w:rPr>
            </w:pPr>
          </w:p>
        </w:tc>
      </w:tr>
      <w:tr>
        <w:trPr>
          <w:trHeight w:val="209"/>
        </w:trPr>
        <w:tc>
          <w:tcPr>
            <w:tcW w:w="88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fair value consideration transferred and fair value of DTI's investment in SDPI that was acquired and held prior to Closing</w:t>
            </w:r>
          </w:p>
        </w:tc>
        <w:tc>
          <w:tcPr>
            <w:tcW w:w="42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49,160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w:t>
      </w:r>
    </w:p>
    <w:p>
      <w:pPr>
        <w:spacing w:after="0" w:line="18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SDPI Closing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102235</wp:posOffset>
            </wp:positionV>
            <wp:extent cx="93980" cy="3422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342265"/>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102235</wp:posOffset>
            </wp:positionV>
            <wp:extent cx="85090" cy="3422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090" cy="342265"/>
                    </a:xfrm>
                    <a:prstGeom prst="rect">
                      <a:avLst/>
                    </a:prstGeom>
                    <a:noFill/>
                  </pic:spPr>
                </pic:pic>
              </a:graphicData>
            </a:graphic>
          </wp:anchor>
        </w:drawing>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6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3"/>
                <w:szCs w:val="13"/>
                <w:color w:val="auto"/>
              </w:rPr>
            </w:pPr>
          </w:p>
        </w:tc>
        <w:tc>
          <w:tcPr>
            <w:tcW w:w="6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Useful</w:t>
            </w:r>
          </w:p>
        </w:tc>
        <w:tc>
          <w:tcPr>
            <w:tcW w:w="100" w:type="dxa"/>
            <w:vAlign w:val="bottom"/>
          </w:tcPr>
          <w:p>
            <w:pPr>
              <w:spacing w:after="0"/>
              <w:rPr>
                <w:sz w:val="13"/>
                <w:szCs w:val="13"/>
                <w:color w:val="auto"/>
              </w:rPr>
            </w:pPr>
          </w:p>
        </w:tc>
        <w:tc>
          <w:tcPr>
            <w:tcW w:w="3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life</w:t>
            </w:r>
          </w:p>
        </w:tc>
        <w:tc>
          <w:tcPr>
            <w:tcW w:w="100" w:type="dxa"/>
            <w:vAlign w:val="bottom"/>
          </w:tcPr>
          <w:p>
            <w:pPr>
              <w:spacing w:after="0"/>
              <w:rPr>
                <w:sz w:val="12"/>
                <w:szCs w:val="12"/>
                <w:color w:val="auto"/>
              </w:rPr>
            </w:pPr>
          </w:p>
        </w:tc>
        <w:tc>
          <w:tcPr>
            <w:tcW w:w="30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85"/>
        </w:trPr>
        <w:tc>
          <w:tcPr>
            <w:tcW w:w="6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98"/>
              </w:rPr>
              <w:t>value</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21"/>
        </w:trPr>
        <w:tc>
          <w:tcPr>
            <w:tcW w:w="6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75"/>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75"/>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Backlog</w:t>
            </w: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FF0FC"/>
            </w:tcBorders>
            <w:shd w:val="clear" w:color="auto" w:fill="CFF0FC"/>
          </w:tcPr>
          <w:p>
            <w:pPr>
              <w:spacing w:after="0"/>
              <w:rPr>
                <w:sz w:val="15"/>
                <w:szCs w:val="15"/>
                <w:color w:val="auto"/>
              </w:rPr>
            </w:pPr>
          </w:p>
        </w:tc>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33"/>
        </w:trPr>
        <w:tc>
          <w:tcPr>
            <w:tcW w:w="61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intangible assets</w:t>
            </w:r>
          </w:p>
        </w:tc>
        <w:tc>
          <w:tcPr>
            <w:tcW w:w="1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22,85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-239395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Company incurred acquisition-related costs of $0.6 million and $1.7 million during the three and nine months ended September 30, 2024, respectively, which are included in other expense, net in the condensed consolidated statements of income and comprehensive income.</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Company’s condensed consolidated statements of income and comprehensive income for the three and nine months ended September 30, 2024 include SDPI's revenues of $2.2 million and net loss of $0.7 million from the SDPI Closing Date to September 30,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and nine months ended September 30, 2024 and 2023, combine the consolidated results of the Company and SDPI, giving effect to the Merger as if it had been completed on January 1,</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1" w:right="359" w:bottom="1440" w:gutter="0" w:footer="0" w:header="0"/>
        </w:sectPr>
      </w:pPr>
    </w:p>
    <w:bookmarkStart w:id="23" w:name="page24"/>
    <w:bookmarkEnd w:id="23"/>
    <w:p>
      <w:pPr>
        <w:ind w:right="360"/>
        <w:spacing w:after="0" w:line="265" w:lineRule="auto"/>
        <w:rPr>
          <w:sz w:val="20"/>
          <w:szCs w:val="20"/>
          <w:color w:val="auto"/>
        </w:rPr>
      </w:pPr>
      <w:r>
        <w:rPr>
          <w:rFonts w:ascii="Times New Roman" w:cs="Times New Roman" w:eastAsia="Times New Roman" w:hAnsi="Times New Roman"/>
          <w:sz w:val="18"/>
          <w:szCs w:val="18"/>
          <w:color w:val="auto"/>
        </w:rPr>
        <w:t>2023. The unaudited supplemental pro forma financial results to not give effect to the impact of the CTG Acquisition. This unaudited supplemental pro forma financial information is presented for informational purposes only and is not indicative of future operations or results had the acquisition been completed as of January 1, 2023, or any other date.</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8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r>
      <w:tr>
        <w:trPr>
          <w:trHeight w:val="16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 forma revenue</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40,663</w:t>
            </w: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40,517</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120,140</w:t>
            </w: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124,928</w:t>
            </w:r>
          </w:p>
        </w:tc>
        <w:tc>
          <w:tcPr>
            <w:tcW w:w="80" w:type="dxa"/>
            <w:vAlign w:val="bottom"/>
            <w:shd w:val="clear" w:color="auto" w:fill="CFF0FC"/>
          </w:tcPr>
          <w:p>
            <w:pPr>
              <w:spacing w:after="0"/>
              <w:rPr>
                <w:sz w:val="14"/>
                <w:szCs w:val="14"/>
                <w:color w:val="auto"/>
              </w:rPr>
            </w:pPr>
          </w:p>
        </w:tc>
      </w:tr>
      <w:tr>
        <w:trPr>
          <w:trHeight w:val="18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income/(loss)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(2,349 )</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(3,304 )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80" w:type="dxa"/>
            <w:vAlign w:val="bottom"/>
          </w:tcPr>
          <w:p>
            <w:pPr>
              <w:spacing w:after="0"/>
              <w:rPr>
                <w:sz w:val="16"/>
                <w:szCs w:val="16"/>
                <w:color w:val="auto"/>
              </w:rPr>
            </w:pPr>
          </w:p>
        </w:tc>
      </w:tr>
    </w:tbl>
    <w:p>
      <w:pPr>
        <w:spacing w:after="0" w:line="187"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(i) record acquisition-related costs incurred by the Company prior to the SDPI Closing Date in the amount of $0.6 million and (ii) to record stock compensation expense of $0.5 million for SDPI options that vested upon the closing of the acquisition of SDPI.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REVISION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certain errors in its previously issued September 30, 2023 interim unaudited condensed consolidated financial statements related to the presentation between cost of tool rental revenue and cost of product sale revenue. Through management's review of classification within the consolidated statements of income and comprehensive income, the Company identified that the cost of revenue for the sale of accessories was historically presented within cost of tool rental revenue, as opposed to correctly presented within cost of product sale revenue, whereas the associated accessory revenue is presented in product sale revenue.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evaluated these errors in accordance with SEC Staff Accounting Bulletin Number 99, Materiality (“SAB 99”), which is since codified in Accounting Standards Codification 250, Accounting Changes and Error Corrections (“ASC 250”). The Company performed a quantitative and qualitative assessment of the errors and determine that the errors did not have a material impact to previously issued financial statements. Management noted that the presentation errors identified resulted in a net zero impact to total operating costs and expenses, income from operations, or net income. Therefore, these immaterial errors have been corrected in the current period in accordance with the guidance under SAB 99 and ASC 250.</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herein for the three and nine months ended September 30, 2023 have been revised to correct the errors described above in accordance with SEC SAB Topic 1.M, as codified in ASC 250.</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Total Adjustment</w:t>
            </w:r>
          </w:p>
        </w:tc>
        <w:tc>
          <w:tcPr>
            <w:tcW w:w="3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4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80" w:type="dxa"/>
            <w:vAlign w:val="bottom"/>
          </w:tcPr>
          <w:p>
            <w:pPr>
              <w:spacing w:after="0"/>
              <w:rPr>
                <w:sz w:val="11"/>
                <w:szCs w:val="11"/>
                <w:color w:val="auto"/>
              </w:rPr>
            </w:pPr>
          </w:p>
        </w:tc>
        <w:tc>
          <w:tcPr>
            <w:tcW w:w="14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4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(619 )</w:t>
            </w:r>
          </w:p>
        </w:tc>
        <w:tc>
          <w:tcPr>
            <w:tcW w:w="32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6"/>
        </w:trPr>
        <w:tc>
          <w:tcPr>
            <w:tcW w:w="4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Total Adjustment</w:t>
            </w:r>
          </w:p>
        </w:tc>
        <w:tc>
          <w:tcPr>
            <w:tcW w:w="3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4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80" w:type="dxa"/>
            <w:vAlign w:val="bottom"/>
          </w:tcPr>
          <w:p>
            <w:pPr>
              <w:spacing w:after="0"/>
              <w:rPr>
                <w:sz w:val="11"/>
                <w:szCs w:val="11"/>
                <w:color w:val="auto"/>
              </w:rPr>
            </w:pPr>
          </w:p>
        </w:tc>
        <w:tc>
          <w:tcPr>
            <w:tcW w:w="14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4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(2,207 )</w:t>
            </w:r>
          </w:p>
        </w:tc>
        <w:tc>
          <w:tcPr>
            <w:tcW w:w="32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fair value of the Company’s investments in equity securities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September 30, 2024</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24"/>
                <w:szCs w:val="24"/>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-487680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-470535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-487680</wp:posOffset>
            </wp:positionV>
            <wp:extent cx="42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-470535</wp:posOffset>
            </wp:positionV>
            <wp:extent cx="425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-487680</wp:posOffset>
            </wp:positionV>
            <wp:extent cx="425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-470535</wp:posOffset>
            </wp:positionV>
            <wp:extent cx="425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425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425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Unrealized holding losses on equity securities for the three months ended September 30, 2024 and 2023 were approximately $0.4 million and $0.5 million, respectively. Unrealized holding gains on equity securities for the nine months ended September 30, 2024 were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4" w:name="page25"/>
    <w:bookmarkEnd w:id="24"/>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approximately $0.4 million while unrealized holding losses for the nine months ended September 30, 2023 were $0.1 million. On July 31, 2024, the Company elected cash for the shares owned in SDPI. The Company received $1.2 million in cash and recognized a realized loss of $12 thousand. Refer to </w:t>
      </w:r>
      <w:r>
        <w:rPr>
          <w:rFonts w:ascii="Times New Roman" w:cs="Times New Roman" w:eastAsia="Times New Roman" w:hAnsi="Times New Roman"/>
          <w:sz w:val="18"/>
          <w:szCs w:val="18"/>
          <w:i w:val="1"/>
          <w:iCs w:val="1"/>
          <w:color w:val="auto"/>
        </w:rPr>
        <w:t xml:space="preserve">Note 2 - Business Combinations </w:t>
      </w:r>
      <w:r>
        <w:rPr>
          <w:rFonts w:ascii="Times New Roman" w:cs="Times New Roman" w:eastAsia="Times New Roman" w:hAnsi="Times New Roman"/>
          <w:sz w:val="18"/>
          <w:szCs w:val="18"/>
          <w:color w:val="auto"/>
        </w:rPr>
        <w:t>for more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BALANCE SHEET DETAILS - CURRENT ASSETS AND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1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1700" w:type="dxa"/>
            <w:vAlign w:val="bottom"/>
          </w:tcPr>
          <w:p>
            <w:pPr>
              <w:spacing w:after="0"/>
              <w:rPr>
                <w:sz w:val="21"/>
                <w:szCs w:val="21"/>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80" w:type="dxa"/>
            <w:vAlign w:val="bottom"/>
            <w:shd w:val="clear" w:color="auto" w:fill="CFF0FC"/>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700" w:type="dxa"/>
            <w:vAlign w:val="bottom"/>
          </w:tcPr>
          <w:p>
            <w:pPr>
              <w:spacing w:after="0"/>
              <w:rPr>
                <w:sz w:val="21"/>
                <w:szCs w:val="21"/>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Allowance for obsolete inventory</w:t>
            </w:r>
          </w:p>
        </w:tc>
        <w:tc>
          <w:tcPr>
            <w:tcW w:w="1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1700" w:type="dxa"/>
            <w:vAlign w:val="bottom"/>
          </w:tcPr>
          <w:p>
            <w:pPr>
              <w:spacing w:after="0"/>
              <w:rPr>
                <w:sz w:val="20"/>
                <w:szCs w:val="20"/>
                <w:color w:val="auto"/>
              </w:rPr>
            </w:pPr>
          </w:p>
        </w:tc>
        <w:tc>
          <w:tcPr>
            <w:tcW w:w="3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17,352</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8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-504825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61" w:lineRule="exact"/>
        <w:rPr>
          <w:sz w:val="20"/>
          <w:szCs w:val="20"/>
          <w:color w:val="auto"/>
        </w:rPr>
      </w:pPr>
    </w:p>
    <w:tbl>
      <w:tblPr>
        <w:tblLayout w:type="fixed"/>
        <w:tblInd w:w="142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60" w:type="dxa"/>
            <w:vAlign w:val="bottom"/>
            <w:tcBorders>
              <w:top w:val="single" w:sz="8" w:color="auto"/>
            </w:tcBorders>
            <w:shd w:val="clear" w:color="auto" w:fill="CFF0FC"/>
          </w:tcPr>
          <w:p>
            <w:pPr>
              <w:spacing w:after="0"/>
              <w:rPr>
                <w:sz w:val="21"/>
                <w:szCs w:val="21"/>
                <w:color w:val="auto"/>
              </w:rPr>
            </w:pPr>
          </w:p>
        </w:tc>
        <w:tc>
          <w:tcPr>
            <w:tcW w:w="18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8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 on 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tcPr>
          <w:p>
            <w:pPr>
              <w:spacing w:after="0"/>
              <w:rPr>
                <w:sz w:val="20"/>
                <w:szCs w:val="20"/>
                <w:color w:val="auto"/>
              </w:rPr>
            </w:pPr>
          </w:p>
        </w:tc>
      </w:tr>
      <w:tr>
        <w:trPr>
          <w:trHeight w:val="247"/>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21"/>
                <w:szCs w:val="21"/>
                <w:color w:val="auto"/>
              </w:rPr>
            </w:pPr>
          </w:p>
        </w:tc>
      </w:tr>
      <w:tr>
        <w:trPr>
          <w:trHeight w:val="238"/>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0"/>
                <w:szCs w:val="20"/>
                <w:color w:val="auto"/>
              </w:rPr>
            </w:pPr>
          </w:p>
        </w:tc>
      </w:tr>
      <w:tr>
        <w:trPr>
          <w:trHeight w:val="247"/>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rent</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FF0FC"/>
          </w:tcPr>
          <w:p>
            <w:pPr>
              <w:spacing w:after="0"/>
              <w:rPr>
                <w:sz w:val="21"/>
                <w:szCs w:val="21"/>
                <w:color w:val="auto"/>
              </w:rPr>
            </w:pPr>
          </w:p>
        </w:tc>
      </w:tr>
      <w:tr>
        <w:trPr>
          <w:trHeight w:val="238"/>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equipment</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20"/>
                <w:szCs w:val="20"/>
                <w:color w:val="auto"/>
              </w:rPr>
            </w:pPr>
          </w:p>
        </w:tc>
      </w:tr>
      <w:tr>
        <w:trPr>
          <w:trHeight w:val="247"/>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other</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21"/>
                <w:szCs w:val="21"/>
                <w:color w:val="auto"/>
              </w:rPr>
            </w:pPr>
          </w:p>
        </w:tc>
      </w:tr>
      <w:tr>
        <w:trPr>
          <w:trHeight w:val="24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8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-187960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8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8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transaction advisory fees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property taxes</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monitoring fees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40"/>
        </w:trPr>
        <w:tc>
          <w:tcPr>
            <w:tcW w:w="14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5"/>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1420" w:type="dxa"/>
            <w:vAlign w:val="bottom"/>
          </w:tcPr>
          <w:p>
            <w:pPr>
              <w:spacing w:after="0"/>
              <w:rPr>
                <w:sz w:val="21"/>
                <w:szCs w:val="21"/>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8"/>
        </w:trPr>
        <w:tc>
          <w:tcPr>
            <w:tcW w:w="14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8"/>
        </w:trPr>
        <w:tc>
          <w:tcPr>
            <w:tcW w:w="1420" w:type="dxa"/>
            <w:vAlign w:val="bottom"/>
          </w:tcPr>
          <w:p>
            <w:pPr>
              <w:spacing w:after="0"/>
              <w:rPr>
                <w:sz w:val="24"/>
                <w:szCs w:val="24"/>
                <w:color w:val="auto"/>
              </w:rPr>
            </w:pPr>
          </w:p>
        </w:tc>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12,337</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c>
          <w:tcPr>
            <w:tcW w:w="80" w:type="dxa"/>
            <w:vAlign w:val="bottom"/>
            <w:tcBorders>
              <w:bottom w:val="single" w:sz="8" w:color="CFF0FC"/>
            </w:tcBorders>
            <w:shd w:val="clear" w:color="auto" w:fill="CFF0FC"/>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1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45"/>
        </w:trPr>
        <w:tc>
          <w:tcPr>
            <w:tcW w:w="14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-915670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-898525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-915670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-898525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519"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table shows the component of property, plant and equipment, net (in thousands):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205,223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188,949</w:t>
            </w:r>
          </w:p>
        </w:tc>
        <w:tc>
          <w:tcPr>
            <w:tcW w:w="100" w:type="dxa"/>
            <w:vAlign w:val="bottom"/>
            <w:shd w:val="clear" w:color="auto" w:fill="CFF0FC"/>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215,491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198,803</w:t>
            </w:r>
          </w:p>
        </w:tc>
        <w:tc>
          <w:tcPr>
            <w:tcW w:w="100" w:type="dxa"/>
            <w:vAlign w:val="bottom"/>
            <w:shd w:val="clear" w:color="auto" w:fill="CFF0FC"/>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deprecation</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(139,395 )</w:t>
            </w: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(133,003 )</w:t>
            </w:r>
          </w:p>
        </w:tc>
      </w:tr>
      <w:tr>
        <w:trPr>
          <w:trHeight w:val="205"/>
        </w:trPr>
        <w:tc>
          <w:tcPr>
            <w:tcW w:w="580" w:type="dxa"/>
            <w:vAlign w:val="bottom"/>
          </w:tcPr>
          <w:p>
            <w:pPr>
              <w:spacing w:after="0"/>
              <w:rPr>
                <w:sz w:val="17"/>
                <w:szCs w:val="17"/>
                <w:color w:val="auto"/>
              </w:rPr>
            </w:pPr>
          </w:p>
        </w:tc>
        <w:tc>
          <w:tcPr>
            <w:tcW w:w="4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Property, plant and equipment, net (excluding</w:t>
            </w: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construction in progress)</w:t>
            </w: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76,095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100" w:type="dxa"/>
            <w:vAlign w:val="bottom"/>
            <w:shd w:val="clear" w:color="auto" w:fill="CFF0FC"/>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8"/>
        </w:trPr>
        <w:tc>
          <w:tcPr>
            <w:tcW w:w="580" w:type="dxa"/>
            <w:vAlign w:val="bottom"/>
          </w:tcPr>
          <w:p>
            <w:pPr>
              <w:spacing w:after="0"/>
              <w:rPr>
                <w:sz w:val="24"/>
                <w:szCs w:val="24"/>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77,660</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depreciation expense for the three months ended September 30, 2024 and 2023 was approximately $5.8 million and $5.3 million, respectively. Total depreciation expense for the nine months ended September 30, 2024 and 2023 was approximately $16.7 million and $15.0 million, respectively. The Company has not acquired any property, plant and equipment under capital leases.</w:t>
      </w:r>
    </w:p>
    <w:p>
      <w:pPr>
        <w:spacing w:after="0" w:line="17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Property, plant and equipment, net, is concentrated within the United States. As of September 30, 2024 and December 31, 2023, property, plant and equipment, net held within the United States was $67.7 million and $63.0 million,or 87% and 96% of total property, plant and equipment, net, respectively. As of September 30, 2024 and December 31, 2023, property, plant and equipment, net held outside the United States, in Canada and International, was $9.9 million and $2.8 million, or 13% and 4% of total property, plant and equipment, net,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10-15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21"/>
                <w:szCs w:val="21"/>
                <w:color w:val="auto"/>
              </w:rPr>
            </w:pPr>
          </w:p>
        </w:tc>
      </w:t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9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32,741</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100" w:type="dxa"/>
            <w:vAlign w:val="bottom"/>
            <w:tcBorders>
              <w:top w:val="single" w:sz="8" w:color="CFF0FC"/>
            </w:tcBorders>
          </w:tcPr>
          <w:p>
            <w:pPr>
              <w:spacing w:after="0"/>
              <w:rPr>
                <w:sz w:val="20"/>
                <w:szCs w:val="20"/>
                <w:color w:val="auto"/>
              </w:rPr>
            </w:pPr>
          </w:p>
        </w:tc>
      </w:tr>
      <w:tr>
        <w:trPr>
          <w:trHeight w:val="241"/>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(1,875 )</w:t>
            </w: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(1,334 )</w:t>
            </w:r>
          </w:p>
        </w:tc>
      </w:tr>
      <w:tr>
        <w:trPr>
          <w:trHeight w:val="238"/>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9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30,866</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Borders>
              <w:top w:val="single" w:sz="8" w:color="CFF0FC"/>
            </w:tcBorders>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-504825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-187960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30, 2024 and 2023 was approximately $0.4 million and $12 thousand, respectively. Total amortization expense for the nine months ended September 30, 2024 and 2023 was approximately $0.5 million and $35 thousand,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REVOLVING CREDIT FACILITY AND TERM LOAN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 w:name="page27"/>
    <w:bookmarkEnd w:id="26"/>
    <w:p>
      <w:pPr>
        <w:jc w:val="both"/>
        <w:spacing w:after="0" w:line="265" w:lineRule="auto"/>
        <w:rPr>
          <w:sz w:val="20"/>
          <w:szCs w:val="20"/>
          <w:color w:val="auto"/>
        </w:rPr>
      </w:pPr>
      <w:r>
        <w:rPr>
          <w:rFonts w:ascii="Times New Roman" w:cs="Times New Roman" w:eastAsia="Times New Roman" w:hAnsi="Times New Roman"/>
          <w:sz w:val="18"/>
          <w:szCs w:val="18"/>
          <w:color w:val="auto"/>
        </w:rPr>
        <w:t>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and nine months ended September 30, 2024, the interest on the amount drawn on the Credit Facility and the outstanding Term Loan balance are based on the Secured Overnight Financing Rate ("SOFR") or the bank’s base lending rate plus applicable margin (approximately 9.50% and 9.20%, respectively, at September 30, 2024). The Credit Facility is collateralized by substantially all the assets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has drawn $21.2 million against the line of credit.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subject to various restrictive covenants associated with these borrowings including, but not limited to, a fixed charge ratio and a minimum amount of undrawn availability. As of September 30, 2024, the Company was in compliance with all restrictive covenants.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September 30, 2024 and December 31, 2023 and therefore no amounts were recorded as of September 30, 2024 or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recorded an income tax benefit and expense on the unaudited condensed consolidated statements of income and comprehensive income of $0.4 million and $2.1 million for the three months ended September 30, 2024 and 2023, respectively. The Company recorded income tax expense on the unaudited condensed consolidated statements of income and comprehensive income of $0.4 million and $5.2 million for the nine months ended September 30, 2024 and 2023, respectively.</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six months ended June 30, 2024 was calculated using a discrete approach. This methodology was used because changes in the Company's results of operations and acquisitions can materially impact the estimated annual effective tax rate. The Company’s effective tax rate for the nine months ended September, 2024 and 2023 were provisions of 8.7% and 32.3%, respectively. Such rates differed from the Federal Statutory rate of 21.0% primarily due to the state taxes, foreign income taxes on the Company’s international operations, and permanent differences.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nine months ended September 30, 2024 and 2023.</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still evaluating the tax impact of the CTG and SDPI Acquisition, including the impact of the transaction costs. Additionally, the Company continues to evaluate the deferred tax assets and liabilities and corresponding valuation allowance in connection with the CTG Acquisition.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September 30, 2024, there were 1,056,536 shares of Common Stock available for issuance under the 2023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8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2023, there were no shares granted, exercised, or forfeited.</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recognized $1.7 million of stock-based compensation expense within selling, general, and administrative expense on the unaudited condensed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recognized $2.3 million of stock-based compensation expense within other expense on the unaudited condensed consolidated statements of income and comprehensive income as a result of the issuance of shares in accordance with the Transaction Service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September 30, 2024:</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3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3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Remaining Contractual Life (in Years)</w:t>
            </w: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2,361,722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3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2,670,374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Pr>
          <w:p>
            <w:pPr>
              <w:spacing w:after="0"/>
              <w:rPr>
                <w:sz w:val="15"/>
                <w:szCs w:val="15"/>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68,470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FF0FC"/>
          </w:tcPr>
          <w:p>
            <w:pPr>
              <w:spacing w:after="0"/>
              <w:rPr>
                <w:sz w:val="15"/>
                <w:szCs w:val="15"/>
                <w:color w:val="auto"/>
              </w:rPr>
            </w:pP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1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4,963,626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20" w:type="dxa"/>
            <w:vAlign w:val="bottom"/>
            <w:tcBorders>
              <w:bottom w:val="single" w:sz="8" w:color="CFF0FC"/>
            </w:tcBorders>
            <w:shd w:val="clear" w:color="auto" w:fill="CFF0FC"/>
          </w:tcPr>
          <w:p>
            <w:pPr>
              <w:spacing w:after="0"/>
              <w:rPr>
                <w:sz w:val="18"/>
                <w:szCs w:val="18"/>
                <w:color w:val="auto"/>
              </w:rPr>
            </w:pPr>
          </w:p>
        </w:tc>
        <w:tc>
          <w:tcPr>
            <w:tcW w:w="3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UNVESTED, September 30, 2024</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2,600,000</w:t>
            </w:r>
          </w:p>
        </w:tc>
        <w:tc>
          <w:tcPr>
            <w:tcW w:w="4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3.02</w:t>
            </w:r>
          </w:p>
        </w:tc>
        <w:tc>
          <w:tcPr>
            <w:tcW w:w="3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9.63</w:t>
            </w:r>
          </w:p>
        </w:tc>
        <w:tc>
          <w:tcPr>
            <w:tcW w:w="50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EXERCISABLE, September 30, 2024</w:t>
            </w:r>
          </w:p>
        </w:tc>
        <w:tc>
          <w:tcPr>
            <w:tcW w:w="1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2,363,626</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4.03</w:t>
            </w:r>
          </w:p>
        </w:tc>
        <w:tc>
          <w:tcPr>
            <w:tcW w:w="220" w:type="dxa"/>
            <w:vAlign w:val="bottom"/>
            <w:tcBorders>
              <w:bottom w:val="single" w:sz="8" w:color="CFF0FC"/>
            </w:tcBorders>
            <w:shd w:val="clear" w:color="auto" w:fill="CFF0FC"/>
          </w:tcPr>
          <w:p>
            <w:pPr>
              <w:spacing w:after="0"/>
              <w:rPr>
                <w:sz w:val="17"/>
                <w:szCs w:val="17"/>
                <w:color w:val="auto"/>
              </w:rPr>
            </w:pPr>
          </w:p>
        </w:tc>
        <w:tc>
          <w:tcPr>
            <w:tcW w:w="3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2.67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-299085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-281940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-299085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-281940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-299085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-281940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$0.4 million of stock-based compensation expense related to stock options within selling, general, and administrative expenses on the unaudited condensed consolidated statements of income and comprehensive income. During the nine months ended September 30, 2024, the Company recognized $1.0 million of stock-based compensation expense within selling, general, and administrative expenses on the unaudited condensed consolidated statements of income and comprehensive income. As of September 30, 2024, total unrecognized compensation expense related to the stock options totaled $3.5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May 2024, the Company issued an aggregate 143,000 restricted stock units (“RSUs”) to five members of the Board (the “Directors”). Of the awards, 74,440 RSUs were deemed to be related to services performed during the year ended December 31, 2023, and were to vest immediately, while the remaining 68,560 RSUs are subject to a vesting term of one year. The Directors are considered to be employees of the Company under ASC 718.</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$0.1 million and $0.5 million, respectively, of stock based compensation related to RSUs within selling, general, and administrative expenses on the unaudited condensed consolidated statements of income and comprehensive income related to the RSUs. As of September 30, 2024, unrecognized compensation expense related to the RSUs totaled $0.2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three months ended September 30, 2024 and 2023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HHLLC stock-based compensation</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(622 )</w:t>
            </w:r>
          </w:p>
        </w:tc>
        <w:tc>
          <w:tcPr>
            <w:tcW w:w="14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1140" w:type="dxa"/>
            <w:vAlign w:val="bottom"/>
          </w:tcPr>
          <w:p>
            <w:pPr>
              <w:spacing w:after="0"/>
              <w:rPr>
                <w:sz w:val="22"/>
                <w:szCs w:val="22"/>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(2,443 )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(135 )</w:t>
            </w:r>
          </w:p>
        </w:tc>
        <w:tc>
          <w:tcPr>
            <w:tcW w:w="112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1"/>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-915670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-898525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-915670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-898525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nine months ended September 30, 2024 and 2023 (in thousands):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80" w:type="dxa"/>
            <w:vAlign w:val="bottom"/>
          </w:tcPr>
          <w:p>
            <w:pPr>
              <w:spacing w:after="0"/>
              <w:rPr>
                <w:sz w:val="21"/>
                <w:szCs w:val="21"/>
                <w:color w:val="auto"/>
              </w:rPr>
            </w:pPr>
          </w:p>
        </w:tc>
      </w:tr>
      <w:tr>
        <w:trPr>
          <w:trHeight w:val="24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(4,766 )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(2,339 )</w:t>
            </w: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HHLLC stock-based compensation</w:t>
            </w:r>
          </w:p>
        </w:tc>
        <w:tc>
          <w:tcPr>
            <w:tcW w:w="180" w:type="dxa"/>
            <w:vAlign w:val="bottom"/>
          </w:tcPr>
          <w:p>
            <w:pPr>
              <w:spacing w:after="0"/>
              <w:rPr>
                <w:sz w:val="20"/>
                <w:szCs w:val="20"/>
                <w:color w:val="auto"/>
              </w:rPr>
            </w:pP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(3,623 )</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(546 )</w:t>
            </w:r>
          </w:p>
        </w:tc>
        <w:tc>
          <w:tcPr>
            <w:tcW w:w="18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(256 )</w:t>
            </w: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r>
      <w:tr>
        <w:trPr>
          <w:trHeight w:val="258"/>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(5,241 )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(6,170 )</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-24765</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the three months ended September 30, 2024 and 2023, management fees paid to Hicks Holdings Operating LLC ("HHLLC"), a shareholder of the Company, were approximately $0.2 million and $0.3 million, respectively. For the nine months ended September 30, 2024 and 2023, management fees paid to Hicks Holdings Operating LLC were approximately $0.6 million and $0.9 million, respectively. Management fees paid to a shareholder are included in selling, general and administrative expense in the accompanying unaudited condensed consolidated statements of income and comprehensive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2024 and 2023, director fees paid to Board were approximately $0.1 million and $0.0 million, respectively. For the nine months ended September 30, 2024 and 2023, director fees paid to Board members were approximately $0.4 million and $0.1 million, respectively. Director fees are included in selling, general and administrative expense in the accompanying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2024 and 2023, the Company paid rent to Cree Investments, LLC, a shareholder of the Company, of approximately $13 thousand and $13 thousand, respectively, relating to the lease of a building. For the nine months ended September 30, 2024 and 2023, the Company paid rent expense to Cree Investments, LLC of approximately $38 thousand and $38 thousand, respectively, relating to the lease of a building. Future minimum lease payments related to this lease are included in the future minimum lease schedule in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consummation of the Merger, the Company issued shares of DTIC Common Stock in connection with the PIPE Financing to payoff convertible promissory notes which were issued to an affiliate of the ROC Sponsor on December 6, 2022 and March 2, 2023. The notes did not bear interest and were in the amounts of $2.1 million and $2.1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the Merger, ROC paid the remaining outstanding principal amount owed to an affiliate of the ROC Sponsor in the amount of $0.4 million for a loan to fund working capital deficiencies or finance transaction costs in connection with the Merger. The loan did not bear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trucks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sold two trucks to employees of the Company. The transactions were conducted at fair market value, with a total sales price of $0.1 million. As of September 30, 2024, the Company did not have any receivables recorded on the balance sheet related to this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Pursuant to the Sixth Amendment and Restated Promissory Note, Tronco will make payments to the Company of $1.3 million annually, commencing on the first anniversary of the Closing Date through the fifth anniversary of the Closing Date. Per the agreement, if the 20-day average stock price of DTI falls below $3.20 per share, the principal that otherwise would have been due shall be deferred and apportioned over the remaining payment dates under specified in the agreement Any payments due and not received by the Company before the fifth date following the anniversary date will bear interest from the date of nonpayment until paid equal to 3%. In accordance with ASC 805, the receivables fair value was measured at the present value of future cash flows upon the Closing Date. The carrying value of the note as of September 30, 2024 was $5.0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0" w:name="page31"/>
    <w:bookmarkEnd w:id="30"/>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September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the components of the Company’s lease expense were as follows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1"/>
                <w:szCs w:val="21"/>
                <w:color w:val="auto"/>
              </w:rPr>
            </w:pP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FF0FC"/>
          </w:tcPr>
          <w:p>
            <w:pPr>
              <w:spacing w:after="0"/>
              <w:rPr>
                <w:sz w:val="21"/>
                <w:szCs w:val="2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p>
      <w:pPr>
        <w:spacing w:after="0" w:line="23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9" w:lineRule="exact"/>
        <w:rPr>
          <w:sz w:val="20"/>
          <w:szCs w:val="20"/>
          <w:color w:val="auto"/>
        </w:rPr>
      </w:pPr>
    </w:p>
    <w:p>
      <w:pPr>
        <w:sectPr>
          <w:pgSz w:w="11900" w:h="16838" w:orient="portrait"/>
          <w:cols w:equalWidth="0" w:num="2">
            <w:col w:w="8040" w:space="720"/>
            <w:col w:w="2480"/>
          </w:cols>
          <w:pgMar w:left="320" w:top="120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3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60" w:type="dxa"/>
            <w:vAlign w:val="bottom"/>
          </w:tcPr>
          <w:p>
            <w:pPr>
              <w:spacing w:after="0"/>
              <w:rPr>
                <w:sz w:val="20"/>
                <w:szCs w:val="20"/>
                <w:color w:val="auto"/>
              </w:rPr>
            </w:pPr>
          </w:p>
        </w:tc>
      </w:tr>
      <w:tr>
        <w:trPr>
          <w:trHeight w:val="278"/>
        </w:trPr>
        <w:tc>
          <w:tcPr>
            <w:tcW w:w="58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5,116</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4,855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70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leases was as follows (in thousands):</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6"/>
        </w:trPr>
        <w:tc>
          <w:tcPr>
            <w:tcW w:w="5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6"/>
        </w:trPr>
        <w:tc>
          <w:tcPr>
            <w:tcW w:w="58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7.58 %</w:t>
            </w:r>
          </w:p>
        </w:tc>
      </w:tr>
      <w:tr>
        <w:trPr>
          <w:trHeight w:val="481"/>
        </w:trPr>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5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gridSpan w:val="2"/>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-1857375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-1840230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-1857375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-1840230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September 30, 2024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80" w:type="dxa"/>
            <w:vAlign w:val="bottom"/>
            <w:shd w:val="clear" w:color="auto" w:fill="CFF0FC"/>
          </w:tcPr>
          <w:p>
            <w:pPr>
              <w:spacing w:after="0"/>
              <w:rPr>
                <w:sz w:val="21"/>
                <w:szCs w:val="2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80" w:type="dxa"/>
            <w:vAlign w:val="bottom"/>
          </w:tcPr>
          <w:p>
            <w:pPr>
              <w:spacing w:after="0"/>
              <w:rPr>
                <w:sz w:val="20"/>
                <w:szCs w:val="20"/>
                <w:color w:val="auto"/>
              </w:rPr>
            </w:pPr>
          </w:p>
        </w:tc>
      </w:tr>
      <w:tr>
        <w:trPr>
          <w:trHeight w:val="24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31,411</w:t>
            </w:r>
          </w:p>
        </w:tc>
        <w:tc>
          <w:tcPr>
            <w:tcW w:w="80" w:type="dxa"/>
            <w:vAlign w:val="bottom"/>
            <w:shd w:val="clear" w:color="auto" w:fill="CFF0FC"/>
          </w:tcPr>
          <w:p>
            <w:pPr>
              <w:spacing w:after="0"/>
              <w:rPr>
                <w:sz w:val="20"/>
                <w:szCs w:val="20"/>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(7,437 )</w:t>
            </w:r>
          </w:p>
        </w:tc>
      </w:tr>
      <w:tr>
        <w:trPr>
          <w:trHeight w:val="278"/>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23,974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and nine months ended September 30, 2024, tool rental revenue was approximately $28.1 million and $86.4 million, respectively. Our lease contract periods are short-term in nature and are typically daily, monthly, per well, or footage based. Due to the short term nature of the contracts, no maturity table is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 match was reinstated on January 1, 2022. For 2022, the Company matched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three months ended September 30, 2024 and 2023 was approximately $0.1 million and $0.1 million, respectively. The total expense for the nine months ended September 30, 2024 and 2023 was approximately $0.5 million and $0.4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20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accumulated depreciation amount, as defined in the management agreement (refer to Note 11 –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Transactions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2" w:name="page33"/>
    <w:bookmarkEnd w:id="32"/>
    <w:p>
      <w:pPr>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three and nine months ended September 30, 2024 and 2023 (in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Redeemable Convertible Preferred Stock dividends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6"/>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 basic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Redeemable Convertible Preferred Stock dividends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in computing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33,072,097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30,893,602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securities: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time-based stock options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363,581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performance-based stock options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70,292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restricted stock units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redeemable convertible</w:t>
            </w: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4,233,620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33,547,056</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30,043,546</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31,404,333</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23,554,593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-2422525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-2422525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-2422525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-2080260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-2080260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-2080260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-547370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-547370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-547370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-205105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-187960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-205105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-187960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-205105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September 30, 2024, the Company’s potentially dilutive securities consisted of options to purchase common stock. Based on the amounts outstanding as of the three and nine months ended September 30, 2024 and 2023, the Company excluded the following potential common shares from the computation of diluted net income per share because including them would have had an anti-dilutive effect: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0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Pr>
          <w:p>
            <w:pPr>
              <w:spacing w:after="0"/>
              <w:rPr>
                <w:sz w:val="21"/>
                <w:szCs w:val="21"/>
                <w:color w:val="auto"/>
              </w:rPr>
            </w:pPr>
          </w:p>
        </w:tc>
      </w:tr>
      <w:tr>
        <w:trPr>
          <w:trHeight w:val="240"/>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162,237</w:t>
            </w:r>
          </w:p>
        </w:tc>
        <w:tc>
          <w:tcPr>
            <w:tcW w:w="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162,237</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1"/>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20" w:type="dxa"/>
            <w:vAlign w:val="bottom"/>
            <w:gridSpan w:val="2"/>
          </w:tcPr>
          <w:p>
            <w:pPr>
              <w:jc w:val="right"/>
              <w:ind w:right="89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-1078230</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-1078230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-1078230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-1078230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European Drilling Projects B.V</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 2024, the Company announced the closing of the acquisition of European Drilling Projects B.V ("EDP"), a private company with limited liability, registered in the Dutch Commercial Register. EDP is a global provider of next-generation stabilizers, specialty reamers, and wellbore optimization technology for the drilling industry. The integration of EDP’s expertise aligns with the Company's international growth strategy and commitment to technological differentiation. The acquisition of EDP aims to reinforces the Company's position as a leader in providing innovative drilling solutions to the global oil and gas industry.</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acquisition will be accounted for as a business combination under the acquisition method of accounting pursuant to ASC 805. The initial accounting for the business combination is in process, which includes a valuation analysis to value the assets and liabilities assumed as a result of the transaction. As such, the impact on the condensed consolidated financial statements cannot be estimated at this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Titan Tools Group Limited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2024, the Company announced the signing of a definitive agreement to acquire Titan Tools Services Ltd., a United Kingdom based downhole tool rental company (“Titan Tools”). The acquisition of Titan Tools is expected to close in the first quarter of 2025, subject to customary closing conditions and regulatory approvals. The initial accounting for this acquisition is in process, which includes conducting a valuation analysis to value the assets and liabilities being acquired as a result of the transaction. As a result, the impact on the condensed consolidated financial statements cannot be estimated at this time.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September 30, 2024, and for the three months ended June 30, 2024 and 2023, included elsewhere herein. For additional information pertaining to our business, including risk factors which should be considered before investing in our common stock, refer to our Annual Report on Form 10-K for the fiscal year ended December 31, 2023. Our historical results are not necessarily indicative of the results that may be expected for any period in the future. All dollar amounts are expressed in thousands of United States (“U.S.”) dollars (“$”), unless otherwise indicated. Capitalized terms used in this section, but not otherwise defined, have the meanings ascribed to them in the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now operate from 16 service and support centers across North America and maintains 11 international service and support centers across the Europe, Middle East, and Africa ("EMEA") regions and Asia-Pacific ("APAC") regions.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model primarily centers on revenue generated from tool rentals and product sales. We generated revenue from total tool rentals and product sales of $40.1 million and $38.1 million for the three months ended September 30, 2024 and 2023, respectively, and had net income of $0.9 million and $4.3 million for those same periods. Additionally, we generated revenue from tool rentals and product sales of $114.6 million and $116.8 million for the nine months ended September 30, 2024 and 2023, respectively, and had net income of $4.4 million and $10.9 million for those same periods, respectively. As of September 30, 2024, we had cash and cash equivalents of $12.0 million, and an accumulated deficit of $2.2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financial performance will be driven by continued investment in oil and gas drilling following years of industry underinvestment.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half of 2024, the oil and gas market witnessed a dynamic interplay of geopolitical tensions, supply concerns, and global demand fluctuations. Crude oil prices remained volatile, with benchmarks such as Brent and WTI experiencing fluctuations driven by a multitude of factors. Geopolitical tensions in key oil-producing regions, such as the Middle East, continued to influence market sentiment, leading to sporadic spikes in prices. Additionally, concerns over supply disruptions, particularly amidst conflicts and geopolitical uncertainties, added to the market’s unease. As the global market for crude oil has continued its recovery, technical recessions, specifically in China, have slowed progress and created fluctuations in global demand. As of September 30, 2024, the WTI oil price was approximately $68.75 per barrel.</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Despite the high volatility in spot oil prices described above, our customers tend to be more focused on medium-term and long term commodity prices when making investment decisions due to the longer lead times for offshore projects. These forward prices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experienced far less volatility in 2022 and 2023 and have maintained levels in 2024 which are highly constructive for offshore project demand.</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Prices for natural gas have decreased somewhat throughout the first half of 2024 relative to the fourth quarter of 2023 in the U.S. due to several factors, including a mild winter in key consuming regions and increased production and availability, both of which led to an oversupply in the market. Additionally, constrained storage capacity and delivery delays resulted in uncertainty around liquified natural gas exports in the U.S.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Henry Hub natural gas spot prices have decreased from an average of $2.64 per one million British Thermal Units (“MMBtu”) in September 2023 to $2.28 per MMBtu in September 2024.</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evolving Israel-Hamas conflict have caused uncertainty in the oil and natural gas markets, and the financial markets, both globally and in the U.S.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additional interest rate increases by the U.S. Federal Reserve to combat inflation could further increase the probability of a recession.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drilling activity in the Western Hemisphere. Conversely, Eastern Hemisphere drilling activity has increased year over year. During the three and nine months ended September 30, 2024, the monthly average Western Hemisphere rig count was 947 and 946 rigs, respectively, compared to 1,007 and 1,062 rigs for the three and nine months ended September 30, 2023, respectively. During the three and nine months ended September 30, 2024, the monthly average Eastern Hemisphere rig count was 736 and 752 rigs, respectively, compared to 739 and 725 rigs for the three and nine months ended September 30, 2023, respectively. However, notwithstanding the impact of longer laterals, improved rig efficiencies have partially offset the impact of this reduction.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use a number of financial and operational measures to routinely analyze and evaluate the performance of our business, including revenue, net and non-GAAP measures Adjusted EBITDA and Free Cash Flow.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fiscal year 2024, we revised our presentation of non-GAAP measures to exclude the presentation of free cash flow in alignment with industry practices and to enhance comparability with our peers. The Company has determined that GAAP disclosures regarding the Company’s liquidity and capital resources, in the form provided in the Company’s recent periodic reports and without further enhancement through the inclusion of non-GAAP free cash flow information, provide investors with sufficient information on the Company’s cash available for investments, acquisitions, and working capital requirements.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for a reconciliation of Adjusted EBITDA to net income, the most directly comparable financial performance measure calculated and presented in accordance with GAAP and a reconciliation of free cash flow to net cash provided by (used in) operating activities, the most directly comparable liquidity measure calculated and presented in accordance with U.S GAAP.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discussion below relating to significant line items from our interim unaudited consolidated statements of income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generate our revenue, net from tool rental services and product sales. Tool rental services consist of rental services, inspection services, and repair services is accounted for in accordance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tool rental services revenue to increase over time as a function of an increase in drilling activity, customer pricing, and market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product sales revenue will increase as aged and consumable products will continue to be replaced in order to maintain or increase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product sale focused acquisitions are expected to further increase product sale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consist of cost of revenue, selling, general, and administrative expense, and depreciation and amortization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cost of revenue consists primarily of all direct and indirect expenses related to providing our tool rental services offering and delivering our product sales, including personnel-related expenses and costs associated with maintaining the facilities.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expect our total cost of tool rental revenue and our total cost of product sale revenue to increase in absolute dollars in future periods, corresponding to our anticipated growth in revenue and employee headcount to support our customers and to maintain the manufacturing, operations and field service team with some expected cost inflation.</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expect that gross margins will continue to improve slightly as we leverage our existing cost structure to support an increase in our business activity. In addition, we expect that customer price increases will help offset cost inflation.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7" w:name="page38"/>
    <w:bookmarkEnd w:id="37"/>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We intend to increase investments in our sales and marketing organization to drive additional revenue, expand our global customer base, and broaden our brand awareness. We expect our sales and marketing expenses to continue to increase in absolute dollars for the foreseeable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Our other income (expense), net is primarily comprised of interest income (expense), gain on sale of property, unrealized gain (loss) on securities, and other miscellaneous income and expense unrelated to our core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Tool rental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86,410</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90,639</w:t>
            </w:r>
          </w:p>
        </w:tc>
        <w:tc>
          <w:tcPr>
            <w:tcW w:w="100" w:type="dxa"/>
            <w:vAlign w:val="bottom"/>
          </w:tcPr>
          <w:p>
            <w:pPr>
              <w:spacing w:after="0"/>
              <w:rPr>
                <w:sz w:val="19"/>
                <w:szCs w:val="19"/>
                <w:color w:val="auto"/>
              </w:rPr>
            </w:pPr>
          </w:p>
        </w:tc>
      </w:tr>
      <w:tr>
        <w:trPr>
          <w:trHeight w:val="232"/>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114,600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116,845</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 and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tool rental revenue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21,578</w:t>
            </w:r>
          </w:p>
        </w:tc>
        <w:tc>
          <w:tcPr>
            <w:tcW w:w="100" w:type="dxa"/>
            <w:vAlign w:val="bottom"/>
          </w:tcPr>
          <w:p>
            <w:pPr>
              <w:spacing w:after="0"/>
              <w:rPr>
                <w:sz w:val="19"/>
                <w:szCs w:val="19"/>
                <w:color w:val="auto"/>
              </w:rPr>
            </w:pPr>
          </w:p>
        </w:tc>
      </w:tr>
      <w:tr>
        <w:trPr>
          <w:trHeight w:val="23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product sale revenue</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100" w:type="dxa"/>
            <w:vAlign w:val="bottom"/>
            <w:shd w:val="clear" w:color="auto" w:fill="CFF0FC"/>
          </w:tcPr>
          <w:p>
            <w:pPr>
              <w:spacing w:after="0"/>
              <w:rPr>
                <w:sz w:val="20"/>
                <w:szCs w:val="20"/>
                <w:color w:val="auto"/>
              </w:rPr>
            </w:pP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50,999</w:t>
            </w:r>
          </w:p>
        </w:tc>
        <w:tc>
          <w:tcPr>
            <w:tcW w:w="100" w:type="dxa"/>
            <w:vAlign w:val="bottom"/>
          </w:tcPr>
          <w:p>
            <w:pPr>
              <w:spacing w:after="0"/>
              <w:rPr>
                <w:sz w:val="19"/>
                <w:szCs w:val="19"/>
                <w:color w:val="auto"/>
              </w:rPr>
            </w:pPr>
          </w:p>
        </w:tc>
      </w:tr>
      <w:tr>
        <w:trPr>
          <w:trHeight w:val="232"/>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31,006</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102,984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93,474</w:t>
            </w:r>
          </w:p>
        </w:tc>
        <w:tc>
          <w:tcPr>
            <w:tcW w:w="100" w:type="dxa"/>
            <w:vAlign w:val="bottom"/>
          </w:tcPr>
          <w:p>
            <w:pPr>
              <w:spacing w:after="0"/>
              <w:rPr>
                <w:sz w:val="19"/>
                <w:szCs w:val="19"/>
                <w:color w:val="auto"/>
              </w:rPr>
            </w:pPr>
          </w:p>
        </w:tc>
      </w:tr>
      <w:tr>
        <w:trPr>
          <w:trHeight w:val="22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23,371</w:t>
            </w:r>
          </w:p>
        </w:tc>
        <w:tc>
          <w:tcPr>
            <w:tcW w:w="100" w:type="dxa"/>
            <w:vAlign w:val="bottom"/>
            <w:shd w:val="clear" w:color="auto" w:fill="CFF0FC"/>
          </w:tcPr>
          <w:p>
            <w:pPr>
              <w:spacing w:after="0"/>
              <w:rPr>
                <w:sz w:val="19"/>
                <w:szCs w:val="19"/>
                <w:color w:val="auto"/>
              </w:rPr>
            </w:pPr>
          </w:p>
        </w:tc>
      </w:tr>
      <w:tr>
        <w:trPr>
          <w:trHeight w:val="22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(1,038 )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(2,030 )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(995 )</w:t>
            </w: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(loss) on sale of property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r>
      <w:tr>
        <w:trPr>
          <w:trHeight w:val="239"/>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on remeasurement of previously held equity interest</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(361 )</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(535 )</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(148 )</w:t>
            </w:r>
          </w:p>
        </w:tc>
      </w:tr>
      <w:tr>
        <w:trPr>
          <w:trHeight w:val="22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(2,443 )</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(135 )</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(5,241 )</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(6,170 )</w:t>
            </w:r>
          </w:p>
        </w:tc>
      </w:tr>
      <w:tr>
        <w:trPr>
          <w:trHeight w:val="2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(3,823 )</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(743 )</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(6,842 )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(7,245 )</w:t>
            </w:r>
          </w:p>
        </w:tc>
      </w:tr>
      <w:tr>
        <w:trPr>
          <w:trHeight w:val="220"/>
        </w:trPr>
        <w:tc>
          <w:tcPr>
            <w:tcW w:w="5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16,126</w:t>
            </w:r>
          </w:p>
        </w:tc>
        <w:tc>
          <w:tcPr>
            <w:tcW w:w="100" w:type="dxa"/>
            <w:vAlign w:val="bottom"/>
            <w:tcBorders>
              <w:top w:val="single" w:sz="8" w:color="CFF0FC"/>
            </w:tcBorders>
          </w:tcPr>
          <w:p>
            <w:pPr>
              <w:spacing w:after="0"/>
              <w:rPr>
                <w:sz w:val="19"/>
                <w:szCs w:val="19"/>
                <w:color w:val="auto"/>
              </w:rPr>
            </w:pPr>
          </w:p>
        </w:tc>
      </w:tr>
      <w:tr>
        <w:trPr>
          <w:trHeight w:val="232"/>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(2,102 )</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(415 )</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(5,201 )</w:t>
            </w:r>
          </w:p>
        </w:tc>
      </w:tr>
      <w:tr>
        <w:trPr>
          <w:trHeight w:val="223"/>
        </w:trPr>
        <w:tc>
          <w:tcPr>
            <w:tcW w:w="5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10,925</w:t>
            </w:r>
          </w:p>
        </w:tc>
        <w:tc>
          <w:tcPr>
            <w:tcW w:w="100" w:type="dxa"/>
            <w:vAlign w:val="bottom"/>
            <w:tcBorders>
              <w:top w:val="single" w:sz="8" w:color="CFF0FC"/>
            </w:tcBorders>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-2559685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-2559685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-2559685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-1668780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-1668780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-1668780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-478790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-478790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-478790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-179070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-179070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Tool rental revenue decreased $1.2 million, or (4)%, to $28.1 million for the three months ended September 30, 2024 as compared to $29.4 million for the three months ended September 30, 2023. The decrease was primarily driven by decreased market activity in relation to our Directional Tool Rentals (“DTR”) division, the revenue of which decreased $2.5 million. The decrease was partially offset by an increase in our Premium Tools Division ("PTD"), the revenue of which increased $0.4 million and an increase at our Wellbore Optizimation Tools ("WOT") division, revenue of which increased $0.6 million.</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8" w:name="page39"/>
    <w:bookmarkEnd w:id="38"/>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Product sale revenue increased $3.2 million, or 36%, to $12.0 million for the three months ended September 30, 2024 as compared to $8.8 million for the three months ended September 30, 2023. The increase by additional product sales as it relates to Deep Casing ("DCT") which was acquired in March 2024 and the Diamond Products Division ("DPD"), which was acquired in August 2024. This increase was partially offset by lower tool recovery revenue for the three months ended September 30, 2024 as compared to the three months ended September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4,076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(3,261 )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5,726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tool rental revenue decreased $3.3 million, or (44)%, to $4.1 million for the three months ended September 30, 2024 as compared to $7.3 million for the for the three months ended September 30, 2023. The decrease in cost of tool rental revenue was primarily driven by a decrease in labor and repairs cost due to the decrease in rental activity.</w:t>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product sale revenue increased $3.9 million, or 216%, to $5.7 million for the three months ended September 30, 2024 as compared to $1.8 million for the for the three months ended September 30, 2023. The increase in cost of product sale revenue was primarily driven by additional cost of product sales from Deep Casing and DPD, offset by a decrease in cost of product sales associated with tool recovery.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 increased $3.3 million, or 20%, to $19.9 million for the three months ended September 30, 2024 as compared to $16.6 million for the three months ended September 30, 2023. This increase was primarily driven by an increase in personnel related fees and other costs associated with the public company transition. No other driver of this increase was significant.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6,185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882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$0.9 million, or 17%, to $6.2 million for the three months ended September 30, 2024 as compared to $5.3 million for the three months ended September 30, 2023. The increase was primarily due an increase in depreciation expense resulting from a higher property, plant and equipment balance as of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(1,038 )  $</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-147955</wp:posOffset>
            </wp:positionV>
            <wp:extent cx="7055485"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9" w:name="page40"/>
    <w:bookmarkEnd w:id="39"/>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Interest expense increased $965 thousand, or 1322%, to $1.0 million for the three months ended September 30, 2024 as compared to $0.1 million for the three months ended September 30, 2023. The increase was primarily due to an increase in interest expense on the term loan entered into in March 2024 and the Credit Facility, which was drawn on during three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(2,443 )  $</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(135 )  $</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(2,308 )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Other expense for the three months ended September 30, 2024 was $2.4 million, a increase of $2.3 million, or (1710)%, compared to the three months ended September 30, 2023. The increase was primarily due to increased transaction costs related to the completion of the acquisition of SDPI during the third quarter of 2024.</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w:t>
            </w:r>
          </w:p>
        </w:tc>
        <w:tc>
          <w:tcPr>
            <w:tcW w:w="12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90,639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(4,229 )</w:t>
            </w: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2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26,206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Tool rental revenue decreased $4.2 million, or (5)%, to $86.4 million for the nine months ended September 30, 2024 as compared to $90.6 million for the nine months ended September 30, 2023. The decrease was primarily driven by decreased market activity across certain divisions, especially in relation to our DTR division, the revenue of which decreased $8.0 million and our PTD division, the revenue of which decreased $0.9 million. These decreases were offset by increases at our WOT division, the revenue of which increased by $2.3 million and DCT, the revenue of which increased $0.6 million.</w:t>
      </w:r>
    </w:p>
    <w:p>
      <w:pPr>
        <w:spacing w:after="0" w:line="1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Product sale revenue decreased $2.0 million, or 8%, to $28.2 million for the nine months ended September 30, 2024 as compared to $26.2 million for the nine months ended September 30, 2023. The decrease was primarily driven by higher than average rental tool recovery events in the nine months ended September 30, 2023, partially offset by additional product sales at DCT and DPD for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(4,020 )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2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tool rental revenue decreased $4.0 million, or (19)%, to $17.6 million for the nine months ended September 30, 2024 as compared to $21.6 million for the for the nine months ended September 30, 2023. The decrease in cost of tool rental revenue was primarily driven by a decrease in sub rental, accessory, and repair cost due to the decrease in rental activity.</w:t>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product sale revenue increased $4.9 million, or 84%, to $10.8 million for the nine months ended September 30, 2024 as compared to $5.9 million for the for the nine months ended September 30, 2023. The increase in cost of product sale revenue was primarily driven by additional cost of product sales from DCT and DPD, offset by a decrease in cost of product sales associated with tool recovery.</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 increased $6.4 million, or 13%, to $57.4 million for the nine months ended September 30, 2024 as compared to $51.0 million for the nine months ended September 30, 2023. This increase was primarily driven by an increase in personnel related fees and other costs associated with the public company transition. No other driver of this increase was significant.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80" w:type="dxa"/>
            <w:vAlign w:val="bottom"/>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15,035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$2.2 million, or 15%, to $17.2 million for the nine months ended September 30, 2024 as compared to $15.0 million for the nine months ended September 30, 2023. The increase was primarily due to an increase in depreciation expense resulting from a higher property, plant and equipment balance as of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(2,030 )  $</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(995 )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(1,035 )</w:t>
            </w:r>
          </w:p>
        </w:tc>
        <w:tc>
          <w:tcPr>
            <w:tcW w:w="3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2024 we had interest expense of $2.0 million as compared to interest expense of $1.0 million for the nine months ended September 30, 2023. This change of $1.0 million or 104%. The increase was primarily due to an increase in interest expense on the term loan entered into in March 2024 and the Credit Facility, which was drawn on during three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3"/>
          </w:tcPr>
          <w:p>
            <w:pPr>
              <w:jc w:val="right"/>
              <w:ind w:right="768"/>
              <w:spacing w:after="0"/>
              <w:rPr>
                <w:sz w:val="20"/>
                <w:szCs w:val="20"/>
                <w:color w:val="auto"/>
              </w:rPr>
            </w:pPr>
            <w:r>
              <w:rPr>
                <w:rFonts w:ascii="Times New Roman" w:cs="Times New Roman" w:eastAsia="Times New Roman" w:hAnsi="Times New Roman"/>
                <w:sz w:val="18"/>
                <w:szCs w:val="18"/>
                <w:color w:val="auto"/>
              </w:rPr>
              <w:t>(5,241 )  $</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(6,170 )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Other expense for the nine months ended September 30, 2024 was $5.2 million, a decrease of $0.9 million, or (15)%, compared to the nine months ended September 30, 2023. The decrease was primarily due to increased transaction costs related to the completion of the merger with ROC Energy Acquisition in June 2023 and compared to transaction costs incurred during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8" w:right="239" w:bottom="1440" w:gutter="0" w:footer="0" w:header="0"/>
        </w:sectPr>
      </w:pPr>
    </w:p>
    <w:bookmarkStart w:id="41" w:name="page42"/>
    <w:bookmarkEnd w:id="41"/>
    <w:p>
      <w:pPr>
        <w:jc w:val="both"/>
        <w:spacing w:after="0" w:line="265" w:lineRule="auto"/>
        <w:rPr>
          <w:sz w:val="20"/>
          <w:szCs w:val="20"/>
          <w:color w:val="auto"/>
        </w:rPr>
      </w:pPr>
      <w:r>
        <w:rPr>
          <w:rFonts w:ascii="Times New Roman" w:cs="Times New Roman" w:eastAsia="Times New Roman" w:hAnsi="Times New Roman"/>
          <w:sz w:val="18"/>
          <w:szCs w:val="18"/>
          <w:color w:val="auto"/>
        </w:rPr>
        <w:t>This non-GAAP financial measures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spacing w:after="0" w:line="177" w:lineRule="exact"/>
        <w:rPr>
          <w:sz w:val="20"/>
          <w:szCs w:val="20"/>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and nine months ended September 30, 2024 and 2023 (non-recurring transaction expenses recorded to other (income) expense are presented separately within 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(439 )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remeasurement of previously held equity interest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2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(368 )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30,982</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40,840</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-2533650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2024, we had $12.0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7 –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unaudited condensed consolidated financial statements included elsewhere in this Report (the ”Interim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(46,132 )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(20,027 )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r>
      <w:tr>
        <w:trPr>
          <w:trHeight w:val="236"/>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$9.7 million resulting from our net income of $4.4 million, adjusted for non-cash charges of $21.1 million in depreciation and amortization, including non-cash lease expense and deferred financing costs, $1.6 million of stock-based compensation expense, and $0.3 million in provisions for excess and obsolete property, plant, and equipment and credit losses. This was partially offset by a $7.3 million gain on rental tool recovery sales, $1.3 million in deferred tax expense, and $8.6 million in net changes from operating assets and liabilities. The $8.6 million in cash used in operating assets and liabilities is primarily due to a $0.6 million cash outflow in prepaid expenses due to the timing of payments, a $2.9 million cash outflow in inventory, $3.4 million cash outflow in operating lease liabilities, and a $3.7 million cash outflow related to accounts payable and accrued expenses. These outflows were offset by a $2.1 million cash inflow related to accounts receivables.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$17.5 million resulting from our net income of $10.9 million, adjusted for non-cash charges of $18.5 million in depreciation and amortization, including amortization of right of use assets and deferred financing costs, $4.0 million of stock-based compensation expense as a result of the Merger, $0.5 million of bad debt expense and $3.7 million in deferred tax expense. This was partially offset by a $14.0 million gain on rental tool recovery sales and $6.7 million in net changes from operating assets and liabilities. The $6.7million in cash used in operating assets and liabilities is primarily due to a $0.5 million cash outflow in accounts receivable associated with an increase in sales and higher revenues during the first nine months of 2023 compared to the first nine months of 2022, a $3.3 million cash outflow from operating lease liabilities as we increase right-of-use assets on hand and a $2.9 million cash outflow from inventories due to purchased inventory related to our attempt to reduce risk and uncertainties in our supply chain. This was partially offset by a $0.1 million cash inflow in accounts payable and accrued expenses due to differences in the timing of disbursements. We will continue to evaluate our capital requirements for both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43" w:name="page44"/>
    <w:bookmarkEnd w:id="43"/>
    <w:p>
      <w:pPr>
        <w:jc w:val="both"/>
        <w:spacing w:after="0" w:line="281" w:lineRule="auto"/>
        <w:rPr>
          <w:sz w:val="20"/>
          <w:szCs w:val="20"/>
          <w:color w:val="auto"/>
        </w:rPr>
      </w:pPr>
      <w:r>
        <w:rPr>
          <w:rFonts w:ascii="Times New Roman" w:cs="Times New Roman" w:eastAsia="Times New Roman" w:hAnsi="Times New Roman"/>
          <w:sz w:val="18"/>
          <w:szCs w:val="18"/>
          <w:color w:val="auto"/>
        </w:rPr>
        <w:t>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$46.1 million. Purchases of property, plant, and equipment of $19.6 million and business acquisitions of $38.6 million were partially offset by proceeds from rental tool recovery sales of $10.9 million and proceeds from the sale of equity securities of $1.2 million.</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$20.0 million. Purchases of property, plant, and equipment of $36.7 million were partially offset by proceeds from rental tool recovery sales of $16.6 million and proceeds from sale of property of $0.1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$43.4 million resulting from proceeds from the term loan of $25 million and proceeds from the revolving line of credit of $30.1 million offset by $0.7 million in payments of deferred financing costs and $10.9 million in repayments of the Term Loan and the revolving line of credit.</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$4.3 million resulting from proceeds from the Merger and PIPE Financing, net of transaction costs, of $23.1 million, partially offset by a net decrease in amounts outstanding under the Credit Facility Agreement of $18.3 million, payments of deferred financing costs of $0.3 million and payments to holders of DTIH convertible preferred stock in connection with the Merger of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2023 (the "Annual Report"). In addition to the critical accounting policies and estimates disclosed in our Annual Report, accounting for Business Combinations was identified as a new critical accounting policy and estimate in the nine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in accordance with ASC 805, Business Combinations. On the acquisition date for a business combination, we allocate the total purchase consideration for the acquisition to the assets acquired and liabilities assumed based on their respective estimated fair values on the acquisition date. Additionally, we identify and attribute fair values and estimated lives to acquired intangible assets. We identify an acquired intangible asset apart from goodwill whenever the intangible asset arises from contractual or other legal rights, or when it can be separately sold, transferred, licensed, rented, or exchanged. We recognize goodwill, if any, in the amount by which the aggregate fair value of the total purchase consideration exceeds the aggregate fair value of the net assets (including intangible assets) acquired.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fair values of assets acquired (including intangible assets) and liabilities assumed, we utilize a variety of methods. Each asset acquired and liability assumed is measured at fair value from the perspective of a market participant. The methods used to estimate the fair values of intangible assets incorporate significant estimates and assumptions regarding the estimates a market participant would make in order to evaluate an asset, including, but not limited to, a market participant’s use of the asset as well as forecasts for cash flows, revenue growth, asset lives, customer attrition rates, royalty rates, income tax rates, and discount rates.</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 participant would use. While we use our best estimates and assumptions to value assets acquired and liabilities assumed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4" w:name="page45"/>
    <w:bookmarkEnd w:id="44"/>
    <w:p>
      <w:pPr>
        <w:jc w:val="both"/>
        <w:spacing w:after="0" w:line="260" w:lineRule="auto"/>
        <w:rPr>
          <w:sz w:val="20"/>
          <w:szCs w:val="20"/>
          <w:color w:val="auto"/>
        </w:rPr>
      </w:pPr>
      <w:r>
        <w:rPr>
          <w:rFonts w:ascii="Times New Roman" w:cs="Times New Roman" w:eastAsia="Times New Roman" w:hAnsi="Times New Roman"/>
          <w:sz w:val="18"/>
          <w:szCs w:val="18"/>
          <w:color w:val="auto"/>
        </w:rPr>
        <w:t>at the acquisition date, our estimates are inherently uncertain and subject to refinement. The use of different assumptions related to these uncertain factors at acquisition could result in material changes to the amounts initially recorded at acquisition, which could have a material impact on our condensed consolidated financial statements. When appropriate, we engage third-party valuation specialists to assist in determining the fair values of assets acquired and liabilities assumed.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We must complete the accounting for each business combination during its measurement period, which cannot exceed one year from the acquisition date. Adjustments made during the measurement period could have a material impact on our condensed consolidated financial statements.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Costs that are directly attributable to business combinations are expensed as incurred within other expenses, net, on the condensed consolidated statements of income and comprehensive income. The results of operations of acquisitions are included in the consolidated financial statements from the date of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 discussion of concentration risk is included in 1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are primarily located in the United States and Canada. Therefore, foreign exchange risk exposures arise from transactions denominated in currencies other than the United States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8"/>
          <w:szCs w:val="18"/>
          <w:color w:val="auto"/>
        </w:rPr>
        <w:t>to minimize the impact of these fluctuations in the exchange rates. We will periodically reassess our approach to manage our risk relating to fluctuations in currency rates.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have eased. Additionally, raw material and component costs are moderating due in part to a strengthening U.S. dollar and weakening steel demand.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reputational risks. There is no assurance that these efforts will fully mitigate cybersecurity risk and mitigation efforts are not an assurance that no cybersecurity incidents will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June 30, 2024, as such term is defined in Rules 13a-15(e) and 15d-15(e) under the Exchange Act. As a result of management’s evaluation, our Chief Executive Officer and Chief Financial Officer concluded that our disclosure controls and procedures were not effective at a reasonable assurance level as of June 30, 2024, or as of the date of the filing of this Report.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September 30, 2024, or as of the date of filing of this Report, because all findings in connection with our preparation and the audit of our consolidated financial statements as of and for the year ended December 31, 2023 have not been fully remediated despite ongoing projects and improvements made in the current quarter. As a result, we were not able to rely upon the disclosure controls and procedures that were in place as of September 30, 2024, or as of the date of this filing, and we continue to have a material weakness in our internal control over financial reporting. This material weakness is described in more detail below.</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Prior to the Merger,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2023, we identified the following deficiencies in the design or operation of our internal controls to be a material weakness:</w:t>
      </w:r>
    </w:p>
    <w:p>
      <w:pPr>
        <w:spacing w:after="0" w:line="285"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promote effective internal control over financial reporting throughout the Company’s management structure;</w:t>
      </w:r>
    </w:p>
    <w:p>
      <w:pPr>
        <w:spacing w:after="0" w:line="33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2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6" w:name="page47"/>
    <w:bookmarkEnd w:id="46"/>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documentation and monitoring of information technology (“IT”) general controls and cybersecurity processes within the Company’s IT environment, including access controls and segregation of duties between key IT functions.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including (1) hiring more qualified staff and increasing resources with sufficient knowledge and experience to strengthen financial reporting, (2) implementing software and procedures to enhance our Company’s IT environment and (3) devoting proper time by senior management to perform comprehensive review of procedures to assess risks and enforce effective accountability.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Part I, Item 1, Note 14 to our consolidated financial statements entitled “Commitments and Contingencies,” which is incorporated in this item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 filed with the SEC on March 28, 2024,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terminated or modified a Rule 10b5-1 trading arrangement or non-Rule 10b5-1 trading arrangement (as such terms are defined in Item 408 of Regulation 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Agreement and Plan of Merger, dated as of February 13, 2023, by and among ROC Energy Acquisition Corp., ROC Merger Sub, Inc. and</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Drilling Tools International Holdings, Inc. (incorporated by reference to Exhibit 2.1 to ROC Energy Acquisition Corp.’s Current Report on</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8-K (File No. 001-41103), filed with the Securities and Exchange Commission on February 13,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First Amendment to the Agreement and Plan of Merger, by and among ROC Energy Acquisition Corp., ROC Merger Sub, Inc. and Drilling</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Tools International Holdings, Inc. (incorporated by reference to Exhibit 2.1 to ROC Energy Acquisition Corp.’s Current Report on Form 8-</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K (File No. 001-41103), filed with the Securities and Exchange Commission on June 9,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Second Amended and Restated Certificate of Incorporation of Drilling Tools International Corporation (incorporated by reference to</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Exhibit 3.1 to Drilling Tools International Corporation’s Current Report on Form 8-K (File No. 001-41103), filed with the Securities and</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Exchange Commission on June 27, 2023).</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Amended and Restated Bylaws of Drilling Tools International Corporation (incorporated by reference to Exhibit 3.2 to Drilling Tools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International Corporation’s Current Report on Form 8-K (File No. 001-41103), filed with the Securities and Exchange Commission on June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gridSpan w:val="3"/>
          </w:tcPr>
          <w:p>
            <w:pPr>
              <w:ind w:left="120"/>
              <w:spacing w:after="0" w:line="195" w:lineRule="exact"/>
              <w:rPr>
                <w:rFonts w:ascii="Times New Roman" w:cs="Times New Roman" w:eastAsia="Times New Roman" w:hAnsi="Times New Roman"/>
                <w:sz w:val="18"/>
                <w:szCs w:val="18"/>
                <w:color w:val="0000FF"/>
                <w:w w:val="95"/>
              </w:rPr>
            </w:pPr>
            <w:hyperlink r:id="rId363">
              <w:r>
                <w:rPr>
                  <w:rFonts w:ascii="Times New Roman" w:cs="Times New Roman" w:eastAsia="Times New Roman" w:hAnsi="Times New Roman"/>
                  <w:sz w:val="18"/>
                  <w:szCs w:val="18"/>
                  <w:color w:val="0000FF"/>
                  <w:w w:val="95"/>
                </w:rPr>
                <w:t>27, 2023).</w:t>
              </w:r>
            </w:hyperlink>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9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9160" w:type="dxa"/>
            <w:vAlign w:val="bottom"/>
            <w:gridSpan w:val="6"/>
          </w:tcPr>
          <w:p>
            <w:pPr>
              <w:spacing w:after="0" w:line="20" w:lineRule="exact"/>
              <w:rPr>
                <w:sz w:val="1"/>
                <w:szCs w:val="1"/>
                <w:color w:val="auto"/>
              </w:rPr>
            </w:pPr>
          </w:p>
        </w:tc>
      </w:tr>
      <w:tr>
        <w:trPr>
          <w:trHeight w:val="46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2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05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50" w:lineRule="auto"/>
        <w:tabs>
          <w:tab w:leader="none" w:pos="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Drilling Tools International Corporation</w:t>
      </w:r>
    </w:p>
    <w:p>
      <w:pPr>
        <w:spacing w:after="0" w:line="251"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November 14, 2024</w:t>
      </w:r>
      <w:r>
        <w:rPr>
          <w:sz w:val="20"/>
          <w:szCs w:val="20"/>
          <w:color w:val="auto"/>
        </w:rPr>
        <w:tab/>
      </w:r>
      <w:r>
        <w:rPr>
          <w:rFonts w:ascii="Arial" w:cs="Arial" w:eastAsia="Arial" w:hAnsi="Arial"/>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R. Johnson</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November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R. Wayne Prejean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David R. Johnson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2024 as filed with the Securities and Exchange Commission on the date hereof (the “Report”), I certify, pursuant to 18 U.S.C.</w:t>
      </w:r>
    </w:p>
    <w:p>
      <w:pPr>
        <w:spacing w:after="0" w:line="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4"/>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September 30, 2024 as filed with the Securities and Exchange Commission on the date hereof (the “Report”), I certify, pursuant to 18 U.S.C.</w:t>
      </w:r>
    </w:p>
    <w:p>
      <w:pPr>
        <w:spacing w:after="0" w:line="2"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193" w:lineRule="exact"/>
        <w:rPr>
          <w:rFonts w:ascii="Arial" w:cs="Arial" w:eastAsia="Arial" w:hAnsi="Arial"/>
          <w:sz w:val="18"/>
          <w:szCs w:val="18"/>
          <w:color w:val="auto"/>
        </w:rPr>
      </w:pPr>
    </w:p>
    <w:p>
      <w:pPr>
        <w:ind w:left="1020" w:hanging="504"/>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lvl w:ilvl="1">
      <w:lvlJc w:val="left"/>
      <w:lvlText w:val="(%2)"/>
      <w:numFmt w:val="decimal"/>
      <w:start w:val="1"/>
    </w:lvl>
  </w:abstractNum>
  <w:abstractNum w:abstractNumId="13">
    <w:nsid w:val="DED726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60" Type="http://schemas.openxmlformats.org/officeDocument/2006/relationships/hyperlink" Target="https://www.sec.gov/Archives/edgar/data/1884516/000110465923020480/tm236420d1_ex2-1.htm" TargetMode="External"/><Relationship Id="rId361" Type="http://schemas.openxmlformats.org/officeDocument/2006/relationships/hyperlink" Target="https://www.sec.gov/Archives/edgar/data/1884516/000110465923069995/tm2317528d1_ex2-1.htm" TargetMode="External"/><Relationship Id="rId362" Type="http://schemas.openxmlformats.org/officeDocument/2006/relationships/hyperlink" Target="https://www.sec.gov/Archives/edgar/data/1884516/000119312523175331/d498600dex31.htm" TargetMode="External"/><Relationship Id="rId363" Type="http://schemas.openxmlformats.org/officeDocument/2006/relationships/hyperlink" Target="https://www.sec.gov/Archives/edgar/data/1884516/000119312523175331/d49860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2024-11-14T15:27:09Z</dcterms:created>
  <dcterms:modified xsi:type="dcterms:W3CDTF">2024-11-14T15:27:09Z</dcterms:modified>
</cp:coreProperties>
</file>