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42"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3960" w:right="1600" w:hanging="3939"/>
        <w:spacing w:after="0" w:line="375" w:lineRule="auto"/>
        <w:tabs>
          <w:tab w:leader="none" w:pos="48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DRILLING TOOLS INTERNATIONAL CORPORATION</w:t>
      </w:r>
    </w:p>
    <w:p>
      <w:pPr>
        <w:sectPr>
          <w:pgSz w:w="11900" w:h="16838" w:orient="portrait"/>
          <w:cols w:equalWidth="0" w:num="1">
            <w:col w:w="11240"/>
          </w:cols>
          <w:pgMar w:left="320" w:top="133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10370 Richmond Ave.</w:t>
      </w:r>
    </w:p>
    <w:p>
      <w:pPr>
        <w:spacing w:after="0" w:line="1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87-2488708</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pacing w:after="0" w:line="25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77042</w:t>
      </w:r>
    </w:p>
    <w:p>
      <w:pPr>
        <w:spacing w:after="0" w:line="27" w:lineRule="exact"/>
        <w:rPr>
          <w:sz w:val="24"/>
          <w:szCs w:val="24"/>
          <w:color w:val="auto"/>
        </w:rPr>
      </w:pPr>
    </w:p>
    <w:p>
      <w:pPr>
        <w:sectPr>
          <w:pgSz w:w="11900" w:h="16838" w:orient="portrait"/>
          <w:cols w:equalWidth="0" w:num="2">
            <w:col w:w="7700" w:space="240"/>
            <w:col w:w="3300"/>
          </w:cols>
          <w:pgMar w:left="320" w:top="1334"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DTI</w:t>
            </w:r>
          </w:p>
        </w:tc>
        <w:tc>
          <w:tcPr>
            <w:tcW w:w="12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5" w:lineRule="exact"/>
        <w:rPr>
          <w:sz w:val="24"/>
          <w:szCs w:val="24"/>
          <w:color w:val="auto"/>
        </w:rPr>
      </w:pPr>
    </w:p>
    <w:p>
      <w:pPr>
        <w:ind w:right="8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ind w:right="5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ind w:right="420" w:firstLine="509"/>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34" w:lineRule="exact"/>
        <w:rPr>
          <w:sz w:val="24"/>
          <w:szCs w:val="24"/>
          <w:color w:val="auto"/>
        </w:rPr>
      </w:pPr>
    </w:p>
    <w:p>
      <w:pPr>
        <w:jc w:val="both"/>
        <w:ind w:right="8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 w:lineRule="exact"/>
        <w:rPr>
          <w:sz w:val="24"/>
          <w:szCs w:val="24"/>
          <w:color w:val="auto"/>
        </w:rPr>
      </w:pPr>
    </w:p>
    <w:p>
      <w:pPr>
        <w:ind w:left="520"/>
        <w:spacing w:after="0" w:line="173" w:lineRule="exact"/>
        <w:tabs>
          <w:tab w:leader="none" w:pos="7640" w:val="left"/>
          <w:tab w:leader="none" w:pos="82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106" w:lineRule="exact"/>
        <w:rPr>
          <w:sz w:val="24"/>
          <w:szCs w:val="24"/>
          <w:color w:val="auto"/>
        </w:rPr>
      </w:pPr>
    </w:p>
    <w:p>
      <w:pPr>
        <w:ind w:right="4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November 7, 2025, the registrant had 35,198,778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Changes in Shareholders'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243"/>
        </w:trPr>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Certain statements in this Report on Form 10-Q (this “Report”) may constitute "forward-looking statements" for purposes of the federal securities laws. These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Forward-looking statements in this Report may include, for example, statements about:</w:t>
      </w:r>
    </w:p>
    <w:p>
      <w:pPr>
        <w:spacing w:after="0" w:line="200" w:lineRule="exact"/>
        <w:rPr>
          <w:sz w:val="20"/>
          <w:szCs w:val="20"/>
          <w:color w:val="auto"/>
        </w:rPr>
      </w:pPr>
    </w:p>
    <w:p>
      <w:pPr>
        <w:spacing w:after="0" w:line="31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services, which is influenced by the general level activity in the oil and gas industry;</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customers, particularly those that contribute to a large portion of our revenue;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a sufficient number of skilled and qualified workers, including our key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an emerging growth company and smaller reporting company;</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tools at reasonable cost;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required permits or authorizations from applicable governmental agencies and other third parties;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services in a competitive industry;</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integrate and realize the benefits of acquisitions, and manage the resulting growth of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technology that may become prevalent in the oilfield services industry;</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claims arising from damage or harm caused by the operation of our tools, or otherwise arising from the dangerous activities that are inherent in the oil and gas industry;</w:t>
      </w:r>
    </w:p>
    <w:p>
      <w:pPr>
        <w:spacing w:after="0" w:line="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global pandemic</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Israel-Hamas conflicts on the global economy;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oilfield anti-indemnity limitations enacted by certain states;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restrictive covenants in the Amended and Restated Revolving Credit, Security and Guaranty Agreement among Drilling Tools International, Inc., certain of its subsidiaries, Drilling Tools International Corporation and PNC Bank, National Association, dated as of March 15, 2024 (the “Credit Facility Agreement”);</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indebtedness incurred to execute our long-term growth strategy;</w:t>
      </w:r>
    </w:p>
    <w:p>
      <w:pPr>
        <w:spacing w:after="0" w:line="9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regulatory, economic and social disruptions in the countries in which we conduct business, including changes in tax laws or tax rates;</w:t>
      </w:r>
    </w:p>
    <w:p>
      <w:pPr>
        <w:spacing w:after="0" w:line="40"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information technology systems, in particular Customer Order Management Portal and Support System, for the efficient operation of our business;</w:t>
      </w:r>
    </w:p>
    <w:p>
      <w:pPr>
        <w:spacing w:after="0" w:line="26"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unusual weather conditions on our operations;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regulations and rules, including those related to the environment, greenhouse gases and climate change;</w:t>
      </w:r>
    </w:p>
    <w:p>
      <w:pPr>
        <w:spacing w:after="0" w:line="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trade secrets;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volatility in the market price of the Common Stock;</w:t>
      </w:r>
    </w:p>
    <w:p>
      <w:pPr>
        <w:spacing w:after="0" w:line="9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legal, accounting, administrative and other costs incurred as a public company, including the impact of possible shareholder litigation;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issuance of additional shares of DTIC Common Stock or other equity securities;</w:t>
      </w:r>
    </w:p>
    <w:p>
      <w:pPr>
        <w:spacing w:after="0" w:line="9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DTIC Common Stock on Nasdaq;</w:t>
      </w:r>
    </w:p>
    <w:p>
      <w:pPr>
        <w:spacing w:after="0" w:line="10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industry or securities analysts changing their recommendation, or failing to cover, the DTIC Common Stock;</w:t>
      </w:r>
    </w:p>
    <w:p>
      <w:pPr>
        <w:spacing w:after="0" w:line="115"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 “controlled company;” and</w:t>
      </w:r>
    </w:p>
    <w:p>
      <w:pPr>
        <w:spacing w:after="0" w:line="9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Report, including those under the section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6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3"/>
          </w:cols>
          <w:pgMar w:left="837" w:top="108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39,606</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current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68,076</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75,571</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less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227,397</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222,431</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8"/>
                <w:szCs w:val="18"/>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102,472</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shares authorized 500,000,000 as of September 30, 2025 and</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2024, 35,661,297 issued and outstanding as of September 30, 2025 and</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34,704,696 shares issued and outstanding as of December 31, 2024</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198"/>
        </w:trPr>
        <w:tc>
          <w:tcPr>
            <w:tcW w:w="7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Treasury stock at cost, 462,519 and 0 shares as of September 30, 2025 and December 31, 2024,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125,415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(3,582)</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(1,877)</w:t>
            </w:r>
          </w:p>
        </w:tc>
      </w:tr>
      <w:tr>
        <w:trPr>
          <w:trHeight w:val="210"/>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Drilling Tools International stockholder's equity</w:t>
            </w: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121,109</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119,959</w:t>
            </w:r>
          </w:p>
        </w:tc>
        <w:tc>
          <w:tcPr>
            <w:tcW w:w="100" w:type="dxa"/>
            <w:vAlign w:val="bottom"/>
            <w:tcBorders>
              <w:top w:val="single" w:sz="8" w:color="CFF0FC"/>
            </w:tcBorders>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119,959</w:t>
            </w:r>
          </w:p>
        </w:tc>
        <w:tc>
          <w:tcPr>
            <w:tcW w:w="100" w:type="dxa"/>
            <w:vAlign w:val="bottom"/>
          </w:tcPr>
          <w:p>
            <w:pPr>
              <w:spacing w:after="0"/>
              <w:rPr>
                <w:sz w:val="18"/>
                <w:szCs w:val="18"/>
                <w:color w:val="auto"/>
              </w:rPr>
            </w:pPr>
          </w:p>
        </w:tc>
      </w:tr>
      <w:tr>
        <w:trPr>
          <w:trHeight w:val="24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227,397</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222,431</w:t>
            </w:r>
          </w:p>
        </w:tc>
        <w:tc>
          <w:tcPr>
            <w:tcW w:w="100" w:type="dxa"/>
            <w:vAlign w:val="bottom"/>
            <w:shd w:val="clear" w:color="auto" w:fill="CFF0FC"/>
          </w:tcPr>
          <w:p>
            <w:pPr>
              <w:spacing w:after="0"/>
              <w:rPr>
                <w:sz w:val="21"/>
                <w:szCs w:val="21"/>
                <w:color w:val="auto"/>
              </w:rPr>
            </w:pPr>
          </w:p>
        </w:tc>
      </w:tr>
      <w:tr>
        <w:trPr>
          <w:trHeight w:val="768"/>
        </w:trPr>
        <w:tc>
          <w:tcPr>
            <w:tcW w:w="7600" w:type="dxa"/>
            <w:vAlign w:val="bottom"/>
            <w:tcBorders>
              <w:top w:val="single" w:sz="8" w:color="CFF0FC"/>
            </w:tcBorders>
          </w:tcPr>
          <w:p>
            <w:pPr>
              <w:ind w:left="558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7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-5888355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-5888355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-4782820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-4782820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-3093720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-1576705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2"/>
        </w:trPr>
        <w:tc>
          <w:tcPr>
            <w:tcW w:w="51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Revenue, net:</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Tool rental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31,859</w:t>
            </w:r>
          </w:p>
        </w:tc>
        <w:tc>
          <w:tcPr>
            <w:tcW w:w="30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28,116</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99,148</w:t>
            </w:r>
          </w:p>
        </w:tc>
        <w:tc>
          <w:tcPr>
            <w:tcW w:w="22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sale</w:t>
            </w: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11,977</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21,970</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28,190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121,118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Costs and other deductions: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Cost of tool rental revenue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product sale revenue</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9,078</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63,046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6,834</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20,386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(gain) on asset disposal</w:t>
            </w: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Loss (gain) on remeasurement of previously held equity interest</w:t>
            </w:r>
          </w:p>
        </w:tc>
        <w:tc>
          <w:tcPr>
            <w:tcW w:w="140" w:type="dxa"/>
            <w:vAlign w:val="bottom"/>
          </w:tcPr>
          <w:p>
            <w:pPr>
              <w:spacing w:after="0"/>
              <w:rPr>
                <w:sz w:val="17"/>
                <w:szCs w:val="17"/>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and non-operating expense, net</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costs and other deductions</w:t>
            </w: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39,284</w:t>
            </w: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39,665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125,072</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109,826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 expense</w:t>
            </w:r>
          </w:p>
        </w:tc>
        <w:tc>
          <w:tcPr>
            <w:tcW w:w="14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(467)</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(3,954)</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(437)</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(1,024)</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(904)</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(4,978)</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2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income (loss) attributable to Drilling Tools International</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(903)</w:t>
            </w:r>
          </w:p>
        </w:tc>
        <w:tc>
          <w:tcPr>
            <w:tcW w:w="2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40" w:type="dxa"/>
            <w:vAlign w:val="bottom"/>
          </w:tcPr>
          <w:p>
            <w:pPr>
              <w:spacing w:after="0"/>
              <w:rPr>
                <w:sz w:val="15"/>
                <w:szCs w:val="15"/>
                <w:color w:val="auto"/>
              </w:rPr>
            </w:pP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(4,977)</w:t>
            </w:r>
          </w:p>
        </w:tc>
        <w:tc>
          <w:tcPr>
            <w:tcW w:w="2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2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40" w:type="dxa"/>
            <w:vAlign w:val="bottom"/>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(0.03)</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(0.14)</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(0.03)</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(0.14)</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weighted-average common shares outstanding</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35,386,122</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33,072,097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35,516,692</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30,893,602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Diluted weighted-average common shares outstanding</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35,386,122</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33,547,056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35,516,692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31,404,333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(904)</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(4,978)</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(605)</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14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comprehensive income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(1,510)</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(2,443)</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-3608070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-3608070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-3608070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-2047875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-2047875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-2047875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-1782445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-1782445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-1782445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-1516380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-1516380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-1516380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-1122045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-1104900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-1122045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-1104900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-1122045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-1104900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r>
        <w:rPr>
          <w:rFonts w:ascii="Arial" w:cs="Arial" w:eastAsia="Arial" w:hAnsi="Arial"/>
          <w:sz w:val="17"/>
          <w:szCs w:val="17"/>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DRILLING TOOLS INTERNATIONAL CORPORATION CONDENSED CONSOLIDATED STATEMENTS OF CHANGES IN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382905</wp:posOffset>
            </wp:positionV>
            <wp:extent cx="85725" cy="119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1938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382905</wp:posOffset>
            </wp:positionV>
            <wp:extent cx="85725" cy="1193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1938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8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gridSpan w:val="4"/>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Total Drilling</w:t>
            </w:r>
          </w:p>
        </w:tc>
        <w:tc>
          <w:tcPr>
            <w:tcW w:w="2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0"/>
                <w:szCs w:val="10"/>
                <w:color w:val="auto"/>
              </w:rPr>
            </w:pPr>
          </w:p>
        </w:tc>
        <w:tc>
          <w:tcPr>
            <w:tcW w:w="9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Tools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10"/>
                <w:szCs w:val="10"/>
                <w:color w:val="auto"/>
              </w:rPr>
            </w:pPr>
          </w:p>
        </w:tc>
        <w:tc>
          <w:tcPr>
            <w:tcW w:w="9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International</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4"/>
        </w:trPr>
        <w:tc>
          <w:tcPr>
            <w:tcW w:w="1780" w:type="dxa"/>
            <w:vAlign w:val="bottom"/>
          </w:tcPr>
          <w:p>
            <w:pPr>
              <w:spacing w:after="0" w:line="124" w:lineRule="exact"/>
              <w:rPr>
                <w:sz w:val="20"/>
                <w:szCs w:val="20"/>
                <w:color w:val="auto"/>
              </w:rPr>
            </w:pPr>
            <w:r>
              <w:rPr>
                <w:rFonts w:ascii="Times New Roman" w:cs="Times New Roman" w:eastAsia="Times New Roman" w:hAnsi="Times New Roman"/>
                <w:sz w:val="11"/>
                <w:szCs w:val="11"/>
                <w:i w:val="1"/>
                <w:iCs w:val="1"/>
                <w:color w:val="auto"/>
              </w:rPr>
              <w:t>(In thousands, except share and per</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Amo</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3"/>
          </w:tcPr>
          <w:p>
            <w:pPr>
              <w:jc w:val="right"/>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440"/>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10"/>
                <w:szCs w:val="10"/>
                <w:color w:val="auto"/>
              </w:rPr>
            </w:pPr>
          </w:p>
        </w:tc>
        <w:tc>
          <w:tcPr>
            <w:tcW w:w="78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2"/>
              </w:rPr>
              <w:t>Accumulated</w:t>
            </w:r>
          </w:p>
        </w:tc>
        <w:tc>
          <w:tcPr>
            <w:tcW w:w="14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10"/>
                <w:szCs w:val="10"/>
                <w:color w:val="auto"/>
              </w:rPr>
            </w:pPr>
          </w:p>
        </w:tc>
        <w:tc>
          <w:tcPr>
            <w:tcW w:w="90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94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7"/>
              </w:rPr>
              <w:t>Shareholders'</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share data)</w:t>
            </w: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87"/>
              </w:rPr>
              <w:t>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1"/>
                <w:szCs w:val="1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1"/>
                <w:szCs w:val="11"/>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01"/>
        </w:trPr>
        <w:tc>
          <w:tcPr>
            <w:tcW w:w="178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4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34,704</w:t>
            </w:r>
          </w:p>
        </w:tc>
        <w:tc>
          <w:tcPr>
            <w:tcW w:w="18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6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8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125,415</w:t>
            </w:r>
          </w:p>
        </w:tc>
        <w:tc>
          <w:tcPr>
            <w:tcW w:w="10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(3,582)</w:t>
            </w:r>
          </w:p>
        </w:tc>
        <w:tc>
          <w:tcPr>
            <w:tcW w:w="1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(1,877)</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119,959</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119,959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related to</w:t>
            </w:r>
          </w:p>
        </w:tc>
        <w:tc>
          <w:tcPr>
            <w:tcW w:w="4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888,04</w:t>
            </w: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business combination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2,922</w:t>
            </w:r>
          </w:p>
        </w:tc>
        <w:tc>
          <w:tcPr>
            <w:tcW w:w="10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2,923</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adjustment, net of tax</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(1,669)</w:t>
            </w:r>
          </w:p>
        </w:tc>
        <w:tc>
          <w:tcPr>
            <w:tcW w:w="140" w:type="dxa"/>
            <w:vAlign w:val="bottom"/>
            <w:tcBorders>
              <w:right w:val="single" w:sz="8" w:color="CFF0FC"/>
            </w:tcBorders>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90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(1,669)</w:t>
            </w:r>
          </w:p>
        </w:tc>
        <w:tc>
          <w:tcPr>
            <w:tcW w:w="12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(1,669)</w:t>
            </w:r>
          </w:p>
        </w:tc>
        <w:tc>
          <w:tcPr>
            <w:tcW w:w="0" w:type="dxa"/>
            <w:vAlign w:val="bottom"/>
          </w:tcPr>
          <w:p>
            <w:pPr>
              <w:spacing w:after="0"/>
              <w:rPr>
                <w:sz w:val="1"/>
                <w:szCs w:val="1"/>
                <w:color w:val="auto"/>
              </w:rPr>
            </w:pPr>
          </w:p>
        </w:tc>
      </w:tr>
      <w:tr>
        <w:trPr>
          <w:trHeight w:val="101"/>
        </w:trPr>
        <w:tc>
          <w:tcPr>
            <w:tcW w:w="1780" w:type="dxa"/>
            <w:vAlign w:val="bottom"/>
            <w:tcBorders>
              <w:top w:val="single" w:sz="8" w:color="CFF0FC"/>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BALANCE, March 31, 2025</w:t>
            </w:r>
          </w:p>
        </w:tc>
        <w:tc>
          <w:tcPr>
            <w:tcW w:w="4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35,592</w:t>
            </w:r>
          </w:p>
        </w:tc>
        <w:tc>
          <w:tcPr>
            <w:tcW w:w="18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128,878</w:t>
            </w:r>
          </w:p>
        </w:tc>
        <w:tc>
          <w:tcPr>
            <w:tcW w:w="10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(5,251)</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(935)</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122,696</w:t>
            </w:r>
          </w:p>
        </w:tc>
        <w:tc>
          <w:tcPr>
            <w:tcW w:w="20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78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Stock-based compensation</w:t>
            </w:r>
          </w:p>
        </w:tc>
        <w:tc>
          <w:tcPr>
            <w:tcW w:w="4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60" w:type="dxa"/>
            <w:vAlign w:val="bottom"/>
            <w:gridSpan w:val="2"/>
            <w:shd w:val="clear" w:color="auto" w:fill="CFF0FC"/>
          </w:tcPr>
          <w:p>
            <w:pPr>
              <w:jc w:val="right"/>
              <w:ind w:right="10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642</w:t>
            </w:r>
          </w:p>
        </w:tc>
        <w:tc>
          <w:tcPr>
            <w:tcW w:w="100" w:type="dxa"/>
            <w:vAlign w:val="bottom"/>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780" w:type="dxa"/>
            <w:vAlign w:val="bottom"/>
            <w:gridSpan w:val="2"/>
            <w:shd w:val="clear" w:color="auto" w:fill="CFF0FC"/>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800" w:type="dxa"/>
            <w:vAlign w:val="bottom"/>
            <w:gridSpan w:val="2"/>
            <w:shd w:val="clear" w:color="auto" w:fill="CFF0FC"/>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7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642</w:t>
            </w: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gridSpan w:val="2"/>
            <w:shd w:val="clear" w:color="auto" w:fill="CFF0FC"/>
          </w:tcPr>
          <w:p>
            <w:pPr>
              <w:jc w:val="right"/>
              <w:ind w:right="200"/>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642</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Purchase of treasury stock</w:t>
            </w: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202,611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(608)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(608)</w:t>
            </w:r>
          </w:p>
        </w:tc>
        <w:tc>
          <w:tcPr>
            <w:tcW w:w="12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(608)</w:t>
            </w:r>
          </w:p>
        </w:tc>
        <w:tc>
          <w:tcPr>
            <w:tcW w:w="0" w:type="dxa"/>
            <w:vAlign w:val="bottom"/>
          </w:tcPr>
          <w:p>
            <w:pPr>
              <w:spacing w:after="0"/>
              <w:rPr>
                <w:sz w:val="1"/>
                <w:szCs w:val="1"/>
                <w:color w:val="auto"/>
              </w:rPr>
            </w:pPr>
          </w:p>
        </w:tc>
      </w:tr>
      <w:tr>
        <w:trPr>
          <w:trHeight w:val="108"/>
        </w:trPr>
        <w:tc>
          <w:tcPr>
            <w:tcW w:w="17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adjustment, net of tax</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2,199</w:t>
            </w:r>
          </w:p>
        </w:tc>
        <w:tc>
          <w:tcPr>
            <w:tcW w:w="1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2,199</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Shares issued due to vesting of</w:t>
            </w: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restricted stock units</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68,560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7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(2,406)</w:t>
            </w:r>
          </w:p>
        </w:tc>
        <w:tc>
          <w:tcPr>
            <w:tcW w:w="140" w:type="dxa"/>
            <w:vAlign w:val="bottom"/>
            <w:tcBorders>
              <w:right w:val="single" w:sz="8" w:color="CFF0FC"/>
            </w:tcBorders>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90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(2,406)</w:t>
            </w:r>
          </w:p>
        </w:tc>
        <w:tc>
          <w:tcPr>
            <w:tcW w:w="12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(2,406)</w:t>
            </w:r>
          </w:p>
        </w:tc>
        <w:tc>
          <w:tcPr>
            <w:tcW w:w="0" w:type="dxa"/>
            <w:vAlign w:val="bottom"/>
          </w:tcPr>
          <w:p>
            <w:pPr>
              <w:spacing w:after="0"/>
              <w:rPr>
                <w:sz w:val="1"/>
                <w:szCs w:val="1"/>
                <w:color w:val="auto"/>
              </w:rPr>
            </w:pPr>
          </w:p>
        </w:tc>
      </w:tr>
      <w:tr>
        <w:trPr>
          <w:trHeight w:val="101"/>
        </w:trPr>
        <w:tc>
          <w:tcPr>
            <w:tcW w:w="1780" w:type="dxa"/>
            <w:vAlign w:val="bottom"/>
            <w:tcBorders>
              <w:top w:val="single" w:sz="8" w:color="CFF0FC"/>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BALANCE, June 30, 2025</w:t>
            </w:r>
          </w:p>
        </w:tc>
        <w:tc>
          <w:tcPr>
            <w:tcW w:w="4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35,661</w:t>
            </w:r>
          </w:p>
        </w:tc>
        <w:tc>
          <w:tcPr>
            <w:tcW w:w="18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202,611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(608 )</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129,520</w:t>
            </w:r>
          </w:p>
        </w:tc>
        <w:tc>
          <w:tcPr>
            <w:tcW w:w="10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(7,656)</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w:t>
            </w: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122,523</w:t>
            </w:r>
          </w:p>
        </w:tc>
        <w:tc>
          <w:tcPr>
            <w:tcW w:w="20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122,524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78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Stock-based compensation</w:t>
            </w:r>
          </w:p>
        </w:tc>
        <w:tc>
          <w:tcPr>
            <w:tcW w:w="4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60" w:type="dxa"/>
            <w:vAlign w:val="bottom"/>
            <w:gridSpan w:val="2"/>
            <w:shd w:val="clear" w:color="auto" w:fill="CFF0FC"/>
          </w:tcPr>
          <w:p>
            <w:pPr>
              <w:jc w:val="right"/>
              <w:ind w:right="10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651</w:t>
            </w:r>
          </w:p>
        </w:tc>
        <w:tc>
          <w:tcPr>
            <w:tcW w:w="100" w:type="dxa"/>
            <w:vAlign w:val="bottom"/>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780" w:type="dxa"/>
            <w:vAlign w:val="bottom"/>
            <w:gridSpan w:val="2"/>
            <w:shd w:val="clear" w:color="auto" w:fill="CFF0FC"/>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800" w:type="dxa"/>
            <w:vAlign w:val="bottom"/>
            <w:gridSpan w:val="2"/>
            <w:shd w:val="clear" w:color="auto" w:fill="CFF0FC"/>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7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651</w:t>
            </w: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gridSpan w:val="2"/>
            <w:shd w:val="clear" w:color="auto" w:fill="CFF0FC"/>
          </w:tcPr>
          <w:p>
            <w:pPr>
              <w:jc w:val="right"/>
              <w:ind w:right="200"/>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651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Forfeiture of restricted stock units</w:t>
            </w: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16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21"/>
        </w:trPr>
        <w:tc>
          <w:tcPr>
            <w:tcW w:w="17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Purchase of treasury stock</w:t>
            </w: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259,908</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(544)</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90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(544)</w:t>
            </w:r>
          </w:p>
        </w:tc>
        <w:tc>
          <w:tcPr>
            <w:tcW w:w="12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(544)</w:t>
            </w:r>
          </w:p>
        </w:tc>
        <w:tc>
          <w:tcPr>
            <w:tcW w:w="0" w:type="dxa"/>
            <w:vAlign w:val="bottom"/>
          </w:tcPr>
          <w:p>
            <w:pPr>
              <w:spacing w:after="0"/>
              <w:rPr>
                <w:sz w:val="1"/>
                <w:szCs w:val="1"/>
                <w:color w:val="auto"/>
              </w:rPr>
            </w:pPr>
          </w:p>
        </w:tc>
      </w:tr>
      <w:tr>
        <w:trPr>
          <w:trHeight w:val="108"/>
        </w:trPr>
        <w:tc>
          <w:tcPr>
            <w:tcW w:w="17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adjustment, net of tax</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(605)</w:t>
            </w:r>
          </w:p>
        </w:tc>
        <w:tc>
          <w:tcPr>
            <w:tcW w:w="14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(605)</w:t>
            </w:r>
          </w:p>
        </w:tc>
        <w:tc>
          <w:tcPr>
            <w:tcW w:w="12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(605)</w:t>
            </w:r>
          </w:p>
        </w:tc>
        <w:tc>
          <w:tcPr>
            <w:tcW w:w="0" w:type="dxa"/>
            <w:vAlign w:val="bottom"/>
          </w:tcPr>
          <w:p>
            <w:pPr>
              <w:spacing w:after="0"/>
              <w:rPr>
                <w:sz w:val="1"/>
                <w:szCs w:val="1"/>
                <w:color w:val="auto"/>
              </w:rPr>
            </w:pPr>
          </w:p>
        </w:tc>
      </w:tr>
      <w:tr>
        <w:trPr>
          <w:trHeight w:val="108"/>
        </w:trPr>
        <w:tc>
          <w:tcPr>
            <w:tcW w:w="17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Initial recognition of non-controlling</w:t>
            </w:r>
          </w:p>
        </w:tc>
        <w:tc>
          <w:tcPr>
            <w:tcW w:w="4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interest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(903)</w:t>
            </w:r>
          </w:p>
        </w:tc>
        <w:tc>
          <w:tcPr>
            <w:tcW w:w="14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(903)</w:t>
            </w:r>
          </w:p>
        </w:tc>
        <w:tc>
          <w:tcPr>
            <w:tcW w:w="1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(904)</w:t>
            </w:r>
          </w:p>
        </w:tc>
        <w:tc>
          <w:tcPr>
            <w:tcW w:w="0" w:type="dxa"/>
            <w:vAlign w:val="bottom"/>
          </w:tcPr>
          <w:p>
            <w:pPr>
              <w:spacing w:after="0"/>
              <w:rPr>
                <w:sz w:val="1"/>
                <w:szCs w:val="1"/>
                <w:color w:val="auto"/>
              </w:rPr>
            </w:pPr>
          </w:p>
        </w:tc>
      </w:tr>
      <w:tr>
        <w:trPr>
          <w:trHeight w:val="101"/>
        </w:trPr>
        <w:tc>
          <w:tcPr>
            <w:tcW w:w="178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BALANCE, September 30, 2025</w:t>
            </w:r>
          </w:p>
        </w:tc>
        <w:tc>
          <w:tcPr>
            <w:tcW w:w="4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35,661</w:t>
            </w:r>
          </w:p>
        </w:tc>
        <w:tc>
          <w:tcPr>
            <w:tcW w:w="18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6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8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7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gridSpan w:val="2"/>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462,519</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130,157</w:t>
            </w:r>
          </w:p>
        </w:tc>
        <w:tc>
          <w:tcPr>
            <w:tcW w:w="10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(8,559)</w:t>
            </w:r>
          </w:p>
        </w:tc>
        <w:tc>
          <w:tcPr>
            <w:tcW w:w="1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659</w:t>
            </w:r>
          </w:p>
        </w:tc>
        <w:tc>
          <w:tcPr>
            <w:tcW w:w="10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121,109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121,120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-1722120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-1722120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-1722120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-1722120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-1722120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-1722120</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-1722120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-1722120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-1722120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-1722120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-993775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-993775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-993775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-993775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-993775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-993775</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-993775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-993775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-993775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-993775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-25400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-7620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-25400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-7620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-25400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-7620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-25400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-7620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-25400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-25400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-7620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-25400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-7620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-25400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-7620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-25400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-7620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82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0"/>
        </w:trPr>
        <w:tc>
          <w:tcPr>
            <w:tcW w:w="2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ulated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Shareholders'</w:t>
            </w:r>
          </w:p>
        </w:tc>
      </w:tr>
      <w:tr>
        <w:trPr>
          <w:trHeight w:val="218"/>
        </w:trPr>
        <w:tc>
          <w:tcPr>
            <w:tcW w:w="28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share data)</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82"/>
        </w:trPr>
        <w:tc>
          <w:tcPr>
            <w:tcW w:w="2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29,768,56</w:t>
            </w:r>
          </w:p>
        </w:tc>
        <w:tc>
          <w:tcPr>
            <w:tcW w:w="18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(6,30</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5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6"/>
        </w:trPr>
        <w:tc>
          <w:tcPr>
            <w:tcW w:w="28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95,218</w:t>
            </w:r>
          </w:p>
        </w:tc>
        <w:tc>
          <w:tcPr>
            <w:tcW w:w="2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5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88,690</w:t>
            </w:r>
          </w:p>
        </w:tc>
        <w:tc>
          <w:tcPr>
            <w:tcW w:w="100" w:type="dxa"/>
            <w:vAlign w:val="bottom"/>
            <w:shd w:val="clear" w:color="auto" w:fill="CFF0FC"/>
          </w:tcPr>
          <w:p>
            <w:pPr>
              <w:spacing w:after="0"/>
              <w:rPr>
                <w:sz w:val="18"/>
                <w:szCs w:val="18"/>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7"/>
                <w:szCs w:val="17"/>
                <w:color w:val="auto"/>
              </w:rPr>
            </w:pPr>
          </w:p>
        </w:tc>
      </w:tr>
      <w:tr>
        <w:trPr>
          <w:trHeight w:val="18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of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(511)</w:t>
            </w: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Pr>
          <w:p>
            <w:pPr>
              <w:spacing w:after="0"/>
              <w:rPr>
                <w:sz w:val="17"/>
                <w:szCs w:val="17"/>
                <w:color w:val="auto"/>
              </w:rPr>
            </w:pPr>
          </w:p>
        </w:tc>
      </w:tr>
      <w:tr>
        <w:trPr>
          <w:trHeight w:val="182"/>
        </w:trPr>
        <w:tc>
          <w:tcPr>
            <w:tcW w:w="2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March 31, 2024</w:t>
            </w: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29,768,56</w:t>
            </w:r>
          </w:p>
        </w:tc>
        <w:tc>
          <w:tcPr>
            <w:tcW w:w="18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(3,18</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5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53"/>
        </w:trPr>
        <w:tc>
          <w:tcPr>
            <w:tcW w:w="28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gridSpan w:val="2"/>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95,426</w:t>
            </w:r>
          </w:p>
        </w:tc>
        <w:tc>
          <w:tcPr>
            <w:tcW w:w="2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5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(736)</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91,513</w:t>
            </w:r>
          </w:p>
        </w:tc>
        <w:tc>
          <w:tcPr>
            <w:tcW w:w="100" w:type="dxa"/>
            <w:vAlign w:val="bottom"/>
            <w:shd w:val="clear" w:color="auto" w:fill="CFF0FC"/>
          </w:tcPr>
          <w:p>
            <w:pPr>
              <w:spacing w:after="0"/>
              <w:rPr>
                <w:sz w:val="22"/>
                <w:szCs w:val="22"/>
                <w:color w:val="auto"/>
              </w:rPr>
            </w:pPr>
          </w:p>
        </w:tc>
      </w:tr>
      <w:tr>
        <w:trPr>
          <w:trHeight w:val="186"/>
        </w:trPr>
        <w:tc>
          <w:tcPr>
            <w:tcW w:w="2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FF0FC"/>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Borders>
              <w:top w:val="single" w:sz="8" w:color="CFF0FC"/>
            </w:tcBorders>
          </w:tcPr>
          <w:p>
            <w:pPr>
              <w:spacing w:after="0"/>
              <w:rPr>
                <w:sz w:val="16"/>
                <w:szCs w:val="16"/>
                <w:color w:val="auto"/>
              </w:rPr>
            </w:pPr>
          </w:p>
        </w:tc>
      </w:tr>
      <w:tr>
        <w:trPr>
          <w:trHeight w:val="20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16,556</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due to vesting of restricted</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r>
      <w:tr>
        <w:trPr>
          <w:trHeight w:val="192"/>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of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FF0FC"/>
          </w:tcPr>
          <w:p>
            <w:pPr>
              <w:spacing w:after="0"/>
              <w:rPr>
                <w:sz w:val="18"/>
                <w:szCs w:val="18"/>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7"/>
                <w:szCs w:val="17"/>
                <w:color w:val="auto"/>
              </w:rPr>
            </w:pPr>
          </w:p>
        </w:tc>
      </w:tr>
      <w:tr>
        <w:trPr>
          <w:trHeight w:val="182"/>
        </w:trPr>
        <w:tc>
          <w:tcPr>
            <w:tcW w:w="2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June 30, 2024</w:t>
            </w: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29,802,56</w:t>
            </w:r>
          </w:p>
        </w:tc>
        <w:tc>
          <w:tcPr>
            <w:tcW w:w="18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(3,10</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5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53"/>
        </w:trPr>
        <w:tc>
          <w:tcPr>
            <w:tcW w:w="28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96,536</w:t>
            </w:r>
          </w:p>
        </w:tc>
        <w:tc>
          <w:tcPr>
            <w:tcW w:w="2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5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(634)</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92,800</w:t>
            </w:r>
          </w:p>
        </w:tc>
        <w:tc>
          <w:tcPr>
            <w:tcW w:w="100" w:type="dxa"/>
            <w:vAlign w:val="bottom"/>
            <w:shd w:val="clear" w:color="auto" w:fill="CFF0FC"/>
          </w:tcPr>
          <w:p>
            <w:pPr>
              <w:spacing w:after="0"/>
              <w:rPr>
                <w:sz w:val="22"/>
                <w:szCs w:val="22"/>
                <w:color w:val="auto"/>
              </w:rPr>
            </w:pPr>
          </w:p>
        </w:tc>
      </w:tr>
      <w:tr>
        <w:trPr>
          <w:trHeight w:val="172"/>
        </w:trPr>
        <w:tc>
          <w:tcPr>
            <w:tcW w:w="2820" w:type="dxa"/>
            <w:vAlign w:val="bottom"/>
            <w:tcBorders>
              <w:top w:val="single" w:sz="8" w:color="CFF0FC"/>
            </w:tcBorders>
          </w:tcPr>
          <w:p>
            <w:pPr>
              <w:spacing w:after="0" w:line="172" w:lineRule="exact"/>
              <w:rPr>
                <w:sz w:val="20"/>
                <w:szCs w:val="20"/>
                <w:color w:val="auto"/>
              </w:rPr>
            </w:pPr>
            <w:r>
              <w:rPr>
                <w:rFonts w:ascii="Times New Roman" w:cs="Times New Roman" w:eastAsia="Times New Roman" w:hAnsi="Times New Roman"/>
                <w:sz w:val="16"/>
                <w:szCs w:val="16"/>
                <w:color w:val="auto"/>
              </w:rPr>
              <w:t>Issuance of Common Stock related to</w:t>
            </w: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21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business combination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4,845,132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27,714</w:t>
            </w:r>
          </w:p>
        </w:tc>
        <w:tc>
          <w:tcPr>
            <w:tcW w:w="100" w:type="dxa"/>
            <w:vAlign w:val="bottom"/>
          </w:tcPr>
          <w:p>
            <w:pPr>
              <w:spacing w:after="0"/>
              <w:rPr>
                <w:sz w:val="18"/>
                <w:szCs w:val="18"/>
                <w:color w:val="auto"/>
              </w:rPr>
            </w:pPr>
          </w:p>
        </w:tc>
      </w:tr>
      <w:tr>
        <w:trPr>
          <w:trHeight w:val="192"/>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Accelerated vesting of substitute stock</w:t>
            </w: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FF0FC"/>
          </w:tcPr>
          <w:p>
            <w:pPr>
              <w:spacing w:after="0"/>
              <w:rPr>
                <w:sz w:val="18"/>
                <w:szCs w:val="18"/>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7"/>
                <w:szCs w:val="17"/>
                <w:color w:val="auto"/>
              </w:rPr>
            </w:pPr>
          </w:p>
        </w:tc>
      </w:tr>
      <w:tr>
        <w:trPr>
          <w:trHeight w:val="18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of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shd w:val="clear" w:color="auto" w:fill="CFF0FC"/>
          </w:tcPr>
          <w:p>
            <w:pPr>
              <w:spacing w:after="0"/>
              <w:rPr>
                <w:sz w:val="18"/>
                <w:szCs w:val="18"/>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80" w:type="dxa"/>
            <w:vAlign w:val="bottom"/>
          </w:tcPr>
          <w:p>
            <w:pPr>
              <w:spacing w:after="0"/>
              <w:rPr>
                <w:sz w:val="17"/>
                <w:szCs w:val="17"/>
                <w:color w:val="auto"/>
              </w:rPr>
            </w:pPr>
          </w:p>
        </w:tc>
        <w:tc>
          <w:tcPr>
            <w:tcW w:w="5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17"/>
                <w:szCs w:val="17"/>
                <w:color w:val="auto"/>
              </w:rPr>
            </w:pPr>
          </w:p>
        </w:tc>
      </w:tr>
      <w:tr>
        <w:trPr>
          <w:trHeight w:val="182"/>
        </w:trPr>
        <w:tc>
          <w:tcPr>
            <w:tcW w:w="2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34,647,69</w:t>
            </w:r>
          </w:p>
        </w:tc>
        <w:tc>
          <w:tcPr>
            <w:tcW w:w="18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5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3"/>
        </w:trPr>
        <w:tc>
          <w:tcPr>
            <w:tcW w:w="28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gridSpan w:val="2"/>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124,896</w:t>
            </w:r>
          </w:p>
        </w:tc>
        <w:tc>
          <w:tcPr>
            <w:tcW w:w="2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5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123,190</w:t>
            </w:r>
          </w:p>
        </w:tc>
        <w:tc>
          <w:tcPr>
            <w:tcW w:w="100" w:type="dxa"/>
            <w:vAlign w:val="bottom"/>
            <w:shd w:val="clear" w:color="auto" w:fill="CFF0FC"/>
          </w:tcPr>
          <w:p>
            <w:pPr>
              <w:spacing w:after="0"/>
              <w:rPr>
                <w:sz w:val="20"/>
                <w:szCs w:val="20"/>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3375660</wp:posOffset>
            </wp:positionH>
            <wp:positionV relativeFrom="page">
              <wp:posOffset>624840</wp:posOffset>
            </wp:positionV>
            <wp:extent cx="8509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090" cy="17145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-2536825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-2519680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-2536825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-2519680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-2536825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-2519680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-2536825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-2519680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-2536825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-2519680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-2536825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-2519680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-1345565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-1327785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-1345565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-1327785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-1345565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-1327785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-1345565</wp:posOffset>
            </wp:positionV>
            <wp:extent cx="596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-1327785</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-1345565</wp:posOffset>
            </wp:positionV>
            <wp:extent cx="59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-1327785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-1345565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-1327785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-24765</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-7620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-24765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-7620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3" w:right="899" w:bottom="1440" w:gutter="0" w:footer="0" w:header="0"/>
        </w:sectPr>
      </w:pPr>
    </w:p>
    <w:bookmarkStart w:id="8" w:name="page9"/>
    <w:bookmarkEnd w:id="8"/>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DRILLING TOOLS INTERNATIONAL CORPORATION UNAUDITED CONDENSED CONSOLIDATED STATEMENTS OF CASH FLOWS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80" w:type="dxa"/>
            <w:vAlign w:val="bottom"/>
            <w:gridSpan w:val="6"/>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198"/>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(loss)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(4,978)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from operating activities:</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Unrealized loss on currency translation</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Write off of excess and obsolete inventory</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Write off of excess and obsolete property and equipment</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Provision (recovery) for credit losses</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Deferred tax expense</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(893)</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(gain) on sale of property</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Unrealized loss (gain) on equity securities</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Realized loss on equity securities</w:t>
            </w:r>
          </w:p>
        </w:tc>
        <w:tc>
          <w:tcPr>
            <w:tcW w:w="26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Gain on sale of lost-in-hole equipment</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(8,380)</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Interest income on related party note receivable</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Goodwill impairment</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(3,854)</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Net cash flows from operating activities</w:t>
            </w: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14,588</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9,723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of a business, net of cash acquired</w:t>
            </w:r>
          </w:p>
        </w:tc>
        <w:tc>
          <w:tcPr>
            <w:tcW w:w="26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(38,670)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Proceeds from sale of equity securities</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26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Proceeds from sale of property, plant, and equipment</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26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Proceeds from sale of lost-in-hole equipment</w:t>
            </w: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10,408</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10,895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flows from investing activities</w:t>
            </w:r>
          </w:p>
        </w:tc>
        <w:tc>
          <w:tcPr>
            <w:tcW w:w="26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(46,132)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from non-controlling interest into VIE</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Payment of deferred financing costs</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6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Proceeds from term loan</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 of term loan</w:t>
            </w:r>
          </w:p>
        </w:tc>
        <w:tc>
          <w:tcPr>
            <w:tcW w:w="26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Repayment of promissory note</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revolving line of credit</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Repayment on revolving line of credit</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(40,894)</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(8,898)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flows from financing activities</w:t>
            </w:r>
          </w:p>
        </w:tc>
        <w:tc>
          <w:tcPr>
            <w:tcW w:w="26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Effect of changes in foreign exchange rates</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26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at beginning of period</w:t>
            </w: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6,185</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6,003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at end of period</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4,373</w:t>
            </w:r>
          </w:p>
        </w:tc>
        <w:tc>
          <w:tcPr>
            <w:tcW w:w="16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-3042285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-3042285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-1996440</wp:posOffset>
            </wp:positionV>
            <wp:extent cx="59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-1996440</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-693420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-693420</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-161925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-161925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981"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("DTIC" or the "Company"),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15, 2024 (the “CTG Acquisition Date”), the Company entered into a Share Purchase Agreement with Casing Technologies Group Limited (“CTG”), certain shareholders of CTG, and a representative of CTG. Pursuant to the terms of the Share Purchase Agreement, the Company acquired one hundred percent (100%) of the shares of CTG (the “CTG Acquisition”), which wholly owns Deep Casing Tools Limited (“Deep Casing”), an energy technology development company, for $20.9 million. For further details regarding the acquisition, refer to Note 3 -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6, 2024, the Company entered into an agreement and plan of merger by and among the Company, Superior Drilling Products, Inc., a Utah corporation (“SDPI”), DTI Merger Sub I, Inc., a Delaware corporation and directly wholly owned subsidiary of the Company (“Merger Sub I”), and Merger DTI Merger Sub II, LLC, a Delaware limited liability company and wholly owned subsidiary of the Company (“Merger Sub II”), pursuant to which Merger Sub I merged with and into SDPI (the “First Merger”), with SDPI surviving as a wholly owned subsidiary of DTI and upon the effective time of the First Merger (the “First Effective Time”), SDPI, as the surviving corporation of the First Merger, merged with and into Merger Sub II (the “Second Merger,” and together with the First Merger, the “Merger”), with Merger Sub II surviving as a wholly owned subsidiary of the Company. In accordance with the terms of the Merger Agreement, the closing of the Merger occurred on July 31, 2024 (the “SDPI Closing Date” or “SDPI Closing”) for total consideration of $47.9 million. For further details regarding the acquisition, refer to Note 3 -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September 30, 2024, the Company’s wholly owned subsidiary, Drilling Tools International, Inc., entered into a Share Purchase Agreement with European Drilling Projects B.V. (“EDP”), and the sole shareholder of EDP, to acquire 100% of the shares of EDP. The closing of the acquisition occurred on October 3, 2024 for total consideration of $13.9 million. For further details regarding the acquisition, refer to Note 3 – </w:t>
      </w:r>
      <w:r>
        <w:rPr>
          <w:rFonts w:ascii="Times New Roman" w:cs="Times New Roman" w:eastAsia="Times New Roman" w:hAnsi="Times New Roman"/>
          <w:sz w:val="18"/>
          <w:szCs w:val="18"/>
          <w:i w:val="1"/>
          <w:iCs w:val="1"/>
          <w:color w:val="auto"/>
        </w:rPr>
        <w:t>Business Combinations.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January 2, 2025, the Company’s wholly owned subsidiary, Drilling Tools International, Inc., completed the acquisition of 100% of the shares of Titan Tools Group Limited (“Titan”) for a total consideration of $10.8 million. For further details regarding the acquisition, refer to Note 3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United States (“U.S.”) operations have locations in Texas, Louisiana, Oklahoma, Pennsylvania, North Dakota, New Mexico, Utah, and Wyoming. The Company’s international operations are located in Canada, the United Kingdom, Europe, the Middle East, and Asia-Pacific.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unaudited condensed consolidated financial statements are to the FASB Accounting Standards Codification (“ASC”) and Accounting Standards Update (“ASU”).</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September 30, 2025, and its results of operations for the three and nine months ended September 30, 2025 and 2024, and cash flows for the nine months ended September 30, 2025 and 2024. The condensed consolidated balance sheet at December 31, 2024, was derived from the audited annual financial statements but does not contain all of the footnote disclosures from the annual financial statements.</w:t>
      </w:r>
    </w:p>
    <w:p>
      <w:pPr>
        <w:spacing w:after="0" w:line="183"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changed the presentation of its interim condensed consolidated statements of comprehensive income (loss) from a two-step format to a one-step format. Under the previous two-step format,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right="20"/>
        <w:spacing w:after="0" w:line="258" w:lineRule="auto"/>
        <w:rPr>
          <w:sz w:val="20"/>
          <w:szCs w:val="20"/>
          <w:color w:val="auto"/>
        </w:rPr>
      </w:pPr>
      <w:r>
        <w:rPr>
          <w:rFonts w:ascii="Times New Roman" w:cs="Times New Roman" w:eastAsia="Times New Roman" w:hAnsi="Times New Roman"/>
          <w:sz w:val="18"/>
          <w:szCs w:val="18"/>
          <w:color w:val="auto"/>
        </w:rPr>
        <w:t>operating income was presented as a subtotal. Under the new one-step format, all revenues are presented, followed by all expenses and losses, including income taxes, without the presentation of intermediate subtotals such as operating income. This change was made to simplify the presentation and enhance comparability with peer companies that use a similar format. The prior period’s income statement has been revised to conform to the current year’s presentation. This change in format does not affect the recognition, measurement, or classification of individual line items and has no impact on net income or other key financial metrics.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and Israel-Hamas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All intercompany accounts and transactions have been eliminated on consolidation. Further, the basis of consolidation incorporates the financial statements of our foreign entities, Casing Technologies Group Limited and Titan Tools Services, which operate under UK Generally Accepted Accounting Principles ("UK GAAP"). Those financial statements are translated into U.S. GAAP for consolidation purposes. The translation process adheres to established accounting standards and guidelines to ensure consistency and comparability across our consolidated financial statements. This approach enables us to accurately reflect the financial position, results of operations, and cash flows of our consolidated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condensed consolidated statements of comprehensive income (loss) have been translated at the average rates during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other operating and non-operating expenses, net in the accompanying unaudited condensed consolidated statements of comprehensive income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with these valuations.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Tool Rental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Tool rental services are accounted for under Topic 842.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 do not include material amounts of variable payments. Owned tool rentals represent revenue from renting tools that the Company owns. The Company does not generally provide an option for the lessee to purchase the rented equipment at the end of the lease.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 The Company accrues all known fixed lease payments for rental contracts that also include variable payments, such as those based on usage or per well, when such variable amounts are not reasonably determinable at period end.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Sales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upon the customer’s notification to the Company of the occurrence of one of these noted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for work completed but not billed. Contract assets were recorded in accounts receivable, net in the accompanying unaudited condensed consolidated balance sheets. The changes in contract assets for the year ended December 31, 2024 and nine months ended September 30, 2025 were as follows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7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from contract assets</w:t>
            </w: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55,937</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Conversion of contract assets into accounts receivable</w:t>
            </w:r>
          </w:p>
        </w:tc>
        <w:tc>
          <w:tcPr>
            <w:tcW w:w="2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(54,522)</w:t>
            </w:r>
          </w:p>
        </w:tc>
      </w:tr>
      <w:tr>
        <w:trPr>
          <w:trHeight w:val="209"/>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2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Borders>
              <w:top w:val="single" w:sz="8" w:color="CFF0FC"/>
            </w:tcBorders>
          </w:tcPr>
          <w:p>
            <w:pPr>
              <w:spacing w:after="0"/>
              <w:rPr>
                <w:sz w:val="18"/>
                <w:szCs w:val="18"/>
                <w:color w:val="auto"/>
              </w:rPr>
            </w:pPr>
          </w:p>
        </w:tc>
      </w:tr>
      <w:tr>
        <w:trPr>
          <w:trHeight w:val="216"/>
        </w:trPr>
        <w:tc>
          <w:tcPr>
            <w:tcW w:w="6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Revenue recognized from contract assets</w:t>
            </w:r>
          </w:p>
        </w:tc>
        <w:tc>
          <w:tcPr>
            <w:tcW w:w="2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64,067</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contract assets into accounts receivable</w:t>
            </w: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(63,140)</w:t>
            </w:r>
          </w:p>
        </w:tc>
      </w:tr>
      <w:tr>
        <w:trPr>
          <w:trHeight w:val="23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2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-591185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2603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September 30, 2025, December 31, 2024 and December 31, 2023, the Company did not have any contract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September 30, 2025 and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amounts billed to customers as well as contract assets for work complete but not yet billed. These receivables are generally due within 30 to 60 days of the period in which the corresponding sales or rentals occur and do not bear interest. They are recorded at net realizable value less an allowance for credit losses and are classified as accounts receivable, net on the unaudited condensed consolidated balance sheets.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allowance for credit losses for the year ended December 31, 2024 and the nine months ended September 30, 2025 were as follows (in thousands):</w:t>
      </w:r>
    </w:p>
    <w:p>
      <w:pPr>
        <w:sectPr>
          <w:pgSz w:w="11900" w:h="16838" w:orient="portrait"/>
          <w:cols w:equalWidth="0" w:num="1">
            <w:col w:w="11240"/>
          </w:cols>
          <w:pgMar w:left="320" w:top="985" w:right="339" w:bottom="1440" w:gutter="0" w:footer="0" w:header="0"/>
        </w:sectPr>
      </w:pP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Provisions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7"/>
          <w:szCs w:val="17"/>
          <w:color w:val="auto"/>
        </w:rPr>
        <w:t>Utilization of allowances for credit losses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Provisions for expected credit losses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Foreign Currency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7"/>
          <w:szCs w:val="17"/>
          <w:color w:val="auto"/>
        </w:rPr>
        <w:t>Utilization of allowances for credit losses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September 30, 2025</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182" w:hanging="1182"/>
        <w:spacing w:after="0"/>
        <w:tabs>
          <w:tab w:leader="none" w:pos="11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(1,458)</w:t>
      </w:r>
    </w:p>
    <w:p>
      <w:pPr>
        <w:spacing w:after="0" w:line="27" w:lineRule="exact"/>
        <w:rPr>
          <w:rFonts w:ascii="Times New Roman" w:cs="Times New Roman" w:eastAsia="Times New Roman" w:hAnsi="Times New Roman"/>
          <w:sz w:val="18"/>
          <w:szCs w:val="18"/>
          <w:color w:val="auto"/>
        </w:rPr>
      </w:pPr>
    </w:p>
    <w:p>
      <w:pPr>
        <w:ind w:left="13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(439)</w:t>
      </w:r>
    </w:p>
    <w:p>
      <w:pPr>
        <w:spacing w:after="0" w:line="9" w:lineRule="exact"/>
        <w:rPr>
          <w:rFonts w:ascii="Times New Roman" w:cs="Times New Roman" w:eastAsia="Times New Roman" w:hAnsi="Times New Roman"/>
          <w:sz w:val="18"/>
          <w:szCs w:val="18"/>
          <w:color w:val="auto"/>
        </w:rPr>
      </w:pPr>
    </w:p>
    <w:p>
      <w:pPr>
        <w:ind w:left="13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w:t>
      </w:r>
    </w:p>
    <w:p>
      <w:pPr>
        <w:spacing w:after="0" w:line="9" w:lineRule="exact"/>
        <w:rPr>
          <w:sz w:val="20"/>
          <w:szCs w:val="20"/>
          <w:color w:val="auto"/>
        </w:rPr>
      </w:pPr>
    </w:p>
    <w:p>
      <w:pPr>
        <w:ind w:left="1182" w:hanging="1182"/>
        <w:spacing w:after="0"/>
        <w:tabs>
          <w:tab w:leader="none" w:pos="11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(1,690)</w:t>
      </w:r>
    </w:p>
    <w:p>
      <w:pPr>
        <w:spacing w:after="0" w:line="22" w:lineRule="exact"/>
        <w:rPr>
          <w:rFonts w:ascii="Times New Roman" w:cs="Times New Roman" w:eastAsia="Times New Roman" w:hAnsi="Times New Roman"/>
          <w:sz w:val="18"/>
          <w:szCs w:val="18"/>
          <w:color w:val="auto"/>
        </w:rPr>
      </w:pPr>
    </w:p>
    <w:p>
      <w:pPr>
        <w:ind w:left="13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(638)</w:t>
      </w:r>
    </w:p>
    <w:p>
      <w:pPr>
        <w:spacing w:after="0" w:line="9" w:lineRule="exact"/>
        <w:rPr>
          <w:rFonts w:ascii="Times New Roman" w:cs="Times New Roman" w:eastAsia="Times New Roman" w:hAnsi="Times New Roman"/>
          <w:sz w:val="18"/>
          <w:szCs w:val="18"/>
          <w:color w:val="auto"/>
        </w:rPr>
      </w:pPr>
    </w:p>
    <w:p>
      <w:pPr>
        <w:ind w:left="13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w:t>
      </w:r>
    </w:p>
    <w:p>
      <w:pPr>
        <w:spacing w:after="0" w:line="9" w:lineRule="exact"/>
        <w:rPr>
          <w:rFonts w:ascii="Times New Roman" w:cs="Times New Roman" w:eastAsia="Times New Roman" w:hAnsi="Times New Roman"/>
          <w:sz w:val="18"/>
          <w:szCs w:val="18"/>
          <w:color w:val="auto"/>
        </w:rPr>
      </w:pPr>
    </w:p>
    <w:p>
      <w:pPr>
        <w:ind w:left="15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182" w:hanging="1182"/>
        <w:spacing w:after="0"/>
        <w:tabs>
          <w:tab w:leader="none" w:pos="11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5410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54100" cy="25400"/>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8198" w:space="720"/>
            <w:col w:w="2322"/>
          </w:cols>
          <w:pgMar w:left="320" w:top="985" w:right="339" w:bottom="1440" w:gutter="0" w:footer="0" w:header="0"/>
          <w:type w:val="continuous"/>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generated approximately 27% and 25%, respectively, of its revenue from 2 customers. During the nine months ended September 30, 2025 and 2024, the Company generated approximately 27% and 27%, respectively, of its revenue from two customers. Amounts due from these customers included in accounts receivable at September 30, 2025 and December 31, 2024 were approximately $4.4 million and $5.4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the Company did not have any vendors that represented over 10% of total purchases.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during the three and nine months ended September 30, 2024, the Company had 2 vendors that made up 25% of total purchases.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using the specific identification method or the first-in-first-out ("FIFO") method, depending on the type of inventory. Inventory that is obsolete or in excess of forecasted usage is written down to its net realizable value based on assumptions regarding future demand and market conditions. Inventory write-downs are charged to cost of rental revenue and cost of product sale revenue within the operating costs section of the unaudited condensed consolidated statements of comprehensive income (loss) and establish a new cost basis for the inventory. Inventory includes raw material, work in progress, and finished goods.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acquired as part of a business acquisition is recorded at acquisition date fair value with subsequent additions at cost.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expense when incurred. When property, plant and equipment is retired or otherwise disposed of, the related cost and accumulated depreciation are removed from the accounts and any resulting gain or loss is included in loss (gain) on asset disposal.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2025 and 2024, management determined that there were no triggering events necessitating impairment testing of property, plant and equipment, net. The segment realignment that occurred on January 1, 2025, did trigger a goodwill impairment test as required. Please refer to Note 7 -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for discussion around segment realignment and the Company's impairment analysis during the nine months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unaudited condensed consolidated balance sheets. The Company recognizes lease expense for its operating leases on a straight-line basis over the term of the lease.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the economic benefits from the use of the identified asset throughout the period of use and (iii) the customer directs the use of the identified assets throughout the period of use.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“Tool rental” on the unaudited condensed consolidated statements of comprehensive income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paid over the fair value of the net assets of acquired businesses. We evaluate Goodwill at least annually for impairment. Goodwill is considered impaired if the carrying amount of the reporting unit exceeds its estimated fair value. To align with our change in reporting segments and reporting units referenced in Note 7 –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the Company has changed its annual goodwill impairment assessment date from December 31 to October 31 starting in 2025. This change will not have a material impact on the annual assessment.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 Refer to Note 7 -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for discussion around segment realignment and the Company's impairment analysis during the nine months ended September 30, 2025.</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 inputs are unadjusted quoted market prices for identical assets or liabilities in active markets.</w:t>
      </w:r>
    </w:p>
    <w:p>
      <w:pPr>
        <w:spacing w:after="0" w:line="225"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 inputs are quoted prices for identical assets or liabilities in markets that are not active, quoted market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in active markets and other observable inputs directly or indirectly related to the assets or liabilities being measured.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 inputs are unobservable and significant to the fair value measurement.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 In determining the appropriate levels, the Company performs a detailed analysis of the assets and liabilities that are measured and reported on a fair value basis. The valuation of assets and liabilities recognized in business combinations are considered level 3 fair value measurements on the closing date of the acquisition. These assets and liabilities are not remeasured at each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September 30, 2025 and December 31, 2024, the Company did not have </w:t>
      </w:r>
      <w:r>
        <w:rPr>
          <w:rFonts w:ascii="Times New Roman" w:cs="Times New Roman" w:eastAsia="Times New Roman" w:hAnsi="Times New Roman"/>
          <w:sz w:val="18"/>
          <w:szCs w:val="18"/>
          <w:b w:val="1"/>
          <w:bCs w:val="1"/>
          <w:color w:val="auto"/>
        </w:rPr>
        <w:t>any</w:t>
      </w:r>
      <w:r>
        <w:rPr>
          <w:rFonts w:ascii="Times New Roman" w:cs="Times New Roman" w:eastAsia="Times New Roman" w:hAnsi="Times New Roman"/>
          <w:sz w:val="18"/>
          <w:szCs w:val="18"/>
          <w:color w:val="auto"/>
        </w:rPr>
        <w:t xml:space="preserve"> Level 1, 2 or 3 assets or liabilities measured on a recurring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and accounts payable. The carrying amount of such instruments approximates fair value due to their short-term nature. Additionally, the Company carries long-term debt at its amortized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all operating costs associated with its product sales and tool rental revenue streams in cost of product sale revenue and cost of tool rental revenue, respectively, in the unaudited condensed consolidated statements of comprehensive income (loss). All indirect operating costs, including labor, freight, contract labor and others, are included in selling, general, and administrative expense in the unaudited condensed consolidated statements of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(“ASC 718”).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 Merton option-pricing model (“Black-Scholes model”) and recognizes the cost over the period during which an employee is required to provide service in exchange for the award, generally the vesting period, with forfeitures accounted for as they occur.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restricted stock units, the grant date fair value is determined based on quoted market price for the Company's common stock as of the grant date and the grant date fair value of the awards are recognized as compensation cost as awards vest over the requisite service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cost method to record treasury stock purchases whereby the entire cost of the acquired shares of our common stock is recorded as treasury stock (at cost). When we subsequently reissue these shares, proceeds in excess of cost upon the issuance 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treasury shares are credited to additional paid-in-capital, while any deficiency is charged to retained earnings.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the Company holds an equity method investment in a Variable Interest Entity ("VIE") and is determined to be the primary beneficiary, the VIE is consolidated in accordance with ASC 810, Consolidation. Upon consolidation, any equity interests in the VIE not held by the Company are presented as non-controlling interests in the unaudited condensed consolidated financial statements. The non-controlling interest represents the portion of the VIE’s net assets and net income attributable to other equity holders. The Company reassesses its status as the primary beneficiary of the VIE on an ongoing basis and adjusts the non-controlling interest accordingly. Changes in ownership interests that do not result in a loss of control are accounted for as equity transactions.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(loss) by the weighted-average number of common shares outstanding for the period. Diluted earnings are computed by dividing the diluted net income (loss) by the weighted-average number of common shares outstanding for the period, including potential dilutive common stock. For the purposes of this calculation, outstanding stock options are considered potential dilutive common stock and are excluded from the computation of net loss per share if their effect is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unaudited condensed consolidated financial statements and consist of taxes currently due plus deferred taxes. Deferred tax assets and liabilities are recognized for the future tax consequences attributable to differences between the unaudited condensed consolidated financial statement carrying amounts of existing assets and liabilities and their respective tax bases.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state income taxes in various jurisdictions.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uncertain tax position is assessed using a two-step process. A determination is first made whether it is more likely than not that the income tax position will be sustained, based upon technical merits and upon examination by the taxing authorities. If the income tax position is expected to meet the more likely than not criteria, the benefit recorded in the unaudited condensed consolidated financial statements equals the largest amount that is greater than 50% likely to be realized upon its ultimate settlement. The Company has no uncertain tax positions at September 30, 2025 and December 31, 2024. The Company believes there are no tax positions taken or expected to be taken that would significantly increase or decrease unrecognized tax benefits within twelve months of the reporting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income tax related interest and penalties, if applicable, as a component of the provision for income tax expense. However, there were no amounts recognized relating to interest and penalties in the unaudited condensed consolidated statements of comprehensive income (loss) for the three and nine months ended September 30,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is the CODM. The Company’s CODM reviews financial information presented for each operating segment for the purposes of making operations decisions, allocating resources and evaluating financial performance.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2025, coinciding with the closing of the Company’s acquisition of Titan Tools Services Limited, the Company has realigned its operations to support its strategic initiatives to expand its global operations and reach new markets, particularly in the Eastern Hemisphere. As a result, the Company realigned its reportable segments to correspond with changes to its operating model, management structure, and organizational responsibilities. Consequently, the Company has determined it operates in two operating and reportable segments: Eastern Hemisphere and Western Hemisphere. This realignment is reflected within the Company's unaudited condensed consolidated financial statements and prior periods are retrospectively revised to reflect this change in reportable segments.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recognizes restructuring charges in accordance with ASC 420, Exist or Disposal Cost Obligations. Restructuring costs primarily include severance and other employee-related termination benefits, as well as reorganization costs associated with strategic initiatives to streamline operations or reduce overhead. These costs are recognized when a formal plan has been approved, communicated to affected employees, and the obligation is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B333D"/>
        </w:rPr>
        <w:t xml:space="preserve">In November 2023, FASB issued Accounting Standard Update (“ASU”) 2023-07, Segment Reporting (Topic 280) - Improvements to Reportable Segment Disclosures, which includes requirements for more robust disclosures of significant segment expenses and information used in assessing segment performance on an annual and interim basis. The guidance also requires that a public entity that has a single reportable segment provide all the disclosures required by the guidance and all existing segment disclosures under the FASB Accounting Standards Codification (“ASC”) Topic 280, Segment Reporting. This standard was effective for the Company’s annual period beginning January 1, 2024, and is effective for the Company's interim periods beginning January 1, 2025. The Company applied the standard retrospectively to all comparative periods. Refer to Note 17 - </w:t>
      </w:r>
      <w:r>
        <w:rPr>
          <w:rFonts w:ascii="Times New Roman" w:cs="Times New Roman" w:eastAsia="Times New Roman" w:hAnsi="Times New Roman"/>
          <w:sz w:val="18"/>
          <w:szCs w:val="18"/>
          <w:i w:val="1"/>
          <w:iCs w:val="1"/>
          <w:color w:val="2B333D"/>
        </w:rPr>
        <w:t>Segment Information</w:t>
      </w:r>
      <w:r>
        <w:rPr>
          <w:rFonts w:ascii="Times New Roman" w:cs="Times New Roman" w:eastAsia="Times New Roman" w:hAnsi="Times New Roman"/>
          <w:sz w:val="18"/>
          <w:szCs w:val="18"/>
          <w:color w:val="2B333D"/>
        </w:rPr>
        <w:t xml:space="preserve"> for the required segment disclosures.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333D"/>
        </w:rPr>
        <w:t>In December 2023, FASB issued Accounting Standard Update (“ASU”) 2023-09, Income Taxes (Topic 740) – 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Company is currently evaluating the effects of adopting this new accounting guidance on its disclosures but does not currently expect adoption will have a material impact on the Company’s consolidated financial statements. The new disclosure requirements will be effective for the 2025 annual report.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B333D"/>
        </w:rPr>
        <w:t>In November 2024, FASB issued ASU 2024-03, Income Statement - Reporting Comprehensive Income - Expense Disaggregation Disclosures (Subtopic 220-40),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Early adoption is permitted. The Company is currently evaluating the effects of adopting this new accounting guidance.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VARIABLE INTEREST ENTITY AND JOINT VENTURE ARRANGEMENT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2025, Drilling Tools International, Inc. (“DTI” or the “Company”), through its wholly owned subsidiary DTI Canada 1, LLC, entered into a Joint Venture and Shareholders’ Agreement with Upstream Energy SDN. BHD. (“Upstream Energy”), a Malaysian entity, to form Drilling Tools International SDN. BHD. (“DTI Malaysia”), a Malaysian corporation. The purpose of DTI Malaysia is to expand the Company’s geographic footprint to serve a broader customer base in the Asia-Pacific market.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the Company contributed $11.6 thousand and Upstream Energy contributed $12.1 thousand to the initial share capital of $23.7 thousand, resulting in ownership interests of 49% and 51%, respectively. Despite holding a minority equity interest, the Company was appointed as the sole manager of DTI Malaysia under a separate Management Agreement, granting it full operational and financial control over the entity.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DTI Malaysia is considered a variable interest entity (“VIE”) under ASC 810 due to the disproportionality between DTI’s voting interest and its control and economic exposure. DTI has the power to direct the activities that most significantly impact the economic performance of DTI Malaysia and is entitled to receive substantially all the economic returns from its operations. As such, DTI is the primary beneficiary of DTI Malaysia and consolidates its financial results.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DTI consolidates 100% of DTI Malaysia’s assets, liabilities, revenues, and expenses. The portion of net assets and net income attributable to Upstream Energy is presented as a noncontrolling interest in the Company’s consolidated financial statements. There are no assets of DTI Malaysia that can be used only to settle its obligations nor are there liabilities for which creditors do not have recourse to the general credit of DTI.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CTG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March 15, 2024, the Company’s wholly owned subsidiary, Drilling Tools International, Inc., entered into and consummated the Share Purchase Agreement with CTG, the shareholders of CTG, and a representative of CTG, to acquire 100% of the shares of CTG for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a gross cash purchase consideration of $20.9 million. CTG is incorporated in the United Kingdom and is the holding company of its wholly owned subsidiary, Deep Casing. Deep Casing specializes in the design, engineering, and manufacturing of a range of patented and innovative products for well construction, well completion, and casing installation processes for the global oil and gas sector. The CTG Acquisition allows the Company to further expand its geographical presence globally, especially in the Middle East, provides accretive earnings to consolidated results of operations, and expands the Company’s portfolio of intellectual property rights, through the acquisition of over 60 patents.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CTG Acquisition has been accounted for as a business combination in accordance with ASC 805, </w:t>
      </w:r>
      <w:r>
        <w:rPr>
          <w:rFonts w:ascii="Times New Roman" w:cs="Times New Roman" w:eastAsia="Times New Roman" w:hAnsi="Times New Roman"/>
          <w:sz w:val="18"/>
          <w:szCs w:val="18"/>
          <w:i w:val="1"/>
          <w:iCs w:val="1"/>
          <w:color w:val="auto"/>
        </w:rPr>
        <w:t>Business Combinations (“</w:t>
      </w:r>
      <w:r>
        <w:rPr>
          <w:rFonts w:ascii="Times New Roman" w:cs="Times New Roman" w:eastAsia="Times New Roman" w:hAnsi="Times New Roman"/>
          <w:sz w:val="18"/>
          <w:szCs w:val="18"/>
          <w:color w:val="auto"/>
        </w:rPr>
        <w:t>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Drilling Tools International, Inc. has been treated as the accounting acquirer. Accordingly, CTG’s tangible and identifiable intangible assets acquired and its liabilities assumed were recorded at their estimated fair values on the CTG Acquisition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allocation of the purchase price is as follows: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Measurement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Period</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March 15, 2024</w:t>
            </w:r>
          </w:p>
        </w:tc>
        <w:tc>
          <w:tcPr>
            <w:tcW w:w="12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 adjusted March 15, 2024</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16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Cash</w:t>
            </w:r>
          </w:p>
        </w:tc>
        <w:tc>
          <w:tcPr>
            <w:tcW w:w="420" w:type="dxa"/>
            <w:vAlign w:val="bottom"/>
            <w:shd w:val="clear" w:color="auto" w:fill="CFF0FC"/>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FF0FC"/>
          </w:tcPr>
          <w:p>
            <w:pPr>
              <w:jc w:val="right"/>
              <w:ind w:right="6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FF0FC"/>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ROU asset</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23,571</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2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24,097</w:t>
            </w:r>
          </w:p>
        </w:tc>
        <w:tc>
          <w:tcPr>
            <w:tcW w:w="100" w:type="dxa"/>
            <w:vAlign w:val="bottom"/>
            <w:shd w:val="clear" w:color="auto" w:fill="CFF0FC"/>
          </w:tcPr>
          <w:p>
            <w:pPr>
              <w:spacing w:after="0"/>
              <w:rPr>
                <w:sz w:val="18"/>
                <w:szCs w:val="18"/>
                <w:color w:val="auto"/>
              </w:rPr>
            </w:pPr>
          </w:p>
        </w:tc>
      </w:tr>
      <w:tr>
        <w:trPr>
          <w:trHeight w:val="392"/>
        </w:trPr>
        <w:tc>
          <w:tcPr>
            <w:tcW w:w="58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1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consideration transferred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-170815</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excess of the purchase price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CTG Acquisition is not deductible for tax purposes. As of March 15, 2025, the Company is complete with the process of allocating the purchase price and valuing the acquired assets and liabilities assumed.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$0.0 million and $1.4 million, respectively, during the three and nine months ended September 30, 2024, which is included in other operating and non-operating expenses, net in the consolidated statements of income and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Superior Drilling Products, Inc.</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March 6, 2024</w:t>
      </w:r>
      <w:r>
        <w:rPr>
          <w:rFonts w:ascii="Times New Roman" w:cs="Times New Roman" w:eastAsia="Times New Roman" w:hAnsi="Times New Roman"/>
          <w:sz w:val="18"/>
          <w:szCs w:val="18"/>
          <w:color w:val="auto"/>
        </w:rPr>
        <w:t>, the Company entered into the Merger Agreement by and among the Company, SDPI, Merger Sub, Merger Sub II, pursuant to the First Merger, with SDPI surviving as a wholly owned subsidiary of DTI and upon the effective time of the First Merger, SDPI, as the surviving corporation of the First Merger, merged with and into Merger Sub II, with Merger Sub II surviving as a wholly owned subsidiary of the Company. In accordance with the terms of the Merger Agreement, the closing of the Merger occurred on July 31, 2024 (the “SDPI Closing Date” or “SDPI Closing”) for total consideration of $47.9 million.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SDPI is an innovative drilling and completion tool technology company providing cost saving solutions that drive production efficiencies for the oil and natural gas drilling industry. In addition, SDPI is a manufacturer and refurbisher of polycrystalline diamond compact drill bits for leading oil field services companies. The acquisition furthers the Company's growth strategy as a premier provider of technologically differentiated solutions and services for the global oil &amp; gas drilling industry. The SDPI acquisition allows the company to vertically integrate around our proven and successful Drill-N-Ream® tool, gain global rights to run this tool, continue the Vernal,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UT bit repair business supporting major OEMs of PDC drill bits, and leverage their high-spec machine shop. In addition, we acquired over 30 patents and patents pending, the majority of which have been granted.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acquisition of SDPI has been accounted for as a business combination in accordance with ASC 805, Business Combinations. The Company has been treated as the accounting acquirer. Accordingly, SDPI's tangible and identifiable intangible assets acquired and its liabilities assumed were recorded at their estimated fair values on the SDPI Closing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allocation of the purchase is as follows (in thousands):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Related party note receivable, current</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Related party note receivable, noncurrent</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8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 and goodwill</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49,160</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and the fair value of DTI’s previously held investment in SDPI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acquisition of SDPI is not deductible for tax purposes. As of July 31, 2025, the Company is complete with the process of allocating the purchase price and valuing the acquired assets and liabilities assumed.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$1.9 million and $2.9 million, respectively, during the three and nine months ended September 30, 2024, which is included in other operating and non-operating expenses, net in the consolidated statements of income and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European Drilling Projects B.V.</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30, 2024, the Company’s wholly owned subsidiary, Drilling Tools International, Inc., entered the Share Purchase Agreement with European Drilling Projects B.V. (“EDP”), and the sole shareholder of EDP, to acquire 100% of the shares of EDP. European Drilling Products is a global provider of next-generation stabilizers, specialty reamers, and wellbore optimization technology for the drilling industry. EDP designs and manufactures bespoke drilling equipment tailored to address specific industry challenges. The integration of EDP's expertise aligns seamlessly with DTI's international growth strategy and commitment to technological differentiation.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Merger Agreement, the closing of the acquisition occurred on October 3, 2024 (the “EDP Closing Date” or “EDP Closing”) for total consideration of $13.9 million, including a Promissory Note payable to parent company of EDP for $5.2 million. On April 22, 2025, the First Amendment to the Promissory Note was entered into, reducing the balance owed on the Promissory Note by $0.3 million. As the amendment was signed within a year of the acquisition date of September 30, 2024 and related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additional information about matters which existed as of the acquisition date, the Company accounted for the amendment as a measurement period adjustment. Please refer to the table below for the impact of the reduction. Additionally,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for further information regarding the Promissory Note.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EDP has been accounted for as a business combination in accordance with ASC 805, Business Combinations (“ASC 805”). Drilling Tools International, Inc. has been treated as the accounting acquirer. Accordingly, EDP’s tangible and identifiable intangible assets acquired, and its liabilities assumed were recorded at their estimated fair values on the EDP Closing Date. The purchase price allocation for the Merger is preliminary and subject to revision. Additional information that existed as of the EDP Closing Date may become known during the remainder of the measurement period, which will not extend beyond one year from the EDP Closing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allocation of the purchase is as follows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Pr>
          <w:p>
            <w:pPr>
              <w:spacing w:after="0"/>
              <w:rPr>
                <w:sz w:val="24"/>
                <w:szCs w:val="24"/>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Measurement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adjusted</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color w:val="auto"/>
                <w:w w:val="97"/>
              </w:rPr>
              <w:t>Period</w:t>
            </w:r>
          </w:p>
        </w:tc>
        <w:tc>
          <w:tcPr>
            <w:tcW w:w="220" w:type="dxa"/>
            <w:vAlign w:val="bottom"/>
          </w:tcPr>
          <w:p>
            <w:pPr>
              <w:spacing w:after="0"/>
              <w:rPr>
                <w:sz w:val="9"/>
                <w:szCs w:val="9"/>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8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8"/>
              </w:rPr>
              <w:t>Adjustments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5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Debt, noncurrent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5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5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 and goodwill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-1576705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-1576705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-462280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-462280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-170815</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over the fair values of the net identifiable tangible and intangible assets acquired has been assigned to goodwill. Goodwill represents the future benefits of acquiring EDP as the acquisition not only enhances DTI's competitive edge, but also reinforces its position as a leader in providing innovative drilling solutions to the global oil and gas industry. Goodwill will be evaluated for impairment at least annually. Goodwill attributable to the acquisition of EDP is not deductible for tax purposes.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a measurement period adjustment was identified as it relates to the consideration transferred and the recognition of deferred tax assets and liabilities. The total measurement period adjustment was $1.7 million. The measurement period adjustment impacted the goodwill recognized on September 30, 2024. As of September 30, 2025, the Company has completed the process of allocating the purchase price and valuing the acquired assets and liabilities assumed.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$0.2 million and $0.3 million, respectively, during the three and nine months ended September 30, 2024, which is included in other operating and non-operating expenses, net in the consolidated statements of income and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Titan Tools Group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 2025, the Company’s wholly owned subsidiary, Drilling Tools International, Inc., completed the acquisition of 100% of the shares of Titan Tools Group Limited (“Titan”). Titan is a full-service, down-hole tool rental company for land and offshore operations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focused on wellbore construction rental items for both traditional hydrocarbon extraction and geothermal industries. Titan's primary operations are located in the United Kingdom, Europe, and Africa.</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acquisition, the closing of the acquisition occurred on January 2, 2025 (the “Titan Closing Date” or “Titan Closing”) for total consideration of $10.8 million. The consideration for the acquisition of $10.8 million is comprised of the following items (in thousands):</w:t>
      </w:r>
    </w:p>
    <w:p>
      <w:pPr>
        <w:spacing w:after="0" w:line="39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to Titan shareholders</w:t>
            </w:r>
          </w:p>
        </w:tc>
        <w:tc>
          <w:tcPr>
            <w:tcW w:w="21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Titan transaction costs to be paid by DTI</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Closing date equity consideration</w:t>
            </w:r>
            <w:r>
              <w:rPr>
                <w:rFonts w:ascii="Times New Roman" w:cs="Times New Roman" w:eastAsia="Times New Roman" w:hAnsi="Times New Roman"/>
                <w:sz w:val="24"/>
                <w:szCs w:val="24"/>
                <w:color w:val="auto"/>
                <w:vertAlign w:val="superscript"/>
              </w:rPr>
              <w:t>(1)</w:t>
            </w:r>
          </w:p>
        </w:tc>
        <w:tc>
          <w:tcPr>
            <w:tcW w:w="1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Effective settlement of preexisting relationship between DTI and Titan </w:t>
            </w:r>
            <w:r>
              <w:rPr>
                <w:rFonts w:ascii="Times New Roman" w:cs="Times New Roman" w:eastAsia="Times New Roman" w:hAnsi="Times New Roman"/>
                <w:sz w:val="24"/>
                <w:szCs w:val="24"/>
                <w:color w:val="auto"/>
                <w:vertAlign w:val="superscript"/>
              </w:rPr>
              <w:t>(2)</w:t>
            </w:r>
          </w:p>
        </w:tc>
        <w:tc>
          <w:tcPr>
            <w:tcW w:w="16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18"/>
                <w:szCs w:val="18"/>
                <w:color w:val="auto"/>
              </w:rPr>
            </w:pP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1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shd w:val="clear" w:color="auto" w:fill="CFF0FC"/>
          </w:tcPr>
          <w:p>
            <w:pPr>
              <w:spacing w:after="0"/>
              <w:rPr>
                <w:sz w:val="19"/>
                <w:szCs w:val="19"/>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1680" w:hanging="175"/>
        <w:spacing w:after="0"/>
        <w:tabs>
          <w:tab w:leader="none" w:pos="16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value, as of the Titan Closing Date, of the DTI common stock transferred as purchase consideration.</w:t>
      </w:r>
    </w:p>
    <w:p>
      <w:pPr>
        <w:spacing w:after="0" w:line="120" w:lineRule="exact"/>
        <w:rPr>
          <w:rFonts w:ascii="Times New Roman" w:cs="Times New Roman" w:eastAsia="Times New Roman" w:hAnsi="Times New Roman"/>
          <w:sz w:val="13"/>
          <w:szCs w:val="13"/>
          <w:color w:val="auto"/>
        </w:rPr>
      </w:pPr>
    </w:p>
    <w:p>
      <w:pPr>
        <w:ind w:left="1500" w:right="2700" w:firstLine="5"/>
        <w:spacing w:after="0"/>
        <w:tabs>
          <w:tab w:leader="none" w:pos="167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effective settlement of DTI’s accounts receivable from Titan and DTI’s accounts payable to Titan as Titan and DTI were customers of each other prior to the Titan Closing.</w:t>
      </w: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Titan has been accounted for as a business combination in accordance with ASC 805, Business Combinations (“ASC 805”). Drilling Tools International, Inc. has been treated as the accounting acquirer. Accordingly, Titan’s tangible and identifiable intangible assets acquired, and its liabilities assumed were recorded at their estimated fair values on the Titan Closing Date. The purchase price allocation for the acquisition is preliminary and subject to revision, specifically as it relates to foreign tax positions. Additional information that existed as of the Titan Closing Date may become known during the remainder of the measurement period, which will not extend beyond one year from the Titan Closing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preliminary allocation of the purchase price is as follows (in thousands):</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 and goodwill</w:t>
            </w: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over the fair values of the net identifiable tangible and intangible assets acquired has been assigned to goodwill. Goodwill represents the future benefits of acquiring Titan as the acquisition not only enhances DTI's competitive edge, but also reinforces its position as a leader in providing innovative drilling solutions to the global oil and gas industry. Goodwill attributable to the acquisition of Titan is not deductible for tax purposes.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Titan Closing Date, and the methodologies used to determine the fair values of those intangible assets (in thousands):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tbl>
      <w:tblPr>
        <w:tblLayout w:type="fixed"/>
        <w:tblInd w:w="580" w:type="dxa"/>
        <w:tblCellMar>
          <w:top w:w="0" w:type="dxa"/>
          <w:left w:w="0" w:type="dxa"/>
          <w:bottom w:w="0" w:type="dxa"/>
          <w:right w:w="0" w:type="dxa"/>
        </w:tblCellMar>
      </w:tblPr>
      <w:tr>
        <w:trPr>
          <w:trHeight w:val="211"/>
        </w:trPr>
        <w:tc>
          <w:tcPr>
            <w:tcW w:w="28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Useful life</w:t>
            </w:r>
          </w:p>
        </w:tc>
        <w:tc>
          <w:tcPr>
            <w:tcW w:w="3640" w:type="dxa"/>
            <w:vAlign w:val="bottom"/>
            <w:tcBorders>
              <w:top w:val="single" w:sz="8" w:color="auto"/>
            </w:tcBorders>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1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(in years)</w:t>
            </w:r>
          </w:p>
        </w:tc>
        <w:tc>
          <w:tcPr>
            <w:tcW w:w="36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Fair value methodology</w:t>
            </w:r>
          </w:p>
        </w:tc>
      </w:tr>
      <w:tr>
        <w:trPr>
          <w:trHeight w:val="209"/>
        </w:trPr>
        <w:tc>
          <w:tcPr>
            <w:tcW w:w="2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640" w:type="dxa"/>
            <w:vAlign w:val="bottom"/>
            <w:tcBorders>
              <w:bottom w:val="single" w:sz="8" w:color="auto"/>
            </w:tcBorders>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360" w:type="dxa"/>
            <w:vAlign w:val="bottom"/>
            <w:tcBorders>
              <w:bottom w:val="single" w:sz="8" w:color="CFF0FC"/>
            </w:tcBorders>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25</w:t>
            </w:r>
          </w:p>
        </w:tc>
        <w:tc>
          <w:tcPr>
            <w:tcW w:w="3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Multi-period Excess Earnings Method</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64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3796030</wp:posOffset>
            </wp:positionH>
            <wp:positionV relativeFrom="page">
              <wp:posOffset>624840</wp:posOffset>
            </wp:positionV>
            <wp:extent cx="85725" cy="316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-170815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$0.1 million and $0.6 million, respectively, during the three and nine months ended September 30, 2025, which is included in other operating and non-operating expenses, net in the consolidated statements of income and comprehensive income.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consolidated statements of income and comprehensive income for the three and nine months ended September 30, 2025, include Titan’s revenues of $2.7 million and $8.2 million, respectively, and net income of $0.1 million and $0.6 million, respectively from the Titan Closing Date to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Pro Forma Information (unaudited)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supplemental pro forma financial results below for the three and nine months ended September 30, 2025 and 2024, combine the consolidated results of the Company, SDPI and CTG, giving effect to the mergers as if they had been completed on January 1, 2024. The unaudited supplemental pro forma financial results to not give effect to the impact of the Titan or EDP Acquisitions as these were not considered significant individually or in the aggregate. This unaudited supplemental pro forma financial information is presented for informational purposes only and is not indicative of future operations or results had the acquisition been completed as of January 1, 2024, or any other date.</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vMerge w:val="restart"/>
          </w:tcPr>
          <w:p>
            <w:pPr>
              <w:spacing w:after="0"/>
              <w:rPr>
                <w:sz w:val="20"/>
                <w:szCs w:val="20"/>
                <w:color w:val="auto"/>
              </w:rPr>
            </w:pPr>
          </w:p>
        </w:tc>
        <w:tc>
          <w:tcPr>
            <w:tcW w:w="19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292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92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920" w:type="dxa"/>
            <w:vAlign w:val="bottom"/>
            <w:tcBorders>
              <w:bottom w:val="single" w:sz="8" w:color="auto"/>
            </w:tcBorders>
            <w:gridSpan w:val="2"/>
            <w:vMerge w:val="continue"/>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38,817</w:t>
            </w:r>
          </w:p>
        </w:tc>
        <w:tc>
          <w:tcPr>
            <w:tcW w:w="2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0"/>
                <w:szCs w:val="20"/>
                <w:color w:val="auto"/>
              </w:rPr>
            </w:pP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(904)</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846"/>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80" w:type="dxa"/>
            <w:vAlign w:val="bottom"/>
            <w:vMerge w:val="continue"/>
          </w:tcPr>
          <w:p>
            <w:pPr>
              <w:spacing w:after="0"/>
              <w:rPr>
                <w:sz w:val="18"/>
                <w:szCs w:val="18"/>
                <w:color w:val="auto"/>
              </w:rPr>
            </w:pPr>
          </w:p>
        </w:tc>
        <w:tc>
          <w:tcPr>
            <w:tcW w:w="1080" w:type="dxa"/>
            <w:vAlign w:val="bottom"/>
            <w:gridSpan w:val="2"/>
          </w:tcPr>
          <w:p>
            <w:pPr>
              <w:spacing w:after="0"/>
              <w:rPr>
                <w:sz w:val="18"/>
                <w:szCs w:val="18"/>
                <w:color w:val="auto"/>
              </w:rPr>
            </w:pP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2860" w:type="dxa"/>
            <w:vAlign w:val="bottom"/>
            <w:gridSpan w:val="3"/>
            <w:shd w:val="clear" w:color="auto" w:fill="CFF0FC"/>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121,118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2860" w:type="dxa"/>
            <w:vAlign w:val="bottom"/>
            <w:gridSpan w:val="3"/>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(4,978)</w:t>
            </w:r>
          </w:p>
        </w:tc>
        <w:tc>
          <w:tcPr>
            <w:tcW w:w="240" w:type="dxa"/>
            <w:vAlign w:val="bottom"/>
          </w:tcPr>
          <w:p>
            <w:pPr>
              <w:spacing w:after="0"/>
              <w:rPr>
                <w:sz w:val="20"/>
                <w:szCs w:val="20"/>
                <w:color w:val="auto"/>
              </w:rPr>
            </w:pPr>
          </w:p>
        </w:tc>
        <w:tc>
          <w:tcPr>
            <w:tcW w:w="14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4321175</wp:posOffset>
            </wp:positionH>
            <wp:positionV relativeFrom="paragraph">
              <wp:posOffset>-452120</wp:posOffset>
            </wp:positionV>
            <wp:extent cx="85725"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-452120</wp:posOffset>
            </wp:positionV>
            <wp:extent cx="85725"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DETAILS - CURRENT ASSETS AND CURRENT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18,142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17,502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vMerge w:val="restart"/>
          </w:tcPr>
          <w:p>
            <w:pPr>
              <w:jc w:val="right"/>
              <w:ind w:right="250"/>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-1062355</wp:posOffset>
            </wp:positionV>
            <wp:extent cx="59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-1062355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58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expenses:</w:t>
            </w:r>
          </w:p>
        </w:tc>
        <w:tc>
          <w:tcPr>
            <w:tcW w:w="16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Deposits on 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 income tax</w:t>
            </w: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 rent</w:t>
            </w: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equipment</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prepaid expenses</w:t>
            </w: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3,874</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-170815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and other current liabilities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6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insurance</w:t>
            </w: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property taxes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monitoring fees</w:t>
            </w: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tax payable</w:t>
            </w: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r>
      <w:tr>
        <w:trPr>
          <w:trHeight w:val="25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11,221</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7,864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-24765</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 of property, plant and equipment, net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Lives (in Years)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tools and equipment</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214,112</w:t>
            </w:r>
          </w:p>
        </w:tc>
        <w:tc>
          <w:tcPr>
            <w:tcW w:w="3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205,939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fixtures and equipment</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3,062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and equipment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w:t>
            </w:r>
          </w:p>
        </w:tc>
        <w:tc>
          <w:tcPr>
            <w:tcW w:w="1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225,730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216,234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deprecation</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(152,623)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(142,203)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42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Property, plant and equipment, net (excluding</w:t>
            </w:r>
          </w:p>
        </w:tc>
        <w:tc>
          <w:tcPr>
            <w:tcW w:w="1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construction in progress)</w:t>
            </w:r>
          </w:p>
        </w:tc>
        <w:tc>
          <w:tcPr>
            <w:tcW w:w="16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73,107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74,031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20" w:type="dxa"/>
            <w:vAlign w:val="bottom"/>
            <w:vMerge w:val="continue"/>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76,098</w:t>
            </w:r>
          </w:p>
        </w:tc>
        <w:tc>
          <w:tcPr>
            <w:tcW w:w="3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75,571</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9"/>
        </w:trPr>
        <w:tc>
          <w:tcPr>
            <w:tcW w:w="1020" w:type="dxa"/>
            <w:vAlign w:val="bottom"/>
          </w:tcPr>
          <w:p>
            <w:pPr>
              <w:spacing w:after="0"/>
              <w:rPr>
                <w:sz w:val="24"/>
                <w:szCs w:val="24"/>
                <w:color w:val="auto"/>
              </w:rPr>
            </w:pPr>
          </w:p>
        </w:tc>
        <w:tc>
          <w:tcPr>
            <w:tcW w:w="428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jc w:val="right"/>
              <w:ind w:right="1090"/>
              <w:spacing w:after="0"/>
              <w:rPr>
                <w:sz w:val="20"/>
                <w:szCs w:val="20"/>
                <w:color w:val="auto"/>
              </w:rPr>
            </w:pPr>
            <w:r>
              <w:rPr>
                <w:rFonts w:ascii="Arial" w:cs="Arial" w:eastAsia="Arial" w:hAnsi="Arial"/>
                <w:sz w:val="18"/>
                <w:szCs w:val="18"/>
                <w:color w:val="auto"/>
              </w:rPr>
              <w:t>22</w:t>
            </w:r>
          </w:p>
        </w:tc>
        <w:tc>
          <w:tcPr>
            <w:tcW w:w="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0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-916305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-899160</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-916305</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-899160</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Total depreciation expense for the three months ended September 30, 2025 and 2024 was approximately $6.1 million and $5.8 million, respectively. Total depreciation expense for the nine months ended September 30, 2025 and 2024 was approximately $18.4 million and $16.7 million, respectively. The Company has not acquired any property, plant and equipment under capital leases.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INTANGIBLE ASSETS,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amortization period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68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44,585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39,714</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(4,480)</w:t>
            </w:r>
          </w:p>
        </w:tc>
        <w:tc>
          <w:tcPr>
            <w:tcW w:w="1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(2,482)</w:t>
            </w:r>
          </w:p>
        </w:tc>
      </w:tr>
      <w:tr>
        <w:trPr>
          <w:trHeight w:val="20"/>
        </w:trPr>
        <w:tc>
          <w:tcPr>
            <w:tcW w:w="4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40,105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37,232</w:t>
            </w:r>
          </w:p>
        </w:tc>
        <w:tc>
          <w:tcPr>
            <w:tcW w:w="100" w:type="dxa"/>
            <w:vAlign w:val="bottom"/>
            <w:shd w:val="clear" w:color="auto" w:fill="CFF0FC"/>
          </w:tcPr>
          <w:p>
            <w:pPr>
              <w:spacing w:after="0"/>
              <w:rPr>
                <w:sz w:val="19"/>
                <w:szCs w:val="19"/>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-25400</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amortization expense for the three months ended September 30, 2025 and 2024 was approximately $0.7 million and $0.4 million, respectively. Total amortization expense for the nine months ended September 30, 2025 and 2024 was approximately $2.0 million and $0.5 million, respectively. Estimated future amortization expense for the next five years is as follows: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84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80" w:type="dxa"/>
            <w:vAlign w:val="bottom"/>
          </w:tcPr>
          <w:p>
            <w:pPr>
              <w:spacing w:after="0"/>
              <w:rPr>
                <w:sz w:val="18"/>
                <w:szCs w:val="18"/>
                <w:color w:val="auto"/>
              </w:rPr>
            </w:pPr>
          </w:p>
        </w:tc>
      </w:tr>
      <w:tr>
        <w:trPr>
          <w:trHeight w:val="250"/>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40,105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carrying amount of goodwill for the nine months ended September 30, 2025 was as follows (in thousands):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balance as of December 31, 2024</w:t>
            </w: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12,147</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due to business combinations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Impairments</w:t>
            </w:r>
          </w:p>
        </w:tc>
        <w:tc>
          <w:tcPr>
            <w:tcW w:w="3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(1,901)</w:t>
            </w:r>
          </w:p>
        </w:tc>
      </w:tr>
      <w:tr>
        <w:trPr>
          <w:trHeight w:val="203"/>
        </w:trPr>
        <w:tc>
          <w:tcPr>
            <w:tcW w:w="8320" w:type="dxa"/>
            <w:vAlign w:val="bottom"/>
            <w:tcBorders>
              <w:bottom w:val="single" w:sz="8" w:color="CFF0FC"/>
            </w:tcBorders>
            <w:shd w:val="clear" w:color="auto" w:fill="CFF0FC"/>
          </w:tcPr>
          <w:p>
            <w:pPr>
              <w:ind w:left="140"/>
              <w:spacing w:after="0" w:line="202"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3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balance as of September 30, 2025</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14,615</w:t>
            </w:r>
          </w:p>
        </w:tc>
        <w:tc>
          <w:tcPr>
            <w:tcW w:w="100" w:type="dxa"/>
            <w:vAlign w:val="bottom"/>
          </w:tcPr>
          <w:p>
            <w:pPr>
              <w:spacing w:after="0"/>
              <w:rPr>
                <w:sz w:val="17"/>
                <w:szCs w:val="17"/>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Reporting Units and Goodwill Impairment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2025, the Company realigned its reportable segments to correspond with changes to its operating model, management structure, and organizational responsibilities. We bifurcated results into two segments: Eastern Hemisphere and Western Hemisphere. As a result, we split into four reporting units and reallocated goodwill among our affected reporting units on a relative fair value basis. We performed a goodwill impairment assessment immediately before and after our business reorganization. We concluded based on our pre-reorganization impairment test that goodwill was not impaired. As a result of the post-reorganization impairment test, we recognized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a non-cash goodwill impairment loss of $1.9 million during the nine months ended September 30, 2025, related to our Diamond Products and Deep Casing reporting units as the estimated fair values of the new reporting units was lower than the related carrying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 TERM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2015, the Company entered into a credit facility with PNC Bank, National Association (the "Existing Credit Facility"). The facility provided for a revolving line of credit with a maximum borrowing amount totaling $60.0 million.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15, 2024, the Company refinanced its revolving credit facility (the “Revolving Line of Credit”) by entering into a Second Amended and Restated Revolving Credit, Term Loan and Security and Guaranty Agreement (the “Credit Facility”) with certain of the Company’s subsidiaries and PNC Bank, National Association as lender and as agent. Pursuant to the terms of the Credit Facility, the Company will be provided a revolving line of credit in a principal amount up to $80.0 million and a single draw term loan (the "Term Loan") in a principal amount of $25.0 million. The line of credit and the Term Loan mature in March 2029. The Credit Facility amends and restates the Company’s Existing Credit Facility under that certain Amended and Restated Revolving Credit, Term Loan, and Security Agreement, dated as of June 20, 2023, by and among the Company, certain of its subsidiaries, and PNC Bank National Association. Additionally, the Company is required to make an annual payment of up to $5.0 million, to be determined based on the Excess Cash Flows generated each fiscal year commencing with the year ended December 31, 2024, as defined in the Credit Facility. Based on the calculation for Excess Cash Flows laid forth in the agreement, no payment was owed in April 2025.</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interest on the amount drawn on the Revolving Line of Credit and Term Loan and the outstanding Term Loan balance are based on the Secured Overnight Financing Rate ("SOFR") or the bank’s base lending rate plus applicable margin (approximately 6.56% and 8.28%, respectively, at September 30, 2025). The Credit Facility is collateralized by substantially all the assets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there was $29.0 million drawn against the line of credit.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acquisition of EDP, the Company issued an unsecured Promissory Note to the former parent company of EDP, totaling $5.2 million. On April 22, 2025, the First Amendment to the note was signed, reducing the balance by $0.3 million. The note bears an interest rate of 8% per annum. The note matures in December 2029 and payments are made quarterly. The note is a foreign currency denominated monetary liability (issuance and payments are denominated Euro), and as such, is measured at the end of each reporting unit based on the exchange rate at that date. The remaining balance on the Promissory Note was $4.4 million as of September 30, 2025. For the three and nine months ended September 30, 2025 and 2024, the Company recognized a loss of $0.0 million and $0.3 million, respectively, on the condensed consolidated statements of comprehensive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future maturities of long-term debt consisted of the following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 term debt</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51,303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Interest Embedded Derivative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determined the Default Rate met the definition of a derivative as it is a contingent interest feature. The Company also noted that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September 30, 2025 and December 31, 2024 and therefore no amounts were recorded as of September 30, 2025 or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expense and benefit on the unaudited condensed consolidated statements of comprehensive income (loss) of $0.4 million and $0.4 million for the three months ended September 30, 2025 and 2024, respectively. Additionally, the Company recorded income tax expense on the unaudited condensed consolidated statements of comprehensive income (loss) of $1.0 million and $0.4 million for the nine months ended September 30, 2025 and 2024,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 expense for the nine months ended September 30, 2025 was calculated using a discrete approach. This methodology was used because changes in the Company's results of operations and acquisitions can materially impact the estimated annual effective tax rate. The Company’s effective tax rate for the nine months ended September 30, 2025 and 2024 was 25.9% and 8.7%, respectively. Such rates differed from the Federal Statutory rate of 21.0% primarily due to the state taxes, foreign income taxes on the Company’s international operations, and permanent differences.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 There was no change to the valuation allowance during the three and nine months ended September 30, 2025 and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still evaluating the tax impact of the Titan Acquisition, including the impact of the transaction costs. Additionally, the Company continues to evaluate the deferred tax assets and liabilities and corresponding valuation allowance in connection with the Titan Acquisition.</w:t>
      </w:r>
    </w:p>
    <w:p>
      <w:pPr>
        <w:spacing w:after="0" w:line="16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On July 4th, 2025, the One Big Beautiful Bill Act (“OBBBA”) was enacted in the U.S. The OBBBA includes significant provisions, such as the permanent extension of certain expiring provisions of the Tax Cuts and Jobs Act, modifications to the international tax framework and restoration of favorable tax treatment for certain business provisions. The legislation has multiple effective dates, with certain provisions effective in 2025 and others implemented through 2027. The Company incorporated these provisions effective during the quarter, and they had no material impact on our consolidated financial statements for the three and nine months ended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On June 20, 2023, the Company adopted the Drilling Tools International Corporation 2023 Omnibus Incentive Plan (the "2023 Plan"). The 2023 Plan became effective on the closing of the Merger. The 2023 Plan provides for the issuance of shares of Common Stock up to ten percent (10%) of the shares of outstanding Common Stock as of the closing of the Merger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September 30, 2025, there were 1,075,226 shares of Common Stock available for issuance under the 2023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a Black-Scholes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of history and volume of option activity at the Company. The risk-free rate is based on the approximate U.S. Treasury yield rate in effect at the time of grant. The Company’s calculation of share price involves the use of different valuation techniques, including a combination of an income and market approach. For any grants of stock options subsequent to the Company being publicly traded, the Company will use the quoted market price as of the grant date as an input into the Black-Scholes model.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nine months ended September 30,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Weighted Average Remaining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Aggregate Intrinsic</w:t>
            </w:r>
          </w:p>
        </w:tc>
      </w:tr>
      <w:tr>
        <w:trPr>
          <w:trHeight w:val="183"/>
        </w:trPr>
        <w:tc>
          <w:tcPr>
            <w:tcW w:w="2960" w:type="dxa"/>
            <w:vAlign w:val="bottom"/>
          </w:tcPr>
          <w:p>
            <w:pPr>
              <w:spacing w:after="0"/>
              <w:rPr>
                <w:sz w:val="15"/>
                <w:szCs w:val="15"/>
                <w:color w:val="auto"/>
              </w:rPr>
            </w:pPr>
          </w:p>
        </w:tc>
        <w:tc>
          <w:tcPr>
            <w:tcW w:w="11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22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Contractual Life (in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00" w:type="dxa"/>
            <w:vAlign w:val="bottom"/>
          </w:tcPr>
          <w:p>
            <w:pPr>
              <w:spacing w:after="0"/>
              <w:rPr>
                <w:sz w:val="15"/>
                <w:szCs w:val="15"/>
                <w:color w:val="auto"/>
              </w:rPr>
            </w:pPr>
          </w:p>
        </w:tc>
      </w:tr>
      <w:tr>
        <w:trPr>
          <w:trHeight w:val="155"/>
        </w:trPr>
        <w:tc>
          <w:tcPr>
            <w:tcW w:w="412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OUTSTANDING, December 31, 2024</w:t>
            </w:r>
          </w:p>
        </w:tc>
        <w:tc>
          <w:tcPr>
            <w:tcW w:w="880" w:type="dxa"/>
            <w:vAlign w:val="bottom"/>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5"/>
                <w:szCs w:val="15"/>
                <w:color w:val="auto"/>
              </w:rPr>
              <w:t>4,963,626</w:t>
            </w: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3.50</w:t>
            </w:r>
          </w:p>
        </w:tc>
        <w:tc>
          <w:tcPr>
            <w:tcW w:w="2380" w:type="dxa"/>
            <w:vAlign w:val="bottom"/>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6.46</w:t>
            </w:r>
          </w:p>
        </w:tc>
        <w:tc>
          <w:tcPr>
            <w:tcW w:w="2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shd w:val="clear" w:color="auto" w:fill="CFF0FC"/>
          </w:tcPr>
          <w:p>
            <w:pPr>
              <w:ind w:left="1340"/>
              <w:spacing w:after="0" w:line="156"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41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Granted</w:t>
            </w:r>
          </w:p>
        </w:tc>
        <w:tc>
          <w:tcPr>
            <w:tcW w:w="88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3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ind w:left="13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412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Exercised</w:t>
            </w:r>
          </w:p>
        </w:tc>
        <w:tc>
          <w:tcPr>
            <w:tcW w:w="88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3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ind w:left="13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29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Forfeited</w:t>
            </w:r>
          </w:p>
        </w:tc>
        <w:tc>
          <w:tcPr>
            <w:tcW w:w="1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3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ind w:left="13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2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9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OUTSTANDING, September 30, 2025</w:t>
            </w:r>
          </w:p>
        </w:tc>
        <w:tc>
          <w:tcPr>
            <w:tcW w:w="1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4,963,626</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3.50</w:t>
            </w:r>
          </w:p>
        </w:tc>
        <w:tc>
          <w:tcPr>
            <w:tcW w:w="220" w:type="dxa"/>
            <w:vAlign w:val="bottom"/>
            <w:shd w:val="clear" w:color="auto" w:fill="CFF0FC"/>
          </w:tcPr>
          <w:p>
            <w:pPr>
              <w:spacing w:after="0"/>
              <w:rPr>
                <w:sz w:val="15"/>
                <w:szCs w:val="15"/>
                <w:color w:val="auto"/>
              </w:rPr>
            </w:pPr>
          </w:p>
        </w:tc>
        <w:tc>
          <w:tcPr>
            <w:tcW w:w="2380" w:type="dxa"/>
            <w:vAlign w:val="bottom"/>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5.23</w:t>
            </w:r>
          </w:p>
        </w:tc>
        <w:tc>
          <w:tcPr>
            <w:tcW w:w="2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shd w:val="clear" w:color="auto" w:fill="CFF0FC"/>
          </w:tcPr>
          <w:p>
            <w:pPr>
              <w:ind w:left="1340"/>
              <w:spacing w:after="0" w:line="156"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43"/>
        </w:trPr>
        <w:tc>
          <w:tcPr>
            <w:tcW w:w="2960" w:type="dxa"/>
            <w:vAlign w:val="bottom"/>
          </w:tcPr>
          <w:p>
            <w:pPr>
              <w:spacing w:after="0" w:line="143" w:lineRule="exact"/>
              <w:rPr>
                <w:sz w:val="20"/>
                <w:szCs w:val="20"/>
                <w:color w:val="auto"/>
              </w:rPr>
            </w:pPr>
            <w:r>
              <w:rPr>
                <w:rFonts w:ascii="Times New Roman" w:cs="Times New Roman" w:eastAsia="Times New Roman" w:hAnsi="Times New Roman"/>
                <w:sz w:val="15"/>
                <w:szCs w:val="15"/>
                <w:color w:val="auto"/>
              </w:rPr>
              <w:t>UNVESTED, September 30, 2025</w:t>
            </w:r>
          </w:p>
        </w:tc>
        <w:tc>
          <w:tcPr>
            <w:tcW w:w="116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1,656,666</w:t>
            </w:r>
          </w:p>
        </w:tc>
        <w:tc>
          <w:tcPr>
            <w:tcW w:w="240" w:type="dxa"/>
            <w:vAlign w:val="bottom"/>
          </w:tcPr>
          <w:p>
            <w:pPr>
              <w:spacing w:after="0"/>
              <w:rPr>
                <w:sz w:val="12"/>
                <w:szCs w:val="12"/>
                <w:color w:val="auto"/>
              </w:rPr>
            </w:pPr>
          </w:p>
        </w:tc>
        <w:tc>
          <w:tcPr>
            <w:tcW w:w="180" w:type="dxa"/>
            <w:vAlign w:val="bottom"/>
          </w:tcPr>
          <w:p>
            <w:pPr>
              <w:jc w:val="right"/>
              <w:ind w:right="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3.02</w:t>
            </w:r>
          </w:p>
        </w:tc>
        <w:tc>
          <w:tcPr>
            <w:tcW w:w="220" w:type="dxa"/>
            <w:vAlign w:val="bottom"/>
          </w:tcPr>
          <w:p>
            <w:pPr>
              <w:spacing w:after="0"/>
              <w:rPr>
                <w:sz w:val="12"/>
                <w:szCs w:val="12"/>
                <w:color w:val="auto"/>
              </w:rPr>
            </w:pPr>
          </w:p>
        </w:tc>
        <w:tc>
          <w:tcPr>
            <w:tcW w:w="2380" w:type="dxa"/>
            <w:vAlign w:val="bottom"/>
            <w:gridSpan w:val="2"/>
          </w:tcPr>
          <w:p>
            <w:pPr>
              <w:jc w:val="right"/>
              <w:ind w:right="120"/>
              <w:spacing w:after="0" w:line="143" w:lineRule="exact"/>
              <w:rPr>
                <w:sz w:val="20"/>
                <w:szCs w:val="20"/>
                <w:color w:val="auto"/>
              </w:rPr>
            </w:pPr>
            <w:r>
              <w:rPr>
                <w:rFonts w:ascii="Times New Roman" w:cs="Times New Roman" w:eastAsia="Times New Roman" w:hAnsi="Times New Roman"/>
                <w:sz w:val="15"/>
                <w:szCs w:val="15"/>
                <w:color w:val="auto"/>
              </w:rPr>
              <w:t>8.38</w:t>
            </w:r>
          </w:p>
        </w:tc>
        <w:tc>
          <w:tcPr>
            <w:tcW w:w="24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tcPr>
          <w:p>
            <w:pPr>
              <w:ind w:left="1340"/>
              <w:spacing w:after="0" w:line="143"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29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296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EXERCISABLE, September 30, 2025</w:t>
            </w:r>
          </w:p>
        </w:tc>
        <w:tc>
          <w:tcPr>
            <w:tcW w:w="1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3,306,960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2.93</w:t>
            </w:r>
          </w:p>
        </w:tc>
        <w:tc>
          <w:tcPr>
            <w:tcW w:w="220" w:type="dxa"/>
            <w:vAlign w:val="bottom"/>
            <w:shd w:val="clear" w:color="auto" w:fill="CFF0FC"/>
          </w:tcPr>
          <w:p>
            <w:pPr>
              <w:spacing w:after="0"/>
              <w:rPr>
                <w:sz w:val="14"/>
                <w:szCs w:val="14"/>
                <w:color w:val="auto"/>
              </w:rPr>
            </w:pPr>
          </w:p>
        </w:tc>
        <w:tc>
          <w:tcPr>
            <w:tcW w:w="2380" w:type="dxa"/>
            <w:vAlign w:val="bottom"/>
            <w:gridSpan w:val="2"/>
            <w:shd w:val="clear" w:color="auto" w:fill="CFF0FC"/>
          </w:tcPr>
          <w:p>
            <w:pPr>
              <w:jc w:val="right"/>
              <w:ind w:right="120"/>
              <w:spacing w:after="0" w:line="143" w:lineRule="exact"/>
              <w:rPr>
                <w:sz w:val="20"/>
                <w:szCs w:val="20"/>
                <w:color w:val="auto"/>
              </w:rPr>
            </w:pPr>
            <w:r>
              <w:rPr>
                <w:rFonts w:ascii="Times New Roman" w:cs="Times New Roman" w:eastAsia="Times New Roman" w:hAnsi="Times New Roman"/>
                <w:sz w:val="15"/>
                <w:szCs w:val="15"/>
                <w:color w:val="auto"/>
              </w:rPr>
              <w:t>3.65</w:t>
            </w:r>
          </w:p>
        </w:tc>
        <w:tc>
          <w:tcPr>
            <w:tcW w:w="240" w:type="dxa"/>
            <w:vAlign w:val="bottom"/>
            <w:gridSpan w:val="2"/>
            <w:shd w:val="clear" w:color="auto" w:fill="CFF0FC"/>
          </w:tcPr>
          <w:p>
            <w:pPr>
              <w:jc w:val="right"/>
              <w:ind w:right="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shd w:val="clear" w:color="auto" w:fill="CFF0FC"/>
          </w:tcPr>
          <w:p>
            <w:pPr>
              <w:ind w:left="1340"/>
              <w:spacing w:after="0" w:line="143"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-282575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-265430</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-282575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-265430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-282575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-265430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-25400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-8255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recognized $0.4 million and $0.4 million, respectively, of stock-based compensation expense related to stock options within selling, general, and administrative expenses on the unaudited condensed consolidated statements of comprehensive income (loss). During the nine months ended September 30, 2025 and 2024, the Company recognized $1.1 million and $1.0 million, respectively, of stock-based compensation expense within selling, general, and administrative expenses on the unaudited condensed consolidated statements of comprehensive income (loss). As of September 30, 2025, total unrecognized compensation expense related to the stock options totaled $2.0 million. The unrecognized compensation expense will be recognized over the weighted average remaining vesting term of 1.4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units ("RSUs") are granted to the members of the Board of Directors annually. Additionally, in February 2025, 909,321 RSUs were granted to key employees and officers. RSUs vest over a one to four 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restricted stock unit activity for the nine months ended September 30, 2025:</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Exercise</w:t>
            </w:r>
          </w:p>
        </w:tc>
      </w:tr>
      <w:tr>
        <w:trPr>
          <w:trHeight w:val="238"/>
        </w:trPr>
        <w:tc>
          <w:tcPr>
            <w:tcW w:w="5300" w:type="dxa"/>
            <w:vAlign w:val="bottom"/>
          </w:tcPr>
          <w:p>
            <w:pPr>
              <w:spacing w:after="0"/>
              <w:rPr>
                <w:sz w:val="20"/>
                <w:szCs w:val="20"/>
                <w:color w:val="auto"/>
              </w:rPr>
            </w:pPr>
          </w:p>
        </w:tc>
        <w:tc>
          <w:tcPr>
            <w:tcW w:w="13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Pr>
          <w:p>
            <w:pPr>
              <w:spacing w:after="0"/>
              <w:rPr>
                <w:sz w:val="20"/>
                <w:szCs w:val="20"/>
                <w:color w:val="auto"/>
              </w:rPr>
            </w:pPr>
          </w:p>
        </w:tc>
      </w:tr>
      <w:tr>
        <w:trPr>
          <w:trHeight w:val="209"/>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December 31, 2024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68,560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1,052,451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r>
      <w:tr>
        <w:trPr>
          <w:trHeight w:val="216"/>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(68,560)</w:t>
            </w: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September 30, 2025</w:t>
            </w:r>
          </w:p>
        </w:tc>
        <w:tc>
          <w:tcPr>
            <w:tcW w:w="132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1,022,451</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recognized $0.3 million and $0.1 million, respectively, of stock-based compensation related to RSUs within selling, general, and administrative expenses on the unaudited condensed consolidated statements of comprehensive income (loss). During the nine months ended September 30, 2025 and 2024, the Company recognized $0.7 million and $0.5 million, respectively, of stock-based compensation related to RSUs within selling, general, and administrative expenses on the unaudited condensed consolidated statements of comprehensive income (loss). As of September 30, 2025, unrecognized compensation expense related to the RSUs totaled $2.7 million. The unrecognized compensation expense will be recognized over the weighted average remaining vesting term of 3.0 years.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11 – OTHER OPERATING AND NON-OPERATING EXPENSES,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other operating and non-operating expenses, net for the three months ended September 30, 2025 and 2024 (in thousands):</w:t>
      </w: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640" w:type="dxa"/>
            <w:vAlign w:val="bottom"/>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foreign currency</w:t>
            </w:r>
          </w:p>
        </w:tc>
        <w:tc>
          <w:tcPr>
            <w:tcW w:w="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2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6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(123)</w:t>
            </w: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implementation</w:t>
            </w:r>
          </w:p>
        </w:tc>
        <w:tc>
          <w:tcPr>
            <w:tcW w:w="6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(103)</w:t>
            </w:r>
          </w:p>
        </w:tc>
        <w:tc>
          <w:tcPr>
            <w:tcW w:w="240" w:type="dxa"/>
            <w:vAlign w:val="bottom"/>
          </w:tcPr>
          <w:p>
            <w:pPr>
              <w:spacing w:after="0"/>
              <w:rPr>
                <w:sz w:val="18"/>
                <w:szCs w:val="18"/>
                <w:color w:val="auto"/>
              </w:rPr>
            </w:pP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4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operating and non-operating expenses, net</w:t>
            </w:r>
          </w:p>
        </w:tc>
        <w:tc>
          <w:tcPr>
            <w:tcW w:w="2520" w:type="dxa"/>
            <w:vAlign w:val="bottom"/>
            <w:gridSpan w:val="2"/>
            <w:shd w:val="clear" w:color="auto" w:fill="CFF0FC"/>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2,443</w:t>
            </w:r>
          </w:p>
        </w:tc>
        <w:tc>
          <w:tcPr>
            <w:tcW w:w="120" w:type="dxa"/>
            <w:vAlign w:val="bottom"/>
            <w:shd w:val="clear" w:color="auto" w:fill="CFF0FC"/>
          </w:tcPr>
          <w:p>
            <w:pPr>
              <w:spacing w:after="0"/>
              <w:rPr>
                <w:sz w:val="19"/>
                <w:szCs w:val="19"/>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-25400</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other operating and non-operating expenses, net for the nine months ended September 30, 2025 and 2024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18"/>
                <w:szCs w:val="18"/>
                <w:color w:val="auto"/>
              </w:rPr>
            </w:pPr>
          </w:p>
        </w:tc>
        <w:tc>
          <w:tcPr>
            <w:tcW w:w="2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foreign currency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implementation</w:t>
            </w: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18"/>
                <w:szCs w:val="18"/>
                <w:color w:val="auto"/>
              </w:rPr>
            </w:pP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4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operating and non-operating expenses, net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4,434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5,241</w:t>
            </w:r>
          </w:p>
        </w:tc>
        <w:tc>
          <w:tcPr>
            <w:tcW w:w="120" w:type="dxa"/>
            <w:vAlign w:val="bottom"/>
            <w:shd w:val="clear" w:color="auto" w:fill="CFF0FC"/>
          </w:tcPr>
          <w:p>
            <w:pPr>
              <w:spacing w:after="0"/>
              <w:rPr>
                <w:sz w:val="19"/>
                <w:szCs w:val="19"/>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and 2024, management fees paid to Hicks Holdings Operating LLC ("HHLLC"), a shareholder of the Company, were approximately $0.2 million and $0.2 million, respectively. For the nine months ended September 30, 2025 and 2024, management fees paid to Hicks Holdings Operating LLC were approximately $0.6 million and $0.6 million, respectively. Management fees paid to a shareholder are included in selling, general and administrative expense in the accompanying unaudited condensed consolidated statements of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fees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 fees for the three months ended September 30, 2025 and 2024, director fees paid to Board were approximately $0.1 million and $0.1 million, respectively. Director fees for the nine months ended September 30, 2025 and 2024, director fees paid to Board members were approximately $0.3 million and $0.4 million, respectively. Director fees are included in selling, general and administrative expense in the accompanying unaudited condensed consolidated statements of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 Receivable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31, 2024 ("Closing Date"), the Company entered into the Sixth Amendment and Restated Promissory Note with Tronco Energy Corporation ("Tronco"), an entity owned by employees of the Company. Pursuant to the Sixth Amendment and Restated Promissory Note, Tronco will make payments to the Company of $1.3 million annually, commencing on the first anniversary of the Closing Date through the fifth anniversary of the Closing Date. Per the agreement, if the 20-day volume-weighted average price of DTI falls below $3.20 per share, the principal that otherwise would have been due shall be deferred and apportioned over the remaining payment dates under specified in the agreement. The first payment due on July 31, 2025 was deferred as the 20-day volume-weighted average price of DTI was below $3.20 per share. Any payments due and not received by the Company before the fifth date following the anniversary date will bear interest from the date of nonpayment until paid equal to 3%. In accordance with ASC 805, the receivable's fair value was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measured at the present value of future cash flows upon the Closing Date. The carrying value of the note as of September 30, 2025 was $5.3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September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the components of the Company’s lease expense were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Pr>
          <w:p>
            <w:pPr>
              <w:spacing w:after="0"/>
              <w:rPr>
                <w:sz w:val="20"/>
                <w:szCs w:val="20"/>
                <w:color w:val="auto"/>
              </w:rPr>
            </w:pP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0" w:type="dxa"/>
            <w:vAlign w:val="bottom"/>
          </w:tcPr>
          <w:p>
            <w:pPr>
              <w:spacing w:after="0"/>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September 30, 2025</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21" w:lineRule="exact"/>
        <w:rPr>
          <w:sz w:val="20"/>
          <w:szCs w:val="20"/>
          <w:color w:val="auto"/>
        </w:rPr>
      </w:pPr>
    </w:p>
    <w:p>
      <w:pPr>
        <w:sectPr>
          <w:pgSz w:w="11900" w:h="16838" w:orient="portrait"/>
          <w:cols w:equalWidth="0" w:num="2">
            <w:col w:w="8120" w:space="720"/>
            <w:col w:w="240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8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tcBorders>
              <w:top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5,116</w:t>
            </w:r>
          </w:p>
        </w:tc>
        <w:tc>
          <w:tcPr>
            <w:tcW w:w="100" w:type="dxa"/>
            <w:vAlign w:val="bottom"/>
          </w:tcPr>
          <w:p>
            <w:pPr>
              <w:spacing w:after="0"/>
              <w:rPr>
                <w:sz w:val="18"/>
                <w:szCs w:val="18"/>
                <w:color w:val="auto"/>
              </w:rPr>
            </w:pPr>
          </w:p>
        </w:tc>
      </w:tr>
      <w:tr>
        <w:trPr>
          <w:trHeight w:val="20"/>
        </w:trPr>
        <w:tc>
          <w:tcPr>
            <w:tcW w:w="63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6680" w:type="dxa"/>
            <w:vAlign w:val="bottom"/>
            <w:gridSpan w:val="3"/>
          </w:tcPr>
          <w:p>
            <w:pPr>
              <w:jc w:val="right"/>
              <w:ind w:right="276"/>
              <w:spacing w:after="0"/>
              <w:rPr>
                <w:sz w:val="20"/>
                <w:szCs w:val="20"/>
                <w:color w:val="auto"/>
              </w:rPr>
            </w:pPr>
            <w:r>
              <w:rPr>
                <w:rFonts w:ascii="Times New Roman" w:cs="Times New Roman" w:eastAsia="Times New Roman" w:hAnsi="Times New Roman"/>
                <w:sz w:val="18"/>
                <w:szCs w:val="18"/>
                <w:color w:val="auto"/>
                <w:w w:val="99"/>
              </w:rPr>
              <w:t>Supplemental balance sheet information related to leases was as follows (in thousands):</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5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5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rPr>
              <w:t>7.97</w:t>
            </w: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0" w:type="dxa"/>
            <w:vAlign w:val="bottom"/>
          </w:tcPr>
          <w:p>
            <w:pPr>
              <w:spacing w:after="0"/>
              <w:rPr>
                <w:sz w:val="20"/>
                <w:szCs w:val="20"/>
                <w:color w:val="auto"/>
              </w:rPr>
            </w:pPr>
          </w:p>
        </w:tc>
        <w:tc>
          <w:tcPr>
            <w:tcW w:w="214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8.20%</w:t>
            </w:r>
          </w:p>
        </w:tc>
        <w:tc>
          <w:tcPr>
            <w:tcW w:w="1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-1176655</wp:posOffset>
            </wp:positionV>
            <wp:extent cx="596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-1176655</wp:posOffset>
            </wp:positionV>
            <wp:extent cx="60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unaudited condensed consolidated balance sheet as of September 30, 2025 were as follows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00" w:type="dxa"/>
            <w:vAlign w:val="bottom"/>
          </w:tcPr>
          <w:p>
            <w:pPr>
              <w:spacing w:after="0"/>
              <w:rPr>
                <w:sz w:val="18"/>
                <w:szCs w:val="18"/>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10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36,659</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1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(10,200)</w:t>
            </w:r>
          </w:p>
        </w:tc>
      </w:tr>
      <w:tr>
        <w:trPr>
          <w:trHeight w:val="250"/>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1100" w:type="dxa"/>
            <w:vAlign w:val="bottom"/>
            <w:tcBorders>
              <w:top w:val="single" w:sz="8" w:color="auto"/>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downhole drilling tools to companies in the oil and natural gas industry. Such leases are accounted for in accordance with ASC 842. For the three and nine months ended September 30, 2025, tool rental revenue was approximately $31.9 million and $99.1 million, respectively. For the three and nine months ended September 30, 2024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0" w:name="page31"/>
    <w:bookmarkEnd w:id="30"/>
    <w:p>
      <w:pPr>
        <w:ind w:firstLine="8"/>
        <w:spacing w:after="0" w:line="282" w:lineRule="auto"/>
        <w:tabs>
          <w:tab w:leader="none" w:pos="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tool rental revenue was approximately $28.1 million and $86.4 million, respectively. Our lease contract periods are short-term in nature and are typically daily, monthly, per well, or footage based. Due to the short term nature of the contracts, no maturity table is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EMPLOYEE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various defined contribution savings plan, primarily in the U.S., that allow employees to contribute a portion of their pre-tax and/or after-tax income in accordance with specified guidelines. Under specified conditions, the Company will make contributions to the plans and/or match a percentage of the employee contributions up to certain limits. The total expense for the three months ended September 30, 2025 and 2024 was approximately $0.1 million and $0.1 million, respectively. The total expense for the nine months ended September 30, 2025 and 2024 was approximately $0.7 million and $0.5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maintains operating leases for various facilities and vehicles. See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w:t>
      </w:r>
    </w:p>
    <w:p>
      <w:pPr>
        <w:spacing w:after="0" w:line="208"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required to pay a monthly management fee to a shareholder. The fee is based upon a percentage of the Company’s trailing twelve months, earnings before interest, taxes and accumulated depreciation amount, as defined in the management agreement (refer to Note 12 –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Transactions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earnings per share for the three and nine months ended September 30, 2025 and 2024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440" w:type="dxa"/>
            <w:vAlign w:val="bottom"/>
          </w:tcPr>
          <w:p>
            <w:pPr>
              <w:spacing w:after="0"/>
              <w:rPr>
                <w:sz w:val="20"/>
                <w:szCs w:val="20"/>
                <w:color w:val="auto"/>
              </w:rPr>
            </w:pPr>
          </w:p>
        </w:tc>
        <w:tc>
          <w:tcPr>
            <w:tcW w:w="28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Drilling Tools International</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(903)</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20" w:type="dxa"/>
            <w:vAlign w:val="bottom"/>
          </w:tcPr>
          <w:p>
            <w:pPr>
              <w:spacing w:after="0"/>
              <w:rPr>
                <w:sz w:val="20"/>
                <w:szCs w:val="20"/>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used in computing</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35,386,122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33,072,097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35,516,692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30,893,602</w:t>
            </w:r>
          </w:p>
        </w:tc>
        <w:tc>
          <w:tcPr>
            <w:tcW w:w="120" w:type="dxa"/>
            <w:vAlign w:val="bottom"/>
          </w:tcPr>
          <w:p>
            <w:pPr>
              <w:spacing w:after="0"/>
              <w:rPr>
                <w:sz w:val="20"/>
                <w:szCs w:val="20"/>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effect of potentially dilutive securities: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time-based stock options</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412,309</w:t>
            </w:r>
          </w:p>
        </w:tc>
        <w:tc>
          <w:tcPr>
            <w:tcW w:w="12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potentially dilutive performance-based stock options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97,722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87,285</w:t>
            </w:r>
          </w:p>
        </w:tc>
        <w:tc>
          <w:tcPr>
            <w:tcW w:w="12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restricted stock units</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120" w:type="dxa"/>
            <w:vAlign w:val="bottom"/>
          </w:tcPr>
          <w:p>
            <w:pPr>
              <w:spacing w:after="0"/>
              <w:rPr>
                <w:sz w:val="18"/>
                <w:szCs w:val="18"/>
                <w:color w:val="auto"/>
              </w:rPr>
            </w:pPr>
          </w:p>
        </w:tc>
      </w:tr>
      <w:tr>
        <w:trPr>
          <w:trHeight w:val="249"/>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35,386,122</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33,547,056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35,516,692</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31,404,333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54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3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46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3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460" w:type="dxa"/>
            <w:vAlign w:val="bottom"/>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FF0FC"/>
          </w:tcPr>
          <w:p>
            <w:pPr>
              <w:spacing w:after="0"/>
              <w:rPr>
                <w:sz w:val="18"/>
                <w:szCs w:val="18"/>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-350520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-334010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-350520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-334010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-350520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-334010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Company’s potentially dilutive securities consisted of options to purchase common stock and restricted stock units. Based on the amounts outstanding as of the three and nine months ended September 30, 2025 and 2024, the Company excluded the following potential common shares from the computation of diluted net income per share because including them would have had an anti-dilutive effect:</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1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21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options outstanding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534,063</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534,063</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Time-based options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4,429,563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162,237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4,429,563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Time-based restricted stock units outstanding</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1,022,451</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1,022,451</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4,963,626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162,237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4,963,626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-170815</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33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Prior to the acquisition of Titan, we operated as a single operating segment which reflected how our business was managed. Upon completion of the acquisition, the Company split into two operating segments based on geography, Western Hemisphere and Eastern Hemisphere. Operating segments are identified as components of an enterprise about which discrete financial information is available for evaluation by the CODM in deciding resource allocation and assessing performance. The Company’s Chief Executive Officer serves as the CODM. The Company’s CODM reviews financial information disaggregated by hemisphere for the purposes of making operational decisions, allocating resources, and evaluating financial performance.</w:t>
      </w:r>
    </w:p>
    <w:p>
      <w:pPr>
        <w:spacing w:after="0" w:line="7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The Company’s two operating segments derives revenues from customers by providing oilfield equipment and services to operators in wellbore construction and casing installation. The CODM assesses performance for each segment individually and decides how to allocate resources by using Segment EBITDA, which is defined as net income (loss); excluding interest income; interest expense; other operating and non-operating expense, net; income tax benefit (expense); depreciation and amortization; and unallocated corporate general and administrative expenses, including stock-option expense and monitoring fees. Additionally, the Company’s CODM total segment assets and capital expenditures by segment regularly in making operational decisions. The CODM uses these metrics in the annual budget and forecasting process. The CODM considers budget-to-actual variances on a quarterly basis to forecast future performance, adjust the budget, and make decisions about the allocation of operating and capital resources to the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for the three months ended September 30, 2025 and 2024 is summarized below:</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060" w:type="dxa"/>
            <w:vAlign w:val="bottom"/>
            <w:tcBorders>
              <w:bottom w:val="single" w:sz="8" w:color="auto"/>
            </w:tcBorders>
            <w:gridSpan w:val="5"/>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27,865</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5,790</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33,655</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7,087</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7,520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34,952</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6,223</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41,175</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Elimination of intersegment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(2,358)</w:t>
            </w: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20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38,817</w:t>
            </w: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Less:</w:t>
            </w:r>
            <w:r>
              <w:rPr>
                <w:rFonts w:ascii="Times New Roman" w:cs="Times New Roman" w:eastAsia="Times New Roman" w:hAnsi="Times New Roman"/>
                <w:sz w:val="17"/>
                <w:szCs w:val="17"/>
                <w:color w:val="auto"/>
                <w:vertAlign w:val="superscript"/>
              </w:rPr>
              <w:t>(1)</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3,311</w:t>
            </w:r>
          </w:p>
        </w:tc>
        <w:tc>
          <w:tcPr>
            <w:tcW w:w="22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3,589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2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9,443</w:t>
            </w:r>
          </w:p>
        </w:tc>
        <w:tc>
          <w:tcPr>
            <w:tcW w:w="2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3,027</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12,470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(2,358)</w:t>
            </w: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10,112</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13,826</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EBITDA</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11,683</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189</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11,872</w:t>
            </w:r>
          </w:p>
        </w:tc>
        <w:tc>
          <w:tcPr>
            <w:tcW w:w="100" w:type="dxa"/>
            <w:vAlign w:val="bottom"/>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2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Corporate expenses</w:t>
            </w:r>
            <w:r>
              <w:rPr>
                <w:rFonts w:ascii="Times New Roman" w:cs="Times New Roman" w:eastAsia="Times New Roman" w:hAnsi="Times New Roman"/>
                <w:sz w:val="17"/>
                <w:szCs w:val="17"/>
                <w:color w:val="auto"/>
                <w:vertAlign w:val="superscript"/>
              </w:rPr>
              <w:t>(2)</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2,757</w:t>
            </w: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6,834</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Monitoring fees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1,752</w:t>
            </w: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loss before taxes</w:t>
            </w:r>
          </w:p>
        </w:tc>
        <w:tc>
          <w:tcPr>
            <w:tcW w:w="2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(467)</w:t>
            </w: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060" w:type="dxa"/>
            <w:vAlign w:val="bottom"/>
            <w:tcBorders>
              <w:bottom w:val="single" w:sz="8" w:color="auto"/>
            </w:tcBorders>
            <w:gridSpan w:val="5"/>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31,253</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541</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31,794</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7,481</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3,868</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38,734</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4,409</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43,143</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Elimination of intersegment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(3,050)</w:t>
            </w: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20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40,093</w:t>
            </w: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Less:</w:t>
            </w:r>
            <w:r>
              <w:rPr>
                <w:rFonts w:ascii="Times New Roman" w:cs="Times New Roman" w:eastAsia="Times New Roman" w:hAnsi="Times New Roman"/>
                <w:sz w:val="17"/>
                <w:szCs w:val="17"/>
                <w:color w:val="auto"/>
                <w:vertAlign w:val="superscript"/>
              </w:rPr>
              <w:t>(1)</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7,536</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7,740</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3,446</w:t>
            </w:r>
          </w:p>
        </w:tc>
        <w:tc>
          <w:tcPr>
            <w:tcW w:w="22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1,666</w:t>
            </w:r>
          </w:p>
        </w:tc>
        <w:tc>
          <w:tcPr>
            <w:tcW w:w="2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5,112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2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10,982</w:t>
            </w:r>
          </w:p>
        </w:tc>
        <w:tc>
          <w:tcPr>
            <w:tcW w:w="2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1,870</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12,852</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(3,050)</w:t>
            </w: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9,802</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14,227</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1,843</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EBITDA</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13,525</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696</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14,221</w:t>
            </w:r>
          </w:p>
        </w:tc>
        <w:tc>
          <w:tcPr>
            <w:tcW w:w="100" w:type="dxa"/>
            <w:vAlign w:val="bottom"/>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2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Corporate expenses</w:t>
            </w:r>
            <w:r>
              <w:rPr>
                <w:rFonts w:ascii="Times New Roman" w:cs="Times New Roman" w:eastAsia="Times New Roman" w:hAnsi="Times New Roman"/>
                <w:sz w:val="17"/>
                <w:szCs w:val="17"/>
                <w:color w:val="auto"/>
                <w:vertAlign w:val="superscript"/>
              </w:rPr>
              <w:t>(2)</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3,097</w:t>
            </w: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Monitoring fees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1,857</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1,958</w:t>
            </w:r>
          </w:p>
        </w:tc>
        <w:tc>
          <w:tcPr>
            <w:tcW w:w="10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0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income before taxes</w:t>
            </w:r>
          </w:p>
        </w:tc>
        <w:tc>
          <w:tcPr>
            <w:tcW w:w="20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428</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-4405630</wp:posOffset>
            </wp:positionV>
            <wp:extent cx="6772275" cy="939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-3428365</wp:posOffset>
            </wp:positionV>
            <wp:extent cx="6772275" cy="939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-4508500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-4122420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-4122420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-4122420</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-3531235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-3531235</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-3531235</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-2759710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-2742565</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-1670685</wp:posOffset>
            </wp:positionV>
            <wp:extent cx="6772275" cy="939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-694055</wp:posOffset>
            </wp:positionV>
            <wp:extent cx="6772275" cy="946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72275" cy="9461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-1774190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-1388110</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-1388110</wp:posOffset>
            </wp:positionV>
            <wp:extent cx="603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-1388110</wp:posOffset>
            </wp:positionV>
            <wp:extent cx="603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-796290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-796290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-796290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06" w:lineRule="exact"/>
        <w:rPr>
          <w:sz w:val="20"/>
          <w:szCs w:val="20"/>
          <w:color w:val="auto"/>
        </w:rPr>
      </w:pPr>
    </w:p>
    <w:p>
      <w:pPr>
        <w:ind w:left="1500" w:right="1360" w:firstLine="5"/>
        <w:spacing w:after="0" w:line="233" w:lineRule="auto"/>
        <w:tabs>
          <w:tab w:leader="none" w:pos="170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ind w:left="1700" w:hanging="195"/>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primarily of expenses not allocated to our geographical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for the nine months ended September 30, 2025 and 2024 is summarized below:</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79" w:right="619" w:bottom="1440" w:gutter="0" w:footer="0" w:header="0"/>
        </w:sectPr>
      </w:pPr>
    </w:p>
    <w:bookmarkStart w:id="33" w:name="page34"/>
    <w:bookmarkEnd w:id="33"/>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040" w:type="dxa"/>
            <w:vAlign w:val="bottom"/>
            <w:tcBorders>
              <w:bottom w:val="single" w:sz="8" w:color="auto"/>
            </w:tcBorders>
            <w:gridSpan w:val="5"/>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90,321</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15,648</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105,969</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23,412</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1,713</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25,125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113,733</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17,361</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131,094</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Elimination of intersegment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(9,976)</w:t>
            </w: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20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121,118</w:t>
            </w: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Less:</w:t>
            </w:r>
            <w:r>
              <w:rPr>
                <w:rFonts w:ascii="Times New Roman" w:cs="Times New Roman" w:eastAsia="Times New Roman" w:hAnsi="Times New Roman"/>
                <w:sz w:val="17"/>
                <w:szCs w:val="17"/>
                <w:color w:val="auto"/>
                <w:vertAlign w:val="superscript"/>
              </w:rPr>
              <w:t>(1)</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22,043</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28,997</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10,982</w:t>
            </w:r>
          </w:p>
        </w:tc>
        <w:tc>
          <w:tcPr>
            <w:tcW w:w="22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2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2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33,025</w:t>
            </w:r>
          </w:p>
        </w:tc>
        <w:tc>
          <w:tcPr>
            <w:tcW w:w="2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8,205</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41,230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(9,976)</w:t>
            </w: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31,254</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43,344</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9,110</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52,454</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EBITDA</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37,364</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37,410</w:t>
            </w:r>
          </w:p>
        </w:tc>
        <w:tc>
          <w:tcPr>
            <w:tcW w:w="100" w:type="dxa"/>
            <w:vAlign w:val="bottom"/>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2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Corporate expenses</w:t>
            </w:r>
            <w:r>
              <w:rPr>
                <w:rFonts w:ascii="Times New Roman" w:cs="Times New Roman" w:eastAsia="Times New Roman" w:hAnsi="Times New Roman"/>
                <w:sz w:val="17"/>
                <w:szCs w:val="17"/>
                <w:color w:val="auto"/>
                <w:vertAlign w:val="superscript"/>
              </w:rPr>
              <w:t>(2)</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8,210</w:t>
            </w: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20,386</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Monitoring fees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20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7,365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loss before taxes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(3,954)</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040" w:type="dxa"/>
            <w:vAlign w:val="bottom"/>
            <w:tcBorders>
              <w:bottom w:val="single" w:sz="8" w:color="auto"/>
            </w:tcBorders>
            <w:gridSpan w:val="5"/>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Western Hemisphere</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Eastern Hemisphere</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Tool Rental</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93,307</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1,534</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94,841</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19,289</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8,304</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27,593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112,596</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9,838</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122,434</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Elimination of intersegment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(7,834)</w:t>
            </w: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Consolidated Revenue</w:t>
            </w:r>
          </w:p>
        </w:tc>
        <w:tc>
          <w:tcPr>
            <w:tcW w:w="20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114,600</w:t>
            </w: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Less:</w:t>
            </w:r>
            <w:r>
              <w:rPr>
                <w:rFonts w:ascii="Times New Roman" w:cs="Times New Roman" w:eastAsia="Times New Roman" w:hAnsi="Times New Roman"/>
                <w:sz w:val="17"/>
                <w:szCs w:val="17"/>
                <w:color w:val="auto"/>
                <w:vertAlign w:val="superscript"/>
              </w:rPr>
              <w:t>(1)</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Cost of Tool Rental</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25,323</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Product Sales</w:t>
            </w: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7,048</w:t>
            </w:r>
          </w:p>
        </w:tc>
        <w:tc>
          <w:tcPr>
            <w:tcW w:w="22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2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2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32,026</w:t>
            </w:r>
          </w:p>
        </w:tc>
        <w:tc>
          <w:tcPr>
            <w:tcW w:w="2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4,145</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36,171</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Reconciliation of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cost of revenue</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(7,834)</w:t>
            </w: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consolidated cost of revenue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28,337</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administrative expenses</w:t>
            </w: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42,034</w:t>
            </w:r>
          </w:p>
        </w:tc>
        <w:tc>
          <w:tcPr>
            <w:tcW w:w="220" w:type="dxa"/>
            <w:vAlign w:val="bottom"/>
          </w:tcPr>
          <w:p>
            <w:pPr>
              <w:spacing w:after="0"/>
              <w:rPr>
                <w:sz w:val="12"/>
                <w:szCs w:val="12"/>
                <w:color w:val="auto"/>
              </w:rPr>
            </w:pPr>
          </w:p>
        </w:tc>
        <w:tc>
          <w:tcPr>
            <w:tcW w:w="2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3,659</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45,693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EBITDA</w:t>
            </w:r>
          </w:p>
        </w:tc>
        <w:tc>
          <w:tcPr>
            <w:tcW w:w="2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38,536</w:t>
            </w:r>
          </w:p>
        </w:tc>
        <w:tc>
          <w:tcPr>
            <w:tcW w:w="2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2,034</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40,570</w:t>
            </w:r>
          </w:p>
        </w:tc>
        <w:tc>
          <w:tcPr>
            <w:tcW w:w="100" w:type="dxa"/>
            <w:vAlign w:val="bottom"/>
            <w:shd w:val="clear" w:color="auto" w:fill="CFF0FC"/>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Reconciliation of segment profit</w:t>
            </w:r>
          </w:p>
        </w:tc>
        <w:tc>
          <w:tcPr>
            <w:tcW w:w="2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Corporate expenses</w:t>
            </w:r>
            <w:r>
              <w:rPr>
                <w:rFonts w:ascii="Times New Roman" w:cs="Times New Roman" w:eastAsia="Times New Roman" w:hAnsi="Times New Roman"/>
                <w:sz w:val="17"/>
                <w:szCs w:val="17"/>
                <w:color w:val="auto"/>
                <w:vertAlign w:val="superscript"/>
              </w:rPr>
              <w:t>(2)</w:t>
            </w: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9,588</w:t>
            </w: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17,232</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1,572</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Monitoring fees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w:t>
            </w:r>
          </w:p>
        </w:tc>
        <w:tc>
          <w:tcPr>
            <w:tcW w:w="2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4,766</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2,075</w:t>
            </w:r>
          </w:p>
        </w:tc>
        <w:tc>
          <w:tcPr>
            <w:tcW w:w="10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0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 income before taxes</w:t>
            </w:r>
          </w:p>
        </w:tc>
        <w:tc>
          <w:tcPr>
            <w:tcW w:w="20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4,774</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-4362450</wp:posOffset>
            </wp:positionV>
            <wp:extent cx="6772275" cy="939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-3385185</wp:posOffset>
            </wp:positionV>
            <wp:extent cx="6772275" cy="939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-4465320</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-4079875</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-4079875</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-4079875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-3488055</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-3488055</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-3488055</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-2725420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-1670685</wp:posOffset>
            </wp:positionV>
            <wp:extent cx="6772275" cy="939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-693420</wp:posOffset>
            </wp:positionV>
            <wp:extent cx="6772275" cy="939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72275" cy="9398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-1773555</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-1388110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-1388110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-1388110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-796290</wp:posOffset>
            </wp:positionV>
            <wp:extent cx="603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-796290</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-796290</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3" w:lineRule="exact"/>
        <w:rPr>
          <w:sz w:val="20"/>
          <w:szCs w:val="20"/>
          <w:color w:val="auto"/>
        </w:rPr>
      </w:pPr>
    </w:p>
    <w:p>
      <w:pPr>
        <w:ind w:left="1500" w:right="1360" w:firstLine="5"/>
        <w:spacing w:after="0" w:line="233" w:lineRule="auto"/>
        <w:tabs>
          <w:tab w:leader="none" w:pos="170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ind w:left="1700" w:hanging="195"/>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primarily of expenses not allocated to our geographical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financial information by operating segment as of September 30, 2025 and 2024 is summarized below:</w:t>
      </w:r>
    </w:p>
    <w:p>
      <w:pPr>
        <w:spacing w:after="0" w:line="200" w:lineRule="exact"/>
        <w:rPr>
          <w:sz w:val="20"/>
          <w:szCs w:val="20"/>
          <w:color w:val="auto"/>
        </w:rPr>
      </w:pPr>
    </w:p>
    <w:p>
      <w:pPr>
        <w:spacing w:after="0" w:line="2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3" w:right="619" w:bottom="1440" w:gutter="0" w:footer="0" w:header="0"/>
        </w:sectPr>
      </w:pPr>
    </w:p>
    <w:bookmarkStart w:id="34" w:name="page35"/>
    <w:bookmarkEnd w:id="34"/>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Segment Assets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149,286</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67,894</w:t>
            </w: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segment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217,180</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227,397</w:t>
            </w:r>
          </w:p>
        </w:tc>
        <w:tc>
          <w:tcPr>
            <w:tcW w:w="4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218,843</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-1002030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-1002030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-436245</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-436245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-153670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-153670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1500" w:right="1540" w:firstLine="5"/>
        <w:spacing w:after="0" w:line="229" w:lineRule="auto"/>
        <w:tabs>
          <w:tab w:leader="none" w:pos="17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goodwill allocated to the four reporting units is included within their respective segment asset totals. The goodwill amount included in segment assets is net of impairment losses of $0.9 million and $1.0 million at the Western Hemisphere and Eastern Hemisphere segments, respectively. Refer to </w:t>
      </w:r>
      <w:r>
        <w:rPr>
          <w:rFonts w:ascii="Times New Roman" w:cs="Times New Roman" w:eastAsia="Times New Roman" w:hAnsi="Times New Roman"/>
          <w:sz w:val="14"/>
          <w:szCs w:val="14"/>
          <w:i w:val="1"/>
          <w:iCs w:val="1"/>
          <w:color w:val="auto"/>
        </w:rPr>
        <w:t>Note 7 - Goodwill</w:t>
      </w:r>
      <w:r>
        <w:rPr>
          <w:rFonts w:ascii="Times New Roman" w:cs="Times New Roman" w:eastAsia="Times New Roman" w:hAnsi="Times New Roman"/>
          <w:sz w:val="14"/>
          <w:szCs w:val="14"/>
          <w:color w:val="auto"/>
        </w:rPr>
        <w:t xml:space="preserve"> for further details.</w:t>
      </w:r>
    </w:p>
    <w:p>
      <w:pPr>
        <w:ind w:left="1700" w:hanging="195"/>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assets consists of cash, related party notes receivables, and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SUPPLEMENTAL CASH FLOWS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flows related to income taxes, interest, leases, inventory purchases and capital expenditures included in accounts payable, assumed liabilities acquired in a business combination and other non-cash investing and financing activities were as follows: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8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 related to EDP Acquisition</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Fair value of CTG liabilities assumed in CTG Acquisition</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SDPI liabilities assumed in SDPI Acquisition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Fair value of Titan liabilities assumed in Titan Acquisition</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consideration in SDPI Acquisition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consideration in Titan Acquisition</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inventory included in accounts payable and accrued expenses and other current liabilities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8"/>
                <w:szCs w:val="18"/>
                <w:color w:val="auto"/>
              </w:rPr>
            </w:pPr>
          </w:p>
        </w:tc>
      </w:tr>
      <w:tr>
        <w:trPr>
          <w:trHeight w:val="198"/>
        </w:trPr>
        <w:tc>
          <w:tcPr>
            <w:tcW w:w="82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 and other current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8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recovery of note receivable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exercise of stock options</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8"/>
                <w:szCs w:val="18"/>
                <w:color w:val="auto"/>
              </w:rPr>
            </w:pPr>
          </w:p>
        </w:tc>
      </w:tr>
      <w:tr>
        <w:trPr>
          <w:trHeight w:val="234"/>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withheld from exercise of stock options for payment of taxes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SHARE REPURCHASES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May 13, 2025, the Company announced a share repurchase program allowing the Company to purchase common stock held by non-affiliates, not to exceed $10.0 million in aggregate value. Share repurchases may take place in any transaction form as allowable by the SEC. The Board of Directors of the Company approved the plan to remain active until </w:t>
      </w:r>
      <w:r>
        <w:rPr>
          <w:rFonts w:ascii="Times New Roman" w:cs="Times New Roman" w:eastAsia="Times New Roman" w:hAnsi="Times New Roman"/>
          <w:sz w:val="18"/>
          <w:szCs w:val="18"/>
          <w:b w:val="1"/>
          <w:bCs w:val="1"/>
          <w:color w:val="auto"/>
        </w:rPr>
        <w:t>December 31, 2025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repurchased 259,908 shares of the Company’s Common Stock for an aggregate $0.6 million, net of fees on the open market. During the nine months ended September 30, 2025, the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repurchased 462,519 shares of the Company’s Common Stock for an aggregate $1.2 million, net of fees on the open market. As of September 30, 2025, the Company still has $8.8 million of remaining shares authorized for repurchase.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September 30, 2025, and for the three and nine months ended September 30, 2025 and 2024, included elsewhere herein. For additional information pertaining to our business, including risk factors which should be considered before investing in our common stock, refer to our Annual Report on Form 10-K for the fiscal year ended December 31, 2024. Our historical results are not necessarily indicative of the results that may be expected for any period in the future. All dollar amounts are expressed in thousands of United States dollars (“$”), unless otherwise indicated. Capitalized terms used in this section, but not otherwise defined, have the meanings ascribed to them in the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We operate from 15 locations in North America and 11 international service and support centers in Europe, the Middle East, and Asia-Pacific.</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derived from two sources: tool rental and product sales. Tool rental revenues are derived from the rental of tools used in bottom hole assemblies (“BHA”), various wellbore optimization tools, and tubular goods for drilling, workover, and completion operations. Additionally, tool rental revenue consists of the repair and inspection of such tools. Product sale revenues are derived from the sale of target depth technologies, the manufacturing and repair of tools for external customers, and tool recovery revenue. During the three months ended September 30, 2025 and 2024, we derived 82% and 70% of total revenues from tool rentals and 18% and 30% from product sales, respectively. During the nine months ended September 30, 2025 and 2024, we derived 82% and 75% from tool rentals and 18% and 25% from product sales,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out of 2 reporting segments, split by geography, consisting of the Western Hemisphere operations and the Eastern Hemisphere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tool rental revenues are primarily dependent on drilling activity and our ability to gain or maintain market share with a sustainable pricing model.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customers need to replace aging or consumable products and our ability to provide competitive pricing. With the addition of Deep Casing Tools, we now sell tools to the end users for use in constructing their wells.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product 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Update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2025, the oil and gas market witnessed a dynamic interplay of geopolitical tensions, shifting demand dynamics, and evolving geopolitical and economic factors. U.S. oil production reached record highs, averaging 13.5 million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barrels per day, driven by the Permian Basin and offshore developments. However, this surge in supply coincided with an increasing surplus in global oil supply over demand, leading to downward pressure on prices. Crude oil prices experienced declines, specially WTI, whose quarterly average decreased from $76.24 per barrel to $65.74 per barrel from the third quarter of 2024 to the third quarter of 2025. Despite the high volatility in spot oil prices described above, our customers tend to be more focused on medium-term and long term commodity prices when making investment decisions due to the longer lead times for offshore projects.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2025, U.S. natural gas prices experienced a notable rebound following the record lows of 2024. The Henry Hub spot price averaged approximately $3.03 per million British thermal units (MMBtu) during the third quarter, or a 43% increase compared to the third quarter of 2024. An increase in demand is expected to outpace any expected growth in U.S. production, leading to a tightening of inventories and supporting higher prices through the remainder of 2025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significant commodity price volatility over the past several years, we have seen decreases in both the Western and Eastern Hemisphere. During the three and nine months ended September 30, 2025, the weekly average Western Hemisphere rig count, as reported by Baker Hughes was 851 and 871 rigs, respectively, compared to 947 and 946 rigs for the three and nine months ended September 30, 2024. Additionally, during the three and nine months ended September 30, 2025, the weekly average Eastern Hemisphere rig count, as reported by Baker Hughes was 887 and 900 rigs, respectively, compared to 950 and 969 rigs for the three and nine months ended September 30, 2024. However, notwithstanding the impact of longer laterals, improved rig efficiencies have partially offset the impact of this reduction.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Increased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experiencing the impacts of global inflation, both in increased personnel costs and the prices of goods and services required to operate our rigs and execute capital projects. While we are currently unable to estimate the ultimate impact of rising prices, we do expect that our costs will continue to rise in the near term and will impact our profitability.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 forth our results of operations for the periods presented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 net:</w:t>
            </w:r>
          </w:p>
        </w:tc>
        <w:tc>
          <w:tcPr>
            <w:tcW w:w="100" w:type="dxa"/>
            <w:vAlign w:val="bottom"/>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Western Hemisphere</w:t>
            </w:r>
          </w:p>
        </w:tc>
        <w:tc>
          <w:tcPr>
            <w:tcW w:w="900" w:type="dxa"/>
            <w:vAlign w:val="bottom"/>
            <w:gridSpan w:val="2"/>
          </w:tcPr>
          <w:p>
            <w:pPr>
              <w:jc w:val="right"/>
              <w:ind w:right="6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34,952</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38,734</w:t>
            </w:r>
          </w:p>
        </w:tc>
        <w:tc>
          <w:tcPr>
            <w:tcW w:w="160" w:type="dxa"/>
            <w:vAlign w:val="bottom"/>
          </w:tcPr>
          <w:p>
            <w:pPr>
              <w:spacing w:after="0"/>
              <w:rPr>
                <w:sz w:val="12"/>
                <w:szCs w:val="12"/>
                <w:color w:val="auto"/>
              </w:rPr>
            </w:pP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(3,782)</w:t>
            </w:r>
          </w:p>
        </w:tc>
        <w:tc>
          <w:tcPr>
            <w:tcW w:w="1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Eastern Hemisphere</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6,223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4,409</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1,814</w:t>
            </w: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9"/>
        </w:trPr>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(2,358)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2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revenue, net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38,817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40,093</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(1,276)</w:t>
            </w:r>
          </w:p>
        </w:tc>
        <w:tc>
          <w:tcPr>
            <w:tcW w:w="12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2"/>
        </w:trPr>
        <w:tc>
          <w:tcPr>
            <w:tcW w:w="59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Segment income/(loss)</w:t>
            </w:r>
          </w:p>
        </w:tc>
        <w:tc>
          <w:tcPr>
            <w:tcW w:w="100" w:type="dxa"/>
            <w:vAlign w:val="bottom"/>
            <w:tcBorders>
              <w:top w:val="single" w:sz="8" w:color="CFF0F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Western Hemisphere</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13,525</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(1,842)</w:t>
            </w:r>
          </w:p>
        </w:tc>
        <w:tc>
          <w:tcPr>
            <w:tcW w:w="12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9"/>
        </w:trPr>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Eastern Hemisphere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1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segment income/(loss)</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11,872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14,221</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(2,349)</w:t>
            </w:r>
          </w:p>
        </w:tc>
        <w:tc>
          <w:tcPr>
            <w:tcW w:w="12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21"/>
        </w:trPr>
        <w:tc>
          <w:tcPr>
            <w:tcW w:w="5940" w:type="dxa"/>
            <w:vAlign w:val="bottom"/>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Costs and other deductions: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9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Corporate and other expenses</w:t>
            </w:r>
            <w:r>
              <w:rPr>
                <w:rFonts w:ascii="Times New Roman" w:cs="Times New Roman" w:eastAsia="Times New Roman" w:hAnsi="Times New Roman"/>
                <w:sz w:val="17"/>
                <w:szCs w:val="17"/>
                <w:color w:val="auto"/>
                <w:vertAlign w:val="superscript"/>
              </w:rPr>
              <w:t>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3,582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3,786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(204)</w:t>
            </w:r>
          </w:p>
        </w:tc>
        <w:tc>
          <w:tcPr>
            <w:tcW w:w="124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22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(loss) on asset disposal</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9"/>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(loss) on equity securities</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8"/>
        </w:trPr>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9"/>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operating and non-operating costs, net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2,443</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12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costs and other deductions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12,339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13,793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(1,454)</w:t>
            </w:r>
          </w:p>
        </w:tc>
        <w:tc>
          <w:tcPr>
            <w:tcW w:w="1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428</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(895)</w:t>
            </w:r>
          </w:p>
        </w:tc>
        <w:tc>
          <w:tcPr>
            <w:tcW w:w="12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49"/>
        </w:trPr>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(905)</w:t>
            </w: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(1,772)</w:t>
            </w:r>
          </w:p>
        </w:tc>
        <w:tc>
          <w:tcPr>
            <w:tcW w:w="12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939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-1576705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-1576705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-1576705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-1576705</wp:posOffset>
            </wp:positionV>
            <wp:extent cx="939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-427990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-427990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-427990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-427990</wp:posOffset>
            </wp:positionV>
            <wp:extent cx="939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2540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 net:</w:t>
            </w: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Western Hemisphere</w:t>
            </w:r>
          </w:p>
        </w:tc>
        <w:tc>
          <w:tcPr>
            <w:tcW w:w="860" w:type="dxa"/>
            <w:vAlign w:val="bottom"/>
            <w:gridSpan w:val="2"/>
            <w:shd w:val="clear" w:color="auto" w:fill="CFF0FC"/>
          </w:tcPr>
          <w:p>
            <w:pPr>
              <w:jc w:val="right"/>
              <w:ind w:right="6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113,733</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112,596</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w:t>
            </w: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Eastern Hemisphere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7,523</w:t>
            </w:r>
          </w:p>
        </w:tc>
        <w:tc>
          <w:tcPr>
            <w:tcW w:w="220" w:type="dxa"/>
            <w:vAlign w:val="bottom"/>
          </w:tcPr>
          <w:p>
            <w:pPr>
              <w:spacing w:after="0"/>
              <w:rPr>
                <w:sz w:val="12"/>
                <w:szCs w:val="12"/>
                <w:color w:val="auto"/>
              </w:rPr>
            </w:pPr>
          </w:p>
        </w:tc>
        <w:tc>
          <w:tcPr>
            <w:tcW w:w="1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9"/>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w:t>
            </w:r>
          </w:p>
        </w:tc>
        <w:tc>
          <w:tcPr>
            <w:tcW w:w="12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(9,976)</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(7,834)</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(2,142)</w:t>
            </w: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revenue, net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121,118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114,600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6,518</w:t>
            </w:r>
          </w:p>
        </w:tc>
        <w:tc>
          <w:tcPr>
            <w:tcW w:w="220" w:type="dxa"/>
            <w:vAlign w:val="bottom"/>
          </w:tcPr>
          <w:p>
            <w:pPr>
              <w:spacing w:after="0"/>
              <w:rPr>
                <w:sz w:val="12"/>
                <w:szCs w:val="12"/>
                <w:color w:val="auto"/>
              </w:rPr>
            </w:pPr>
          </w:p>
        </w:tc>
        <w:tc>
          <w:tcPr>
            <w:tcW w:w="1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5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Segment income/(loss)</w:t>
            </w:r>
          </w:p>
        </w:tc>
        <w:tc>
          <w:tcPr>
            <w:tcW w:w="12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Western Hemisphere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38,536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1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Eastern Hemisphere</w:t>
            </w:r>
          </w:p>
        </w:tc>
        <w:tc>
          <w:tcPr>
            <w:tcW w:w="12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(1,988)</w:t>
            </w:r>
          </w:p>
        </w:tc>
        <w:tc>
          <w:tcPr>
            <w:tcW w:w="12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94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Total segment income</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37,410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40,570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color w:val="auto"/>
              </w:rPr>
              <w:t>(3,160)</w:t>
            </w:r>
          </w:p>
        </w:tc>
        <w:tc>
          <w:tcPr>
            <w:tcW w:w="12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6"/>
        </w:trPr>
        <w:tc>
          <w:tcPr>
            <w:tcW w:w="594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Costs and other deductions: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Corporate and other expenses</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(1,130)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2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20,386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17,232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3,154</w:t>
            </w: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1,951</w:t>
            </w:r>
          </w:p>
        </w:tc>
        <w:tc>
          <w:tcPr>
            <w:tcW w:w="220" w:type="dxa"/>
            <w:vAlign w:val="bottom"/>
          </w:tcPr>
          <w:p>
            <w:pPr>
              <w:spacing w:after="0"/>
              <w:rPr>
                <w:sz w:val="12"/>
                <w:szCs w:val="12"/>
                <w:color w:val="auto"/>
              </w:rPr>
            </w:pPr>
          </w:p>
        </w:tc>
        <w:tc>
          <w:tcPr>
            <w:tcW w:w="1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8"/>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Gain (loss) on asset disposal</w:t>
            </w:r>
          </w:p>
        </w:tc>
        <w:tc>
          <w:tcPr>
            <w:tcW w:w="12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8"/>
        </w:trPr>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(loss) on equity securities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2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8"/>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12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w:t>
            </w: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9"/>
        </w:trPr>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operating and non-operating costs, net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(807)</w:t>
            </w:r>
          </w:p>
        </w:tc>
        <w:tc>
          <w:tcPr>
            <w:tcW w:w="1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costs and other deductions</w:t>
            </w:r>
          </w:p>
        </w:tc>
        <w:tc>
          <w:tcPr>
            <w:tcW w:w="12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41,364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35,796</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5,568</w:t>
            </w: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(3,954)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4,774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(8,728)</w:t>
            </w:r>
          </w:p>
        </w:tc>
        <w:tc>
          <w:tcPr>
            <w:tcW w:w="1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48"/>
        </w:trPr>
        <w:tc>
          <w:tcPr>
            <w:tcW w:w="5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12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Pr>
          <w:p>
            <w:pPr>
              <w:spacing w:after="0"/>
              <w:rPr>
                <w:sz w:val="14"/>
                <w:szCs w:val="14"/>
                <w:color w:val="auto"/>
              </w:rPr>
            </w:pPr>
          </w:p>
        </w:tc>
        <w:tc>
          <w:tcPr>
            <w:tcW w:w="740" w:type="dxa"/>
            <w:vAlign w:val="bottom"/>
          </w:tcPr>
          <w:p>
            <w:pPr>
              <w:jc w:val="right"/>
              <w:ind w:right="61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(4,978)</w:t>
            </w:r>
          </w:p>
        </w:tc>
        <w:tc>
          <w:tcPr>
            <w:tcW w:w="3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4,359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(9,337)</w:t>
            </w:r>
          </w:p>
        </w:tc>
        <w:tc>
          <w:tcPr>
            <w:tcW w:w="1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939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-1679575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-1679575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-1679575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-1679575</wp:posOffset>
            </wp:positionV>
            <wp:extent cx="939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-1285240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-1285240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-1285240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-1285240</wp:posOffset>
            </wp:positionV>
            <wp:extent cx="939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-325120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-325120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-325120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-325120</wp:posOffset>
            </wp:positionV>
            <wp:extent cx="939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-128270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-128270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-128270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-128270</wp:posOffset>
            </wp:positionV>
            <wp:extent cx="939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89" w:lineRule="exact"/>
        <w:rPr>
          <w:sz w:val="20"/>
          <w:szCs w:val="20"/>
          <w:color w:val="auto"/>
        </w:rPr>
      </w:pPr>
    </w:p>
    <w:p>
      <w:pPr>
        <w:ind w:left="1700" w:hanging="195"/>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and other includes stock compensation expense, monitoring expenses, and unallocated corporate expenses.</w:t>
      </w:r>
    </w:p>
    <w:p>
      <w:pPr>
        <w:spacing w:after="0" w:line="3" w:lineRule="exact"/>
        <w:rPr>
          <w:rFonts w:ascii="Times New Roman" w:cs="Times New Roman" w:eastAsia="Times New Roman" w:hAnsi="Times New Roman"/>
          <w:sz w:val="14"/>
          <w:szCs w:val="14"/>
          <w:color w:val="auto"/>
        </w:rPr>
      </w:pPr>
    </w:p>
    <w:p>
      <w:pPr>
        <w:ind w:left="1700" w:hanging="195"/>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Hemisphere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Western Hemisphere revenue was $35.0 million for the three months ended September 30, 2025, a decrease of $3.8 million, or 10%, compared to the three months ended September 30, 2024. The decrease in revenues was driven by a decrease in tool rental revenue as a result of lower customer activity levels during the three months ended September 30, 2025. Western Hemisphere segment income was $11.7 million, a decrease of $1.8 million, or 14%, compared to three months ended September 30, 2024. The decrease was in line with the decrease in revenue and driven by lower customer activity levels during the three months ended September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Hemisphere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Eastern Hemisphere revenue was $6.2 million for the three months ended September 30, 2025, an increase of $1.8 million, or 41% compared to the three months ended September 30, 2024. The increase in revenues was driven by the recent acquisitions of tool rental businesses located within the Eastern Hemisphere. Eastern Hemisphere segment income was $0.2 million, a decrease of $0.5 million, or 73%, compared to three months ended September 30, 2024. The decrease was driven by increased headcount as a result of the acquisitions and an activity decline seen in the Middle Eastern market.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was $6.8 million for the three months ended September 30, 2025, an increase of $0.6 million, or 10%, compared to the three months ended September 30, 2025 and 2024. The increase corresponds with the increasing property, plant, and equipment and intangible asset balances as a result of acquisitions and capital expenditures.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was $1.3 million for the three months ended September 30, 2025, an increase of $0.3 million, or 29%, compared to the three months ended September 30, 2025 and 2024. The increase was primarily a result of interest on the term loan, entered into in March 2024, interest on amounts drawn on the credit facility, and interest on the promissory note, entered into in September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and non-operating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and non-operating expense, net was $0.6 million for the three months ended September 30, 2025, a decrease of $1.9 million, or 76%, compared to the three months ended September 30, 2025 and 2024. The decrease was primarily a result of the transaction fees incurred during the third quarter of 2024.</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Hemisphere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Western Hemisphere revenue was $113.7 million for the nine months ended September 30, 2025, an increase of $1.1 million, or 1%, compared to the nine months ended September 30, 2024. The increase in revenues was driven by the addition of our Diamond Products Division ("DPD") in August of 2024. Western Hemisphere segment income was $37.4 million, a decrease of $1.2 million, or 3%, compared to nine months ended September 30, 2024. The decrease was driven by increased headcount as a result of the acquisitions and other personnel related expenses.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Hemisphere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Eastern Hemisphere revenue was $17.4 million for the nine months ended September 30, 2025, an increase of $7.5 million, or 76% compared to the nine months ended September 30, 2024. The increase in revenues was driven by the recent acquisitions of tool rental businesses located within the Eastern Hemisphere. Eastern Hemisphere segment loss was $0.0 million, a decrease of $2.0 million, or 98%, compared to nine months ended September 30, 2024. The decrease was driven by increased headcount as a result of the acquisitions and an activity decline seen in the Middle Eastern market.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expenses was $10.6 million for the nine months ended September 30, 2025, a decrease of $1.1 million, or 10%, compared to the nine months ended September 30, 2024. The decrease was primarily driven by the reallocation of certain corporate expenses as a result of the recent segment reorganization in January of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was $20.4 million for the nine months ended September 30, 2025, an increase of $3.2 million, or 18%, compared to the nine months ended September 30, 2024. The increase corresponds with the increasing property, plant, and equipment and intangible asset balances as a result of acquisitions and capital expenditures.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was $3.9 million for the nine months ended September 30, 2025, an increase of $2.0 million, or 96%, compared to the nine months ended September 30, 2024. The increase was primarily a result of interest on the term loan, entered into in March 2024, interest on amounts drawn on the credit facility, and interest on the promissory note, entered into in September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and non-operating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and non-operating expense, net was $4.4 million for the nine months ended September 30, 2025, a decrease of $0.8 million, or 15%, compared to the nine months ended September 30, 2024. The decrease was primarily a result of a decrease in transaction fees, offset by increases in restructuring charges and software implementation fees.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unaudited interim consolidated financial statements, which are prepared and presented in accordance with U.S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U.S. GAAP.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non-GAAP financial measure Adjusted EBITDA, which is defined as net income (loss); excluding interest income; interest expense; other operating and non-operating expense, net,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non-GAAP financial measure should not be considered in isolation from, or as substitutes for, financial information prepared in accordance with U.S. GAAP. There are a number of limitations related to the use of this non-GAAP financial measures compared to the closest comparable U.S.GAAP measure. Some of these limitations are that:</w:t>
      </w:r>
    </w:p>
    <w:p>
      <w:pPr>
        <w:spacing w:after="0" w:line="176" w:lineRule="exact"/>
        <w:rPr>
          <w:sz w:val="20"/>
          <w:szCs w:val="20"/>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income tax benefit (expense).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Adjusted EBITDA to net income (loss) for the three and nine months ended September 30, 2025 and 2024 (non-recurring transaction expenses recorded to other (income) expense are presented separately within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vMerge w:val="continue"/>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(904)</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 expense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2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(gain) on remeasurement of previously held equity interest</w:t>
            </w:r>
          </w:p>
        </w:tc>
        <w:tc>
          <w:tcPr>
            <w:tcW w:w="2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expense</w:t>
            </w:r>
          </w:p>
        </w:tc>
        <w:tc>
          <w:tcPr>
            <w:tcW w:w="2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and non-operating expense, net</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9"/>
        </w:trPr>
        <w:tc>
          <w:tcPr>
            <w:tcW w:w="300" w:type="dxa"/>
            <w:vAlign w:val="bottom"/>
          </w:tcPr>
          <w:p>
            <w:pPr>
              <w:spacing w:after="0"/>
              <w:rPr>
                <w:sz w:val="24"/>
                <w:szCs w:val="24"/>
                <w:color w:val="auto"/>
              </w:rPr>
            </w:pPr>
          </w:p>
        </w:tc>
        <w:tc>
          <w:tcPr>
            <w:tcW w:w="4980" w:type="dxa"/>
            <w:vAlign w:val="bottom"/>
            <w:tcBorders>
              <w:top w:val="single" w:sz="8" w:color="CFF0FC"/>
            </w:tcBorders>
          </w:tcPr>
          <w:p>
            <w:pPr>
              <w:spacing w:after="0"/>
              <w:rPr>
                <w:sz w:val="24"/>
                <w:szCs w:val="24"/>
                <w:color w:val="auto"/>
              </w:rPr>
            </w:pPr>
          </w:p>
        </w:tc>
        <w:tc>
          <w:tcPr>
            <w:tcW w:w="2200" w:type="dxa"/>
            <w:vAlign w:val="bottom"/>
            <w:tcBorders>
              <w:top w:val="single" w:sz="8" w:color="CFF0FC"/>
            </w:tcBorders>
          </w:tcPr>
          <w:p>
            <w:pPr>
              <w:jc w:val="right"/>
              <w:ind w:right="1670"/>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3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-916940</wp:posOffset>
            </wp:positionV>
            <wp:extent cx="603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-899795</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-916940</wp:posOffset>
            </wp:positionV>
            <wp:extent cx="603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-899795</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7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314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7340" w:type="dxa"/>
            <w:vAlign w:val="bottom"/>
            <w:gridSpan w:val="3"/>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(4,978)</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(deduct):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 expense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Management fees</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(gain) on remeasurement of previously held equity interest</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expense</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operating and non-operating expense, net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September 30, 2025, we had $4.4 million of cash and cash equivalents. Our primary sources of liquidity and capital resources are cash on hand, cash flows generated by operating activities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for at least the next 12 months to meet working capital requirements and anticipated capital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Agreement</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Reference is made to the disclosure set forth under the heading “Revolving Credit Facility” in Note 8 – </w:t>
      </w:r>
      <w:r>
        <w:rPr>
          <w:rFonts w:ascii="Times New Roman" w:cs="Times New Roman" w:eastAsia="Times New Roman" w:hAnsi="Times New Roman"/>
          <w:sz w:val="18"/>
          <w:szCs w:val="18"/>
          <w:i w:val="1"/>
          <w:iCs w:val="1"/>
          <w:color w:val="auto"/>
        </w:rPr>
        <w:t>Long Term Debt</w:t>
      </w:r>
      <w:r>
        <w:rPr>
          <w:rFonts w:ascii="Times New Roman" w:cs="Times New Roman" w:eastAsia="Times New Roman" w:hAnsi="Times New Roman"/>
          <w:sz w:val="18"/>
          <w:szCs w:val="18"/>
          <w:color w:val="auto"/>
        </w:rPr>
        <w:t>, of the notes to Interim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capital expenditure relates to capital additions or improvements that add to our rental or repair capacity or extend the useful life of our drilling tools and related infrastructure. Also, our capital expenditures replace tools that are lost or damaged by a customer and these are funded by a rental tool recovery sale amount from the customer. We regularly incur capital expenditures on an on-going basis in order to (i) increase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material contractual obligations arise from leases of facilities and vehicles under noncancelable operating leases agreements. See Note 15 -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the Interim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9 -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the Interim Condensed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14,588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9,723</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(12,745)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(46,132)</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43,360</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2025 was $14.6 million, the driver being a net loss of $4.9 million and a decrease in net working capital of $1.3 million offset by non-cash adjustments of $21.4 million.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was $9.7 million, the driver being net income of $4.4 million, including non-cash charges of $13.9 million, offset by a decrease in net working capital of $8.6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2025 was $12.7 million resulting from purchases of property, plant, and equipment of $16.1 million, purchases of intangible assets of $1.4 million, and the acquisition of Titan for $5.6 million, partially offset by proceeds from rental tool recovery sales of $10.4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$46.1 million, resulting from purchases of property, plant, and equipment of $19.7 million and the acquisition of DCT and SDPI for $38.7 million were partially offset by proceeds from rental tool recovery sales of $10.9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2025 was $3.7 million, resulting from net debt decreases of $2.6 million and purchases of treasury stock of $1.2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$43.4 million, resulting from net debt increases of $44.1 million offset by the payment of debt issuance costs of $0.7 million.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Interim Financial Statements included in this Report have been prepared in accordance with U.S. GAAP. The preparation of these Interim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 causes could have a material impact on our financial position or results of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 discussion of recent accounting pronouncements is included in Note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Interim Condensed Consolidated Financial Statements included elsewhere in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this offering (ii) the last day of the fiscal year in which its total annual gross revenue is equal to or more than $1.07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cash equivalents and accounts receivable. We maintain cash and cash equivalents with major and reputable financial institutions. Deposits held with the financial institutions may exceed the amount of insurance provided by the Canadian Deposit Insurance Corporation and the Federal Deposit Insurance Corporation on such deposits but may be redeemed upon demand. We perform periodic evaluations of the relative credit standing of the financial institutions. With respect to accounts receivable, we monitor the credit quality of our customers as well as maintain an allowance for doubtful accounts for estimated losses resulting from the inability of customers to make required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 discussion of concentration risk is included in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Interim Condensed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are primarily located in the United States, Canada, and across the Eastern Hemisphere. Therefore, foreign exchange risk exposures arise from transactions denominated in currencies other than the United States dollar, which is our functional and reporting currency. To date, a majority of our sales have been denominated in the United States and Canadian dollars.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Rising international tariffs, including any tariffs applied to goods traded between the U.S. and China, the U.S. and Mexico and the U.S. and Canada, could materially and adversely affect our business and results of operations. The U.S. government has previously and now again recently imposed tariffs on certain foreign goods from a variety of countries and regions that it perceives as engaging in unfair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trade practices. Foreign governments have imposed, and may impose in the future, retaliatory tariffs on goods that their countries import from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changes can make it difficult or costly for us to do business in, or import our products from, those countries.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certain tariff exclusions ending and with any new tariffs, it could further negatively impact global trade and economic conditions in many of the regions where we do business. It may also adversely impact demand for our products in certain locations. It may be time-consuming and costly for us to modify our business operations to adapt to or comply with such tariffs. If we become unable to recover a substantial portion of any increased tariff related costs, the recent or increased international tariffs could materially and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suite of controls including technology hardware and software solutions, regular testing of the resiliency of our systems including penetration and disaster recovery testing as well as regular training sessions on cybersecurity risks and mitigation strategies. We have established an incident response plan and team to take steps it determines are appropriate to contain, mitigate and remediate a cybersecurity incident and to respond to the associated business, legal and reputation risks. There is no assurance that these efforts will fully mitigate cybersecurity risk and mitigation efforts are not an assurance that no cybersecurity incidents will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and principal financial officers,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As of September 30, 2025, the Company’s disclosure controls and procedures were deemed ineffective by management, including the Chief Executive Officer and Chief Financial Officer. This conclusion stems from the continued presence of a material weakness in internal control over financial reporting, originally identified during the audits of the 2022 and 2023 financial statements. Despite ongoing remediation efforts and improvements made throughout 2024 and 2025, the Company has not fully addressed all prior audit findings and therefore cannot rely on its disclosure controls as of the reporting date.</w:t>
      </w:r>
    </w:p>
    <w:p>
      <w:pPr>
        <w:spacing w:after="0" w:line="16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material weakness relates to ineffective monitoring activities to assess the operation of internal control over financial reporting. While progress has been made, such as implementing a control testing plan based on applicable reporting frameworks, further improvements are needed. The elements of our remediation plan can only be accomplished over time, and we can offer no assurance that these initiatives will ultimately have the intended effects.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2024, we acquired Superior Drilling Products. As the acquisition date has exceeded one year, we are now required to assess internal controls over financial reporting. Additionally, on January 2, 2025, we completed the acquisition of Titan Tools. We are permitted to omit an assessment of an acquired business' internal control over financial reporting from our assessment of internal control over financial reporting for a period not to exceed one year from the date of the acquisition. Accordingly, we have excluded the internal control over financial reporting of Titan Tools from management's assessment of internal control over financial reporting as of September 30,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 Item 1, Note 15 to our consolidated financial statements entitled “Commitments and Contingencies,” which is incorporated in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Annual Report filed with the SEC on March 14, 2025, describes important risk factors that could cause our business, financial condition, results of operations and growth prospects to differ materially from those indicated or suggested by forward-looking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statements made in this Report or presented elsewhere by management from time to time. There have been no material changes to the risk factors that appear in the Annual Report as of the date of this Quarterly Report. Additional risks and uncertainties not currently known to us or that we currently deem to be immaterial may also materially and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13, 2025, the Company announced a share repurchase program allowing the Company to purchase common stock held by non-affiliates, not to exceed $10.0 million in aggregate value. We remain authorized to purchase $8.8 million in aggregate value of common shares under this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repurchased during the three months ended September 30, 2025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shd w:val="clear" w:color="auto" w:fill="CFF0FC"/>
          </w:tcPr>
          <w:p>
            <w:pPr>
              <w:spacing w:after="0"/>
              <w:rPr>
                <w:sz w:val="13"/>
                <w:szCs w:val="13"/>
                <w:color w:val="auto"/>
              </w:rPr>
            </w:pPr>
          </w:p>
        </w:tc>
        <w:tc>
          <w:tcPr>
            <w:tcW w:w="20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number of shares of</w:t>
            </w:r>
          </w:p>
        </w:tc>
        <w:tc>
          <w:tcPr>
            <w:tcW w:w="24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0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Aggregate purchase price of</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Remaining aggregate value</w:t>
            </w:r>
          </w:p>
        </w:tc>
      </w:tr>
      <w:tr>
        <w:trPr>
          <w:trHeight w:val="175"/>
        </w:trPr>
        <w:tc>
          <w:tcPr>
            <w:tcW w:w="88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shd w:val="clear" w:color="auto" w:fill="CFF0FC"/>
          </w:tcPr>
          <w:p>
            <w:pPr>
              <w:spacing w:after="0"/>
              <w:rPr>
                <w:sz w:val="15"/>
                <w:szCs w:val="15"/>
                <w:color w:val="auto"/>
              </w:rPr>
            </w:pPr>
          </w:p>
        </w:tc>
        <w:tc>
          <w:tcPr>
            <w:tcW w:w="20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 Purchases</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of Common Stock</w:t>
            </w:r>
          </w:p>
        </w:tc>
        <w:tc>
          <w:tcPr>
            <w:tcW w:w="20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ind w:left="60"/>
              <w:spacing w:after="0" w:line="175" w:lineRule="exact"/>
              <w:rPr>
                <w:sz w:val="20"/>
                <w:szCs w:val="20"/>
                <w:color w:val="auto"/>
              </w:rPr>
            </w:pPr>
            <w:r>
              <w:rPr>
                <w:rFonts w:ascii="Times New Roman" w:cs="Times New Roman" w:eastAsia="Times New Roman" w:hAnsi="Times New Roman"/>
                <w:sz w:val="14"/>
                <w:szCs w:val="14"/>
                <w:b w:val="1"/>
                <w:bCs w:val="1"/>
                <w:color w:val="auto"/>
              </w:rPr>
              <w:t>Common Stock repurchases</w:t>
            </w:r>
            <w:r>
              <w:rPr>
                <w:rFonts w:ascii="Times New Roman" w:cs="Times New Roman" w:eastAsia="Times New Roman" w:hAnsi="Times New Roman"/>
                <w:sz w:val="19"/>
                <w:szCs w:val="19"/>
                <w:b w:val="1"/>
                <w:bCs w:val="1"/>
                <w:color w:val="auto"/>
                <w:vertAlign w:val="superscript"/>
              </w:rPr>
              <w:t>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authorized for repurchase</w:t>
            </w:r>
          </w:p>
        </w:tc>
      </w:tr>
      <w:tr>
        <w:trPr>
          <w:trHeight w:val="142"/>
        </w:trPr>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July 1,</w:t>
            </w: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2025</w:t>
            </w:r>
          </w:p>
        </w:tc>
        <w:tc>
          <w:tcPr>
            <w:tcW w:w="13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 July 30, 2025</w:t>
            </w:r>
          </w:p>
        </w:tc>
        <w:tc>
          <w:tcPr>
            <w:tcW w:w="120" w:type="dxa"/>
            <w:vAlign w:val="bottom"/>
            <w:tcBorders>
              <w:top w:val="single" w:sz="8" w:color="CFF0FC"/>
            </w:tcBorders>
          </w:tcPr>
          <w:p>
            <w:pPr>
              <w:spacing w:after="0"/>
              <w:rPr>
                <w:sz w:val="12"/>
                <w:szCs w:val="12"/>
                <w:color w:val="auto"/>
              </w:rPr>
            </w:pPr>
          </w:p>
        </w:tc>
        <w:tc>
          <w:tcPr>
            <w:tcW w:w="2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9,392,339</w:t>
            </w:r>
          </w:p>
        </w:tc>
        <w:tc>
          <w:tcPr>
            <w:tcW w:w="100" w:type="dxa"/>
            <w:vAlign w:val="bottom"/>
            <w:tcBorders>
              <w:top w:val="single" w:sz="8" w:color="CFF0FC"/>
            </w:tcBorders>
          </w:tcPr>
          <w:p>
            <w:pPr>
              <w:spacing w:after="0"/>
              <w:rPr>
                <w:sz w:val="12"/>
                <w:szCs w:val="12"/>
                <w:color w:val="auto"/>
              </w:rPr>
            </w:pPr>
          </w:p>
        </w:tc>
      </w:tr>
      <w:tr>
        <w:trPr>
          <w:trHeight w:val="148"/>
        </w:trPr>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1,</w:t>
            </w: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13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 August 30, 2025</w:t>
            </w:r>
          </w:p>
        </w:tc>
        <w:tc>
          <w:tcPr>
            <w:tcW w:w="2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87,594</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171,046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9,221,293</w:t>
            </w:r>
          </w:p>
        </w:tc>
        <w:tc>
          <w:tcPr>
            <w:tcW w:w="100" w:type="dxa"/>
            <w:vAlign w:val="bottom"/>
            <w:shd w:val="clear" w:color="auto" w:fill="CFF0FC"/>
          </w:tcPr>
          <w:p>
            <w:pPr>
              <w:spacing w:after="0"/>
              <w:rPr>
                <w:sz w:val="12"/>
                <w:szCs w:val="12"/>
                <w:color w:val="auto"/>
              </w:rPr>
            </w:pPr>
          </w:p>
        </w:tc>
      </w:tr>
      <w:tr>
        <w:trPr>
          <w:trHeight w:val="148"/>
        </w:trPr>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1,</w:t>
            </w:r>
          </w:p>
        </w:tc>
        <w:tc>
          <w:tcPr>
            <w:tcW w:w="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1360" w:type="dxa"/>
            <w:vAlign w:val="bottom"/>
            <w:tcBorders>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 September 30, 2025</w:t>
            </w:r>
          </w:p>
        </w:tc>
        <w:tc>
          <w:tcPr>
            <w:tcW w:w="120" w:type="dxa"/>
            <w:vAlign w:val="bottom"/>
          </w:tcPr>
          <w:p>
            <w:pPr>
              <w:spacing w:after="0"/>
              <w:rPr>
                <w:sz w:val="12"/>
                <w:szCs w:val="12"/>
                <w:color w:val="auto"/>
              </w:rPr>
            </w:pPr>
          </w:p>
        </w:tc>
        <w:tc>
          <w:tcPr>
            <w:tcW w:w="2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172,314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2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373,422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8,847,872</w:t>
            </w:r>
          </w:p>
        </w:tc>
        <w:tc>
          <w:tcPr>
            <w:tcW w:w="100" w:type="dxa"/>
            <w:vAlign w:val="bottom"/>
          </w:tcPr>
          <w:p>
            <w:pPr>
              <w:spacing w:after="0"/>
              <w:rPr>
                <w:sz w:val="12"/>
                <w:szCs w:val="12"/>
                <w:color w:val="auto"/>
              </w:rPr>
            </w:pPr>
          </w:p>
        </w:tc>
      </w:tr>
      <w:tr>
        <w:trPr>
          <w:trHeight w:val="142"/>
        </w:trPr>
        <w:tc>
          <w:tcPr>
            <w:tcW w:w="8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center"/>
              <w:ind w:right="82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259,908</w:t>
            </w:r>
          </w:p>
        </w:tc>
        <w:tc>
          <w:tcPr>
            <w:tcW w:w="48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2.09</w:t>
            </w:r>
          </w:p>
        </w:tc>
        <w:tc>
          <w:tcPr>
            <w:tcW w:w="940" w:type="dxa"/>
            <w:vAlign w:val="bottom"/>
            <w:gridSpan w:val="2"/>
            <w:shd w:val="clear" w:color="auto" w:fill="CFF0FC"/>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544,467</w:t>
            </w:r>
          </w:p>
        </w:tc>
        <w:tc>
          <w:tcPr>
            <w:tcW w:w="3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8,847,872</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-393700</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-393700</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-393700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-393700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Michael Domino, President, Directional Tool Rentals Division adopted a pre-arranged stock trading plan in accordance with Rule 10b5-1 under the Securities Exchange Act of 1934, as amended. The trading plans is intended to satisfy the affirmative defense conditions of Rule 10b5-1(c) and allow for the sale of a specified number of shares of the Company’s common stock over a designated period of time, subject to certain price, timing, and volume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was adopted during an open trading window in accordance with the Company’s insider trading policy and are further described below:</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1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Name/Title</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Type of Arrangement</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Nature of Arrangement</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Duration</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Aggregate number of shares</w:t>
            </w:r>
          </w:p>
        </w:tc>
      </w:tr>
      <w:tr>
        <w:trPr>
          <w:trHeight w:val="157"/>
        </w:trPr>
        <w:tc>
          <w:tcPr>
            <w:tcW w:w="190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7"/>
                <w:szCs w:val="17"/>
                <w:color w:val="auto"/>
              </w:rPr>
              <w:t>Michael Domino,</w:t>
            </w:r>
          </w:p>
        </w:tc>
        <w:tc>
          <w:tcPr>
            <w:tcW w:w="1000" w:type="dxa"/>
            <w:vAlign w:val="bottom"/>
            <w:tcBorders>
              <w:right w:val="single" w:sz="8" w:color="auto"/>
            </w:tcBorders>
          </w:tcPr>
          <w:p>
            <w:pPr>
              <w:jc w:val="right"/>
              <w:ind w:right="95"/>
              <w:spacing w:after="0" w:line="158" w:lineRule="exact"/>
              <w:rPr>
                <w:sz w:val="20"/>
                <w:szCs w:val="20"/>
                <w:color w:val="auto"/>
              </w:rPr>
            </w:pPr>
            <w:r>
              <w:rPr>
                <w:rFonts w:ascii="Times New Roman" w:cs="Times New Roman" w:eastAsia="Times New Roman" w:hAnsi="Times New Roman"/>
                <w:sz w:val="17"/>
                <w:szCs w:val="17"/>
                <w:color w:val="auto"/>
              </w:rPr>
              <w:t>5/16/2025</w:t>
            </w:r>
          </w:p>
        </w:tc>
        <w:tc>
          <w:tcPr>
            <w:tcW w:w="21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7"/>
                <w:szCs w:val="17"/>
                <w:color w:val="auto"/>
              </w:rPr>
              <w:t>Rule 10b5-1 Trading Plan</w:t>
            </w:r>
          </w:p>
        </w:tc>
        <w:tc>
          <w:tcPr>
            <w:tcW w:w="22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7"/>
                <w:szCs w:val="17"/>
                <w:color w:val="auto"/>
                <w:w w:val="99"/>
              </w:rPr>
              <w:t>Sale of Common Stock</w:t>
            </w:r>
          </w:p>
        </w:tc>
        <w:tc>
          <w:tcPr>
            <w:tcW w:w="12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7"/>
                <w:szCs w:val="17"/>
                <w:color w:val="auto"/>
              </w:rPr>
              <w:t>15 months</w:t>
            </w:r>
          </w:p>
        </w:tc>
        <w:tc>
          <w:tcPr>
            <w:tcW w:w="2720" w:type="dxa"/>
            <w:vAlign w:val="bottom"/>
            <w:tcBorders>
              <w:right w:val="single" w:sz="8" w:color="auto"/>
            </w:tcBorders>
          </w:tcPr>
          <w:p>
            <w:pPr>
              <w:jc w:val="right"/>
              <w:ind w:right="1015"/>
              <w:spacing w:after="0" w:line="158" w:lineRule="exact"/>
              <w:rPr>
                <w:sz w:val="20"/>
                <w:szCs w:val="20"/>
                <w:color w:val="auto"/>
              </w:rPr>
            </w:pPr>
            <w:r>
              <w:rPr>
                <w:rFonts w:ascii="Times New Roman" w:cs="Times New Roman" w:eastAsia="Times New Roman" w:hAnsi="Times New Roman"/>
                <w:sz w:val="17"/>
                <w:szCs w:val="17"/>
                <w:color w:val="auto"/>
              </w:rPr>
              <w:t>125,000</w:t>
            </w:r>
          </w:p>
        </w:tc>
      </w:tr>
      <w:tr>
        <w:trPr>
          <w:trHeight w:val="203"/>
        </w:trPr>
        <w:tc>
          <w:tcPr>
            <w:tcW w:w="1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President - Directional</w:t>
            </w:r>
          </w:p>
        </w:tc>
        <w:tc>
          <w:tcPr>
            <w:tcW w:w="100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r>
      <w:tr>
        <w:trPr>
          <w:trHeight w:val="223"/>
        </w:trPr>
        <w:tc>
          <w:tcPr>
            <w:tcW w:w="1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Tool Rentals Division</w:t>
            </w:r>
          </w:p>
        </w:tc>
        <w:tc>
          <w:tcPr>
            <w:tcW w:w="100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ended September 30, 2025, Michael Domino, President - Directional Tool Rentals Division, sold 4,166 shares of common stock pursuant to a pre-arranged trading plan adopted under Rule 10b5-1.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1140" w:right="20" w:hanging="1133"/>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-171450</wp:posOffset>
            </wp:positionV>
            <wp:extent cx="639889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39889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-34290</wp:posOffset>
            </wp:positionV>
            <wp:extent cx="31254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125470" cy="889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96"/>
        </w:trPr>
        <w:tc>
          <w:tcPr>
            <w:tcW w:w="1140" w:type="dxa"/>
            <w:vAlign w:val="bottom"/>
          </w:tcPr>
          <w:p>
            <w:pPr>
              <w:spacing w:after="0"/>
              <w:rPr>
                <w:sz w:val="17"/>
                <w:szCs w:val="17"/>
                <w:color w:val="auto"/>
              </w:rPr>
            </w:pPr>
          </w:p>
        </w:tc>
        <w:tc>
          <w:tcPr>
            <w:tcW w:w="100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96"/>
        </w:trPr>
        <w:tc>
          <w:tcPr>
            <w:tcW w:w="1140" w:type="dxa"/>
            <w:vAlign w:val="bottom"/>
          </w:tcPr>
          <w:p>
            <w:pPr>
              <w:spacing w:after="0"/>
              <w:rPr>
                <w:sz w:val="17"/>
                <w:szCs w:val="17"/>
                <w:color w:val="auto"/>
              </w:rPr>
            </w:pPr>
          </w:p>
        </w:tc>
        <w:tc>
          <w:tcPr>
            <w:tcW w:w="100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4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6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196"/>
        </w:trPr>
        <w:tc>
          <w:tcPr>
            <w:tcW w:w="1140" w:type="dxa"/>
            <w:vAlign w:val="bottom"/>
          </w:tcPr>
          <w:p>
            <w:pPr>
              <w:spacing w:after="0"/>
              <w:rPr>
                <w:sz w:val="17"/>
                <w:szCs w:val="17"/>
                <w:color w:val="auto"/>
              </w:rPr>
            </w:pPr>
          </w:p>
        </w:tc>
        <w:tc>
          <w:tcPr>
            <w:tcW w:w="100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4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60" w:type="dxa"/>
            <w:vAlign w:val="bottom"/>
            <w:gridSpan w:val="2"/>
          </w:tcPr>
          <w:p>
            <w:pPr>
              <w:spacing w:after="0" w:line="20" w:lineRule="exact"/>
              <w:rPr>
                <w:sz w:val="1"/>
                <w:szCs w:val="1"/>
                <w:color w:val="auto"/>
              </w:rPr>
            </w:pPr>
          </w:p>
        </w:tc>
      </w:tr>
      <w:tr>
        <w:trPr>
          <w:trHeight w:val="3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1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firstLine="8"/>
        <w:spacing w:after="0" w:line="250" w:lineRule="auto"/>
        <w:tabs>
          <w:tab w:leader="none" w:pos="13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Drilling Tools International Corporation</w:t>
      </w:r>
    </w:p>
    <w:p>
      <w:pPr>
        <w:spacing w:after="0" w:line="198"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November 7, 2025</w:t>
      </w:r>
      <w:r>
        <w:rPr>
          <w:sz w:val="20"/>
          <w:szCs w:val="20"/>
          <w:color w:val="auto"/>
        </w:rPr>
        <w:tab/>
      </w:r>
      <w:r>
        <w:rPr>
          <w:rFonts w:ascii="Arial" w:cs="Arial" w:eastAsia="Arial" w:hAnsi="Arial"/>
          <w:sz w:val="18"/>
          <w:szCs w:val="18"/>
          <w:color w:val="auto"/>
        </w:rPr>
        <w:t>By: /s/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David R. Johnson</w:t>
      </w:r>
    </w:p>
    <w:p>
      <w:pPr>
        <w:ind w:left="60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R. Wayne Prejean, certify that:</w:t>
      </w:r>
    </w:p>
    <w:p>
      <w:pPr>
        <w:spacing w:after="0" w:line="21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80" w:val="left"/>
          <w:tab w:leader="none" w:pos="7820" w:val="left"/>
        </w:tabs>
        <w:rPr>
          <w:sz w:val="20"/>
          <w:szCs w:val="20"/>
          <w:color w:val="auto"/>
        </w:rPr>
      </w:pPr>
      <w:r>
        <w:rPr>
          <w:rFonts w:ascii="Arial" w:cs="Arial" w:eastAsia="Arial" w:hAnsi="Arial"/>
          <w:sz w:val="18"/>
          <w:szCs w:val="18"/>
          <w:color w:val="auto"/>
        </w:rPr>
        <w:t>Date: November 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R. Wayne Prejean</w:t>
      </w:r>
    </w:p>
    <w:p>
      <w:pPr>
        <w:jc w:val="center"/>
        <w:ind w:left="61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David R. Johnson, certify that:</w:t>
      </w:r>
    </w:p>
    <w:p>
      <w:pPr>
        <w:spacing w:after="0" w:line="212"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November 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David R. Johnson</w:t>
      </w:r>
    </w:p>
    <w:p>
      <w:pPr>
        <w:jc w:val="center"/>
        <w:ind w:left="61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September 30, 2025 as filed with the Securities and Exchange Commission on the date hereof (the “Report”), I certify, pursuant to 18 U.S.C.</w:t>
      </w: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193" w:lineRule="exact"/>
        <w:rPr>
          <w:rFonts w:ascii="Arial" w:cs="Arial" w:eastAsia="Arial" w:hAnsi="Arial"/>
          <w:sz w:val="18"/>
          <w:szCs w:val="18"/>
          <w:color w:val="auto"/>
        </w:rPr>
      </w:pPr>
    </w:p>
    <w:p>
      <w:pPr>
        <w:ind w:left="1020" w:hanging="503"/>
        <w:spacing w:after="0"/>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 Wayne Prejean</w:t>
      </w: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September 30, 2025 as filed with the Securities and Exchange Commission on the date hereof (the “Report”), I certify, pursuant to 18 U.S.C.</w:t>
      </w: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193" w:lineRule="exact"/>
        <w:rPr>
          <w:rFonts w:ascii="Arial" w:cs="Arial" w:eastAsia="Arial" w:hAnsi="Arial"/>
          <w:sz w:val="18"/>
          <w:szCs w:val="18"/>
          <w:color w:val="auto"/>
        </w:rPr>
      </w:pPr>
    </w:p>
    <w:p>
      <w:pPr>
        <w:ind w:left="1020" w:hanging="503"/>
        <w:spacing w:after="0"/>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780" w:val="left"/>
        </w:tabs>
        <w:rPr>
          <w:sz w:val="20"/>
          <w:szCs w:val="20"/>
          <w:color w:val="auto"/>
        </w:rPr>
      </w:pPr>
      <w:r>
        <w:rPr>
          <w:rFonts w:ascii="Arial" w:cs="Arial" w:eastAsia="Arial" w:hAnsi="Arial"/>
          <w:sz w:val="18"/>
          <w:szCs w:val="18"/>
          <w:color w:val="auto"/>
        </w:rPr>
        <w:t>Date: November 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R. Johnson</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
      <w:numFmt w:val="bullet"/>
      <w:start w:val="1"/>
    </w:lvl>
    <w:lvl w:ilvl="1">
      <w:lvlJc w:val="left"/>
      <w:lvlText w:val="(%2)"/>
      <w:numFmt w:val="decimal"/>
      <w:start w:val="1"/>
    </w:lvl>
  </w:abstractNum>
  <w:abstractNum w:abstractNumId="18">
    <w:nsid w:val="7C83E45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2025-11-07T10:37:01Z</dcterms:created>
  <dcterms:modified xsi:type="dcterms:W3CDTF">2025-11-07T10:37:01Z</dcterms:modified>
</cp:coreProperties>
</file>