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ti-20260630.htm"/>
      <w:bookmarkStart w:id="1" w:name="ksdti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For the quarterly period ended June 30, 2026</w:t>
      </w:r>
    </w:p>
    <w:p>
      <w:pPr>
        <w:pStyle w:val="TextBody"/>
        <w:bidi w:val="0"/>
        <w:spacing w:before="100" w:after="283"/>
        <w:jc w:val="center"/>
        <w:rPr>
          <w:rFonts w:ascii="Times New Roman" w:hAnsi="Times New Roman"/>
          <w:b/>
          <w:color w:val="000000"/>
          <w:sz w:val="16"/>
        </w:rPr>
      </w:pPr>
      <w:r>
        <w:rPr>
          <w:rFonts w:ascii="Times New Roman" w:hAnsi="Times New Roman"/>
          <w:b/>
          <w:color w:val="000000"/>
          <w:sz w:val="16"/>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0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10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For the transition period from ____ to ____</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Commission File Number: 001-41103</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DRILLING TOOLS INTERNATIONAL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8083" w:type="dxa"/>
        <w:jc w:val="left"/>
        <w:tblInd w:w="0" w:type="dxa"/>
        <w:tblLayout w:type="fixed"/>
        <w:tblCellMar>
          <w:top w:w="28" w:type="dxa"/>
          <w:left w:w="28" w:type="dxa"/>
          <w:bottom w:w="28" w:type="dxa"/>
          <w:right w:w="28" w:type="dxa"/>
        </w:tblCellMar>
      </w:tblPr>
      <w:tblGrid>
        <w:gridCol w:w="2926"/>
        <w:gridCol w:w="3671"/>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3671" w:type="dxa"/>
            <w:vMerge w:val="restart"/>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276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352425"/>
                          </a:xfrm>
                          <a:prstGeom prst="rect">
                            <a:avLst/>
                          </a:prstGeom>
                        </pic:spPr>
                      </pic:pic>
                    </a:graphicData>
                  </a:graphic>
                </wp:inline>
              </w:drawing>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87-2488708</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3671" w:type="dxa"/>
            <w:vMerge w:val="continue"/>
            <w:tcBorders/>
            <w:tcMar>
              <w:top w:w="0" w:type="dxa"/>
              <w:left w:w="0" w:type="dxa"/>
              <w:bottom w:w="0" w:type="dxa"/>
              <w:right w:w="0" w:type="dxa"/>
            </w:tcMar>
            <w:vAlign w:val="center"/>
          </w:tcPr>
          <w:p>
            <w:pPr>
              <w:pStyle w:val="Normal"/>
              <w:bidi w:val="0"/>
              <w:jc w:val="left"/>
              <w:rPr/>
            </w:pPr>
            <w:r>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10370 Richmond Ave.</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#1000</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Houston, Texas</w:t>
            </w:r>
          </w:p>
        </w:tc>
        <w:tc>
          <w:tcPr>
            <w:tcW w:w="3671" w:type="dxa"/>
            <w:vMerge w:val="continue"/>
            <w:tcBorders/>
            <w:tcMar>
              <w:top w:w="0" w:type="dxa"/>
              <w:left w:w="0" w:type="dxa"/>
              <w:bottom w:w="0" w:type="dxa"/>
              <w:right w:w="0" w:type="dxa"/>
            </w:tcMar>
            <w:vAlign w:val="center"/>
          </w:tcPr>
          <w:p>
            <w:pPr>
              <w:pStyle w:val="Normal"/>
              <w:bidi w:val="0"/>
              <w:jc w:val="left"/>
              <w:rPr/>
            </w:pPr>
            <w:r>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77042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3671" w:type="dxa"/>
            <w:vMerge w:val="continue"/>
            <w:tcBorders/>
            <w:tcMar>
              <w:top w:w="0" w:type="dxa"/>
              <w:left w:w="0" w:type="dxa"/>
              <w:bottom w:w="0" w:type="dxa"/>
              <w:right w:w="0" w:type="dxa"/>
            </w:tcMar>
            <w:vAlign w:val="center"/>
          </w:tcPr>
          <w:p>
            <w:pPr>
              <w:pStyle w:val="Normal"/>
              <w:bidi w:val="0"/>
              <w:jc w:val="left"/>
              <w:rPr/>
            </w:pPr>
            <w:r>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 (832) 742-8500</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3211"/>
        <w:gridCol w:w="146"/>
        <w:gridCol w:w="826"/>
        <w:gridCol w:w="146"/>
        <w:gridCol w:w="331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DTI</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righ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As of August 4, 2026, the registrant had 35,282,224</w:t>
      </w:r>
      <w:r>
        <w:rPr>
          <w:rFonts w:ascii="Times New Roman" w:hAnsi="Times New Roman"/>
          <w:color w:val="000000"/>
          <w:sz w:val="20"/>
        </w:rPr>
        <w:t xml:space="preserve"> </w:t>
      </w:r>
      <w:r>
        <w:rPr>
          <w:rFonts w:ascii="Times New Roman" w:hAnsi="Times New Roman"/>
          <w:color w:val="000000"/>
          <w:sz w:val="16"/>
        </w:rPr>
        <w:t>shares of common stock, $0.0001 par value per share, outstanding.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5" w:type="dxa"/>
        <w:jc w:val="left"/>
        <w:tblInd w:w="0" w:type="dxa"/>
        <w:tblLayout w:type="fixed"/>
        <w:tblCellMar>
          <w:top w:w="28" w:type="dxa"/>
          <w:left w:w="28" w:type="dxa"/>
          <w:bottom w:w="28" w:type="dxa"/>
          <w:right w:w="28" w:type="dxa"/>
        </w:tblCellMar>
      </w:tblPr>
      <w:tblGrid>
        <w:gridCol w:w="811"/>
        <w:gridCol w:w="7366"/>
        <w:gridCol w:w="648"/>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Comprehensive Income (Loss)</w:t>
              </w:r>
            </w:hyperlink>
            <w:r>
              <w:rPr>
                <w:rFonts w:ascii="Times New Roman" w:hAnsi="Times New Roman"/>
                <w:color w:val="000000"/>
                <w:sz w:val="20"/>
              </w:rPr>
              <w:t xml:space="preserve"> </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Heading1"/>
              <w:bidi w:val="0"/>
              <w:spacing w:before="240" w:after="283"/>
              <w:jc w:val="left"/>
              <w:rPr/>
            </w:pPr>
            <w:hyperlink w:anchor="consolidated_of_shareholder_equity">
              <w:r>
                <w:rPr>
                  <w:rStyle w:val="InternetLink"/>
                  <w:rFonts w:ascii="Times New Roman" w:hAnsi="Times New Roman"/>
                  <w:color w:val="0000FF"/>
                  <w:sz w:val="20"/>
                  <w:u w:val="single"/>
                </w:rPr>
                <w:t>Condensed Consolidated Statements of Changes in Shareholders' Equity</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_1_summary_of_significant">
              <w:r>
                <w:rPr>
                  <w:rStyle w:val="InternetLink"/>
                  <w:rFonts w:ascii="Times New Roman" w:hAnsi="Times New Roman"/>
                  <w:color w:val="0000FF"/>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r>
              <w:rPr>
                <w:rFonts w:ascii="Times New Roman" w:hAnsi="Times New Roman"/>
                <w:color w:val="000000"/>
                <w:sz w:val="20"/>
              </w:rPr>
              <w:t xml:space="preserve">PART II. - </w:t>
            </w:r>
            <w:hyperlink w:anchor="part_ii_other_information">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a">
              <w:r>
                <w:rPr>
                  <w:rStyle w:val="InternetLink"/>
                  <w:rFonts w:ascii="Times New Roman" w:hAnsi="Times New Roman"/>
                  <w:color w:val="0000FF"/>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1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cautionary_note"/>
      <w:bookmarkEnd w:id="2"/>
      <w:r>
        <w:rPr>
          <w:rFonts w:ascii="Times New Roman" w:hAnsi="Times New Roman"/>
          <w:b/>
          <w:color w:val="000000"/>
          <w:sz w:val="20"/>
        </w:rPr>
        <w:t>CAUTIONARY NOTE REGARDING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noBreakHyphen/>
        <w:t>looking. Forward-looking statements in this Report may include, for example, statements about:</w:t>
      </w:r>
    </w:p>
    <w:p>
      <w:pPr>
        <w:pStyle w:val="TextBody"/>
        <w:bidi w:val="0"/>
        <w:spacing w:before="240" w:after="283"/>
        <w:jc w:val="both"/>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demand for our products and services, which is influenced by the general level of activity in the oil and gas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our customers, particularly those that contribute to a large portion of our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employ and retain a sufficient number of skilled and qualified workers, including our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our status as an emerging growth company and smaller reporting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source tools at reasonable cost;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customers’ ability to obtain required permits or authorizations from applicable governmental agencies and other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market our services in a competitive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execute, integrate and realize the benefits of acquisitions, and manage the resulting growth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new technology that may become prevalent in the oilfield services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liability for claims arising from damage or harm caused by the operation of our tools, or otherwise arising from the dangerous activities that are inherent in the oil and gas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 global pandemic;</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the ongoing Russia-Ukraine and Israel-Hamas conflicts on the global economy;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application of oilfield anti-indemnity limitations enacted by certain states;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restrictive covenants in the Second Amended and Restated Revolving Credit, Term Loan and Security and Guaranty Agreement among Drilling Tools International, Inc., certain of its subsidiaries, Drilling Tools International Corporation and PNC Bank, National Association, dated as of March 15, 2024 (the “Credit Facility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indebtedness incurred to execute our long-term growth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political, regulatory, economic and social disruptions in the countries in which we conduct business, including changes in tax laws or tax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our information technology systems, in particular Customer Order Management Portal and Support System, for the efficient operation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 change in relevant accounting principles, enforcement of existing or new regulations, and changes in policies, rules, regulations, and interpretations of accounting and financial reporting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adverse and unusual weather conditions on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comply with applicable laws, regulations and rules, including those related to the environment, greenhouse gases and climate change;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our intellectual property rights or trade secrets;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an effective system of disclosure controls and internal control over financial reporting;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volatility in the market price of the Common Stock;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for issuance of additional shares of DTIC Common Stock or other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the listing of the DTIC Common Stock on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industry or securities analysts changing their recommendation, or failing to cover, the DTIC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risks and uncertainties described in this Report, including those under the section entitled “Risk Factors.”</w:t>
      </w:r>
    </w:p>
    <w:p>
      <w:pPr>
        <w:pStyle w:val="TextBody"/>
        <w:bidi w:val="0"/>
        <w:jc w:val="left"/>
        <w:rPr/>
      </w:pPr>
      <w:r>
        <w:rPr/>
        <w:t> </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4" w:name="i_item1"/>
      <w:bookmarkEnd w:id="4"/>
      <w:r>
        <w:rPr>
          <w:rFonts w:ascii="Times New Roman" w:hAnsi="Times New Roman"/>
          <w:b/>
          <w:color w:val="000000"/>
          <w:sz w:val="20"/>
        </w:rPr>
        <w:t>Item 1. Financial Statements.</w:t>
      </w:r>
    </w:p>
    <w:p>
      <w:pPr>
        <w:pStyle w:val="Heading1"/>
        <w:bidi w:val="0"/>
        <w:jc w:val="center"/>
        <w:rPr>
          <w:rFonts w:ascii="Times New Roman" w:hAnsi="Times New Roman"/>
          <w:color w:val="000000"/>
          <w:sz w:val="20"/>
        </w:rPr>
      </w:pPr>
      <w:bookmarkStart w:id="5" w:name="consolidated_balance_sheets"/>
      <w:bookmarkEnd w:id="5"/>
      <w:r>
        <w:rPr>
          <w:rFonts w:ascii="Times New Roman" w:hAnsi="Times New Roman"/>
          <w:color w:val="000000"/>
          <w:sz w:val="20"/>
        </w:rPr>
        <w:t>CONDENSED CONSOLIDATED BALANCE SHEETS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33"/>
        <w:gridCol w:w="146"/>
        <w:gridCol w:w="211"/>
        <w:gridCol w:w="781"/>
        <w:gridCol w:w="166"/>
        <w:gridCol w:w="146"/>
        <w:gridCol w:w="236"/>
        <w:gridCol w:w="874"/>
        <w:gridCol w:w="412"/>
      </w:tblGrid>
      <w:tr>
        <w:trPr/>
        <w:tc>
          <w:tcPr>
            <w:tcW w:w="7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note receivable,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financing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note receivable,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222,181</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99,308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Commitments and contingencies</w:t>
            </w:r>
            <w:r>
              <w:rPr>
                <w:rFonts w:ascii="Times New Roman" w:hAnsi="Times New Roman"/>
                <w:color w:val="000000"/>
                <w:sz w:val="20"/>
              </w:rPr>
              <w:t> </w:t>
            </w:r>
            <w:r>
              <w:rPr>
                <w:rFonts w:ascii="Times New Roman" w:hAnsi="Times New Roman"/>
                <w:b/>
                <w:color w:val="000000"/>
                <w:sz w:val="20"/>
              </w:rPr>
              <w:t>(See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shares authorized 125,000,000; issued 36,057,592 and 35,661,297, respectively; outstanding 35,282,224 and 35,156,128,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Treasury stock at cost, 775,368 and 505,169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130,801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Drilling Tools International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122,861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122,873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222,181</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6"/>
        </w:rPr>
      </w:pPr>
      <w:r>
        <w:rPr>
          <w:rFonts w:ascii="Times New Roman" w:hAnsi="Times New Roman"/>
          <w:i/>
          <w:color w:val="000000"/>
          <w:sz w:val="16"/>
        </w:rPr>
        <w:t>The accompanying notes are an integral part of these unaudited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6" w:name="consolidated_statements_of_operations"/>
      <w:bookmarkEnd w:id="6"/>
      <w:r>
        <w:rPr>
          <w:rFonts w:ascii="Times New Roman" w:hAnsi="Times New Roman"/>
          <w:color w:val="000000"/>
          <w:sz w:val="20"/>
        </w:rPr>
        <w:t>CONDENSED CONSOLIDATED STATEMENTS OF COMPREHENSIVE INCOME (LOSS)</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2"/>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Tool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other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tool rental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asset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other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attributable to Drilling Tools International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(loss) attributable to Drilling Tools International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16"/>
        </w:rPr>
        <w:t>The accompanying notes are an integral part of these unaudited condensed consolidated financial statements</w:t>
      </w:r>
      <w:r>
        <w:rPr>
          <w:rFonts w:ascii="Arial" w:hAnsi="Arial"/>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DRILLING TOOLS INTERNATIONAL CORPORATION</w:t>
      </w:r>
    </w:p>
    <w:p>
      <w:pPr>
        <w:pStyle w:val="Heading1"/>
        <w:bidi w:val="0"/>
        <w:jc w:val="center"/>
        <w:rPr>
          <w:rFonts w:ascii="Times New Roman" w:hAnsi="Times New Roman"/>
          <w:color w:val="000000"/>
          <w:sz w:val="20"/>
        </w:rPr>
      </w:pPr>
      <w:bookmarkStart w:id="7" w:name="consolidated_of_shareholder_equity"/>
      <w:bookmarkEnd w:id="7"/>
      <w:r>
        <w:rPr>
          <w:rFonts w:ascii="Times New Roman" w:hAnsi="Times New Roman"/>
          <w:color w:val="000000"/>
          <w:sz w:val="20"/>
        </w:rPr>
        <w:t>CONDENSED CONSOLIDATED STATEMENTS OF CHANGES IN SHAREHOLDERS’ EQUITY</w:t>
      </w:r>
    </w:p>
    <w:p>
      <w:pPr>
        <w:pStyle w:val="Heading1"/>
        <w:bidi w:val="0"/>
        <w:jc w:val="center"/>
        <w:rPr>
          <w:rFonts w:ascii="Times New Roman" w:hAnsi="Times New Roman"/>
          <w:color w:val="000000"/>
          <w:sz w:val="20"/>
        </w:rPr>
      </w:pPr>
      <w:r>
        <w:rPr>
          <w:rFonts w:ascii="Times New Roman" w:hAnsi="Times New Roman"/>
          <w:color w:val="000000"/>
          <w:sz w:val="20"/>
        </w:rPr>
        <w:t>(UNAUDITED)</w:t>
      </w:r>
    </w:p>
    <w:p>
      <w:pPr>
        <w:pStyle w:val="Heading1"/>
        <w:bidi w:val="0"/>
        <w:jc w:val="left"/>
        <w:rPr/>
      </w:pPr>
      <w:r>
        <w:rPr/>
        <w:t> </w:t>
      </w:r>
    </w:p>
    <w:tbl>
      <w:tblPr>
        <w:tblW w:w="13825"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249"/>
        <w:gridCol w:w="442"/>
        <w:gridCol w:w="146"/>
        <w:gridCol w:w="146"/>
        <w:gridCol w:w="146"/>
        <w:gridCol w:w="691"/>
        <w:gridCol w:w="146"/>
        <w:gridCol w:w="146"/>
        <w:gridCol w:w="214"/>
        <w:gridCol w:w="477"/>
        <w:gridCol w:w="166"/>
        <w:gridCol w:w="146"/>
        <w:gridCol w:w="196"/>
        <w:gridCol w:w="691"/>
        <w:gridCol w:w="146"/>
        <w:gridCol w:w="146"/>
        <w:gridCol w:w="268"/>
        <w:gridCol w:w="783"/>
        <w:gridCol w:w="166"/>
        <w:gridCol w:w="146"/>
        <w:gridCol w:w="310"/>
        <w:gridCol w:w="906"/>
        <w:gridCol w:w="166"/>
        <w:gridCol w:w="146"/>
        <w:gridCol w:w="242"/>
        <w:gridCol w:w="854"/>
        <w:gridCol w:w="166"/>
        <w:gridCol w:w="146"/>
        <w:gridCol w:w="456"/>
        <w:gridCol w:w="805"/>
        <w:gridCol w:w="146"/>
        <w:gridCol w:w="146"/>
        <w:gridCol w:w="196"/>
        <w:gridCol w:w="69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Drilling Tools International Shareholders'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34,704,696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business combination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35,592,737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due to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35,661,297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16"/>
        </w:rPr>
        <w:t>The accompanying notes are an integral part of these unaudited condensed consolidated financial statements</w:t>
      </w:r>
      <w:r>
        <w:rPr>
          <w:rFonts w:ascii="Times New Roman" w:hAnsi="Times New Roman"/>
          <w:i/>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p>
      <w:pPr>
        <w:pStyle w:val="Heading1"/>
        <w:bidi w:val="0"/>
        <w:jc w:val="left"/>
        <w:rPr/>
      </w:pPr>
      <w:r>
        <w:rPr/>
        <w:t> </w:t>
      </w:r>
    </w:p>
    <w:tbl>
      <w:tblPr>
        <w:tblW w:w="13921" w:type="dxa"/>
        <w:jc w:val="left"/>
        <w:tblInd w:w="0" w:type="dxa"/>
        <w:tblLayout w:type="fixed"/>
        <w:tblCellMar>
          <w:top w:w="28" w:type="dxa"/>
          <w:left w:w="28" w:type="dxa"/>
          <w:bottom w:w="28" w:type="dxa"/>
          <w:right w:w="28" w:type="dxa"/>
        </w:tblCellMar>
      </w:tblPr>
      <w:tblGrid>
        <w:gridCol w:w="1081"/>
        <w:gridCol w:w="146"/>
        <w:gridCol w:w="146"/>
        <w:gridCol w:w="916"/>
        <w:gridCol w:w="146"/>
        <w:gridCol w:w="146"/>
        <w:gridCol w:w="249"/>
        <w:gridCol w:w="442"/>
        <w:gridCol w:w="146"/>
        <w:gridCol w:w="146"/>
        <w:gridCol w:w="146"/>
        <w:gridCol w:w="691"/>
        <w:gridCol w:w="146"/>
        <w:gridCol w:w="146"/>
        <w:gridCol w:w="196"/>
        <w:gridCol w:w="571"/>
        <w:gridCol w:w="166"/>
        <w:gridCol w:w="146"/>
        <w:gridCol w:w="196"/>
        <w:gridCol w:w="691"/>
        <w:gridCol w:w="146"/>
        <w:gridCol w:w="146"/>
        <w:gridCol w:w="240"/>
        <w:gridCol w:w="811"/>
        <w:gridCol w:w="166"/>
        <w:gridCol w:w="146"/>
        <w:gridCol w:w="377"/>
        <w:gridCol w:w="839"/>
        <w:gridCol w:w="166"/>
        <w:gridCol w:w="146"/>
        <w:gridCol w:w="242"/>
        <w:gridCol w:w="854"/>
        <w:gridCol w:w="166"/>
        <w:gridCol w:w="146"/>
        <w:gridCol w:w="456"/>
        <w:gridCol w:w="805"/>
        <w:gridCol w:w="166"/>
        <w:gridCol w:w="146"/>
        <w:gridCol w:w="196"/>
        <w:gridCol w:w="691"/>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Drilling Tools International Shareholders' 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35,661,297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35,901,128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stock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36,057,592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119,721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16"/>
        </w:rPr>
        <w:t>The accompanying notes are an integral part of these unaudited condensed consolidated financial statements</w:t>
      </w:r>
      <w:r>
        <w:rPr>
          <w:rFonts w:ascii="Times New Roman" w:hAnsi="Times New Roman"/>
          <w:i/>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 xml:space="preserve">DRILLING TOOLS INTERNATIONAL CORPORATION </w:t>
      </w:r>
    </w:p>
    <w:p>
      <w:pPr>
        <w:pStyle w:val="Heading2"/>
        <w:bidi w:val="0"/>
        <w:jc w:val="center"/>
        <w:rPr>
          <w:rFonts w:ascii="Times New Roman" w:hAnsi="Times New Roman"/>
          <w:color w:val="000000"/>
          <w:sz w:val="20"/>
        </w:rPr>
      </w:pPr>
      <w:bookmarkStart w:id="8" w:name="consolidated_statements_of_cash_flows"/>
      <w:bookmarkEnd w:id="8"/>
      <w:r>
        <w:rPr>
          <w:rFonts w:ascii="Times New Roman" w:hAnsi="Times New Roman"/>
          <w:color w:val="000000"/>
          <w:sz w:val="20"/>
        </w:rPr>
        <w:t xml:space="preserve">CONDENSED CONSOLIDATED STATEMENTS OF CASH FLOWS </w:t>
      </w:r>
    </w:p>
    <w:p>
      <w:pPr>
        <w:pStyle w:val="Heading2"/>
        <w:bidi w:val="0"/>
        <w:jc w:val="center"/>
        <w:rPr>
          <w:rFonts w:ascii="Times New Roman" w:hAnsi="Times New Roman"/>
          <w:color w:val="000000"/>
          <w:sz w:val="20"/>
        </w:rPr>
      </w:pPr>
      <w:r>
        <w:rPr>
          <w:rFonts w:ascii="Times New Roman" w:hAnsi="Times New Roman"/>
          <w:color w:val="000000"/>
          <w:sz w:val="20"/>
        </w:rPr>
        <w:t>(UNAUDITED)</w:t>
      </w:r>
    </w:p>
    <w:p>
      <w:pPr>
        <w:pStyle w:val="Heading2"/>
        <w:bidi w:val="0"/>
        <w:jc w:val="center"/>
        <w:rPr/>
      </w:pPr>
      <w:r>
        <w:rPr/>
        <w:t> </w:t>
      </w:r>
    </w:p>
    <w:tbl>
      <w:tblPr>
        <w:tblW w:w="9527" w:type="dxa"/>
        <w:jc w:val="left"/>
        <w:tblInd w:w="0" w:type="dxa"/>
        <w:tblLayout w:type="fixed"/>
        <w:tblCellMar>
          <w:top w:w="28" w:type="dxa"/>
          <w:left w:w="28" w:type="dxa"/>
          <w:bottom w:w="28" w:type="dxa"/>
          <w:right w:w="28" w:type="dxa"/>
        </w:tblCellMar>
      </w:tblPr>
      <w:tblGrid>
        <w:gridCol w:w="6586"/>
        <w:gridCol w:w="146"/>
        <w:gridCol w:w="228"/>
        <w:gridCol w:w="796"/>
        <w:gridCol w:w="179"/>
        <w:gridCol w:w="157"/>
        <w:gridCol w:w="228"/>
        <w:gridCol w:w="796"/>
        <w:gridCol w:w="411"/>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 off of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 off of excess and obsolete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(recovery)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lost-in-hole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on related party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a business,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lost-in-hole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treasury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revolving 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35,789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on revolving line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 of changes in foreign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9" w:after="283"/>
        <w:jc w:val="center"/>
        <w:rPr/>
      </w:pPr>
      <w:r>
        <w:rPr/>
        <w:t> </w:t>
      </w:r>
    </w:p>
    <w:p>
      <w:pPr>
        <w:pStyle w:val="TextBody"/>
        <w:bidi w:val="0"/>
        <w:jc w:val="center"/>
        <w:rPr>
          <w:rFonts w:ascii="Times New Roman" w:hAnsi="Times New Roman"/>
          <w:sz w:val="20"/>
        </w:rPr>
      </w:pPr>
      <w:r>
        <w:rPr>
          <w:rFonts w:ascii="Times New Roman" w:hAnsi="Times New Roman"/>
          <w:i/>
          <w:color w:val="000000"/>
          <w:sz w:val="16"/>
        </w:rPr>
        <w:t>The accompanying notes are an integral part of these unaudited condensed consolidated financial statements</w:t>
      </w:r>
      <w:r>
        <w:rPr>
          <w:rFonts w:ascii="Times New Roman" w:hAnsi="Times New Roman"/>
          <w:i/>
          <w:color w:val="000000"/>
          <w:sz w:val="20"/>
        </w:rPr>
        <w: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NOTES TO THE UNAUDITED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9" w:name="note_1_summary_of_significant"/>
      <w:bookmarkEnd w:id="9"/>
      <w:r>
        <w:rPr>
          <w:rFonts w:ascii="Times New Roman" w:hAnsi="Times New Roman"/>
          <w:b/>
          <w:color w:val="000000"/>
          <w:sz w:val="20"/>
        </w:rPr>
        <w:t>NOTE 1 – SUMMARY OF SIGNIFICANT ACCOUNTING POLICIES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Organization and Nature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Drilling Tools International Corporation, a Delaware corporation ("DTI"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United States (“U.S.”) operations have locations in Texas, Louisiana, Oklahoma, Pennsylvania, North Dakota, New Mexico, Utah, and Wyoming. The Company’s international operations are located in Canada, the United Kingdom, Europe, the Middle East, and Asia-Pacific.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 (“ASC”) and Accounting Standards Update (“ASU”).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June 30, 2026, and its results of operations for the three and six months ended June 30, 2026 and 2025, respectively, and cash flows for the six months ended June 30, 2026 and 2025, respectively. The condensed consolidated balance sheet at December 31, 2025, was derived from the audited annual financial statements but does not contain all the footnote disclosures from the annual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2025, the Company changed the presentation of its interim condensed consolidated statements of comprehensive income (loss) from a two-step format to a one-step format. Under the previous two-step format, operating income was presented as a subtotal. Under the new one-step format, all revenues are presented, followed by all expenses and losses, including income taxes, without the presentation of intermediate subtotals such as operating income. This change was made to simplify the presentation and enhance comparability with peer companies that use a similar format. The prior period’s statement of comprehensive income (loss) has been revised to conform to the current year’s presentation. This change in format does not affect the recognition, measurement, or classification of individual line items and has no impact on net income or other key financial metrics.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Emerging Growth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 revised standard. As such, the Company’s financial statements may not be comparable to companies that comply with public company effective 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numerous geopolitical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entities, Casing Technologies Group Limited and Titan Tools Group Limited, which operate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Foreign Currency Translation and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reporting currency is the U.S. dollar. The functional currency of each international subsidiary is generally its respective local currency. Accordingly, all foreign balance sheet accounts have been translated into U.S. dollars using the rate of exchange at the respective balance sheet date. Components of the unaudited condensed consolidated statements of comprehensive income (loss) have been translated at the average rates during the reporting period. Translation gains and losses are recorded in accumulated other comprehensive loss as a component of shareholders’ equity. Gains or losses arising from currency exchange rate fluctuations on transactions denominated in a currency other than the local functional currency are included in other operating and non-operating expenses, net in the accompanying unaudited condensed consolidated statements of comprehensive income (loss).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Business Combinations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recognizes revenue in accordance with Topic 842 (which addresses lease accounting) and Topic 606 (which addresses revenue from contracts with customers). The Company derives its revenue from two revenue types, tool rental services and product sales.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Tool Rental Services</w:t>
      </w:r>
    </w:p>
    <w:p>
      <w:pPr>
        <w:pStyle w:val="TextBody"/>
        <w:bidi w:val="0"/>
        <w:jc w:val="left"/>
        <w:rPr>
          <w:rFonts w:ascii="Times New Roman" w:hAnsi="Times New Roman"/>
          <w:color w:val="000000"/>
          <w:sz w:val="20"/>
        </w:rPr>
      </w:pPr>
      <w:r>
        <w:rPr>
          <w:rFonts w:ascii="Times New Roman" w:hAnsi="Times New Roman"/>
          <w:color w:val="000000"/>
          <w:sz w:val="20"/>
        </w:rPr>
        <w:t xml:space="preserve">Tool rental services consist of rental services, inspection services, and repair services. Tool rental services are accounted for under Topic 842.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revenues from renting tools on a straight-line basis. The Company’s rental contract periods are daily, monthly, or per well.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 The Company accrues all known fixed lease payments for rental contracts that also include variable payments, such as those based on usage or per well, when such variable amounts are not reasonably determinable at period end.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expects to derive future benefits from its drilling tools following the end of the rental term. The Company’s rentals are generally short-term in nature, and its tools are typically rented for the majority of the time that the Company owns them. </w:t>
      </w:r>
    </w:p>
    <w:p>
      <w:pPr>
        <w:pStyle w:val="TextBody"/>
        <w:bidi w:val="0"/>
        <w:jc w:val="left"/>
        <w:rPr/>
      </w:pPr>
      <w:r>
        <w:rPr/>
        <w:t> </w:t>
      </w:r>
    </w:p>
    <w:p>
      <w:pPr>
        <w:pStyle w:val="TextBody"/>
        <w:bidi w:val="0"/>
        <w:jc w:val="left"/>
        <w:rPr>
          <w:rFonts w:ascii="Times New Roman" w:hAnsi="Times New Roman"/>
          <w:b/>
          <w:i/>
          <w:color w:val="000000"/>
          <w:sz w:val="20"/>
          <w:u w:val="single"/>
        </w:rPr>
      </w:pPr>
      <w:r>
        <w:rPr>
          <w:rFonts w:ascii="Times New Roman" w:hAnsi="Times New Roman"/>
          <w:b/>
          <w:i/>
          <w:color w:val="000000"/>
          <w:sz w:val="20"/>
          <w:u w:val="single"/>
        </w:rPr>
        <w:t>Product Sales</w:t>
      </w:r>
    </w:p>
    <w:p>
      <w:pPr>
        <w:pStyle w:val="TextBody"/>
        <w:bidi w:val="0"/>
        <w:jc w:val="left"/>
        <w:rPr>
          <w:rFonts w:ascii="Times New Roman" w:hAnsi="Times New Roman"/>
          <w:color w:val="000000"/>
          <w:sz w:val="20"/>
        </w:rPr>
      </w:pPr>
      <w:r>
        <w:rPr>
          <w:rFonts w:ascii="Times New Roman" w:hAnsi="Times New Roman"/>
          <w:color w:val="000000"/>
          <w:sz w:val="20"/>
        </w:rPr>
        <w:t xml:space="preserve">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Contract Assets and Contract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assets represent the Company’s rights to consideration for work completed but not billed. Contract assets were recorded in accounts receivable, net in the accompanying unaudited condensed consolidated balance sheets. The changes in contract assets for the year ended December 31, 2025 and six months ended June 30, 2026 were as follows (in thousands):</w:t>
      </w:r>
    </w:p>
    <w:p>
      <w:pPr>
        <w:pStyle w:val="TextBody"/>
        <w:bidi w:val="0"/>
        <w:jc w:val="left"/>
        <w:rPr/>
      </w:pPr>
      <w:r>
        <w:rPr/>
        <w:t> </w:t>
      </w:r>
    </w:p>
    <w:tbl>
      <w:tblPr>
        <w:tblW w:w="5854" w:type="dxa"/>
        <w:jc w:val="left"/>
        <w:tblInd w:w="0" w:type="dxa"/>
        <w:tblLayout w:type="fixed"/>
        <w:tblCellMar>
          <w:top w:w="28" w:type="dxa"/>
          <w:left w:w="28" w:type="dxa"/>
          <w:bottom w:w="28" w:type="dxa"/>
          <w:right w:w="28" w:type="dxa"/>
        </w:tblCellMar>
      </w:tblPr>
      <w:tblGrid>
        <w:gridCol w:w="4616"/>
        <w:gridCol w:w="211"/>
        <w:gridCol w:w="736"/>
        <w:gridCol w:w="291"/>
      </w:tblGrid>
      <w:tr>
        <w:trPr/>
        <w:tc>
          <w:tcPr>
            <w:tcW w:w="4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from contract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42,598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Conversion of contract assets into accounts receivable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 from contract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Conversion of contract assets into accounts receivable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w:t>
            </w:r>
          </w:p>
        </w:tc>
        <w:tc>
          <w:tcPr>
            <w:tcW w:w="2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liabilities consist of fees invoiced or paid by the Company’s customers for which the associated services have not been performed and revenue has not been recognized based on the Company’s revenue recognition criteria described above. As of June 30, 2026, the Company had $0.3 million in contract liabilities, of which the revenue is expected to be earned within one year. As of December 31, 2025 and December 31, 2024, the Company did not have any contract liabilities.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considers all highly liquid investments purchased with an original maturity of three months or less to be cash equivalents. The Company did not have any cash equivalents as of June 30, 2026 and December 31,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Accounts Receivable and Allowance for Credit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accounts receivable consists principally of uncollateralized amounts billed to customers as well as contract assets for work complete but not yet billed. These receivables are generally due within 30 to 60 days of the period in which the corresponding sales or rentals occur and do not bear interest. They are recorded at net realizable value less an allowance for credit losses and are classified as accounts receivable, net on the unaudited condensed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considers both current conditions and reasonable and supportable forecasts of future conditions when evaluating expected credit losses for uncollectible accounts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changes in the allowance for credit losses for the year ended December 31, 2025 and the six months ended June 30, 2026 were as follows (in thousands):</w:t>
      </w:r>
    </w:p>
    <w:p>
      <w:pPr>
        <w:pStyle w:val="TextBody"/>
        <w:bidi w:val="0"/>
        <w:jc w:val="left"/>
        <w:rPr/>
      </w:pPr>
      <w:r>
        <w:rPr/>
        <w:t> </w:t>
      </w:r>
    </w:p>
    <w:tbl>
      <w:tblPr>
        <w:tblW w:w="4719" w:type="dxa"/>
        <w:jc w:val="left"/>
        <w:tblInd w:w="0" w:type="dxa"/>
        <w:tblLayout w:type="fixed"/>
        <w:tblCellMar>
          <w:top w:w="28" w:type="dxa"/>
          <w:left w:w="28" w:type="dxa"/>
          <w:bottom w:w="28" w:type="dxa"/>
          <w:right w:w="28" w:type="dxa"/>
        </w:tblCellMar>
      </w:tblPr>
      <w:tblGrid>
        <w:gridCol w:w="3566"/>
        <w:gridCol w:w="211"/>
        <w:gridCol w:w="631"/>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Provisions for expected credit losses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adjustments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Utilization of allowance for credit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Provisions for expected credit losses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adjustments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Utilization of allowances for credit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customer concentration may impact its overall credit risk, either positively or negatively, in that these entities may be similarly affected by changes in economic or other conditions affecting the oil and gas industry.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the Company generated approximately 14% of its revenue from one customer. During the three months ended June 30, 2025, the Company generated approximately 25% of its revenue from two customers. During the six months ended June 30, 2026 and 2025, the Company generated approximately 26% and 27%, respectively, of its revenue from two customers. Amounts due from these customers included in accounts receivable at June 30, 2026 and December 31, 2025 were approximately $3.6 million and $5.7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and 2025, the Company did not have any vendors that represented over 10% of total purchases. Additionally, during the six months ended June 30, 2026 and 2025, the Company did not have any vendors that represented over 10% of total purchases.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Inventories are stated at the lower of cost and net realizable value. Cost is determined by using the specific identification method or the first-in-first-out ("FIFO") method, depending on the type of inventory. Inventory that is obsolete or in excess of forecasted usage is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written down to its net realizable value based on assumptions regarding future demand and market conditions. Inventory write-downs are charged to cost of rental revenue and cost of product sale revenue within the operating costs section of the unaudited condensed consolidated statements of comprehensive income (loss) and establish a new cost basis for the inventory. Inventory includes raw material, work in progress, and finished goods.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Plant and Equipment,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purchased by the Company are recorded at cost less depreciation expense. Depreciation expense is recorded using the straight-line method based on the estimated useful lives of the depreciable property or, for leasehold improvements, the remaining term of the lease, whichever is shorter. Assets not yet placed in use are not depreciated.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Property, plant and equipment acquired as part of a business acquisition is recorded at acquisition date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expense when incurred. When property, plant and equipment is retired or otherwise disposed of, the related cost and accumulated depreciation are removed from the accounts and any resulting gain or loss is included in loss (gain) on asset disposal.</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Long-lived assets with finite lives include property, plant and equipment and acquired intangible assets. The Company evaluates long-lived assets, including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2026 and 2025, management determined that there were no triggering events necessitating impairment testing of property, plant and equipment, net. </w:t>
      </w:r>
    </w:p>
    <w:p>
      <w:pPr>
        <w:pStyle w:val="TextBody"/>
        <w:bidi w:val="0"/>
        <w:jc w:val="left"/>
        <w:rPr>
          <w:rFonts w:ascii="Times New Roman" w:hAnsi="Times New Roman"/>
          <w:b/>
          <w:i/>
          <w:color w:val="000000"/>
          <w:sz w:val="20"/>
        </w:rPr>
      </w:pPr>
      <w:r>
        <w:rPr>
          <w:rFonts w:ascii="Times New Roman" w:hAnsi="Times New Roman"/>
          <w:b/>
          <w:i/>
          <w:color w:val="000000"/>
          <w:sz w:val="20"/>
        </w:rPr>
        <w:t>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hAnsi="Times New Roman"/>
          <w:i/>
          <w:color w:val="000000"/>
          <w:sz w:val="20"/>
        </w:rPr>
        <w:t>Property, Plant, and Equipment.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u w:val="single"/>
        </w:rPr>
        <w:t>Lessor Accounting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leased equipment primarily consists of rental tools and equipment. Our agreements with our customers for rental equipment contain an operating lease component under ASC 842 because (i) there are identified assets, (ii) the customer has the right to obtain substantially all of the economic benefits from the use of the identified asset throughout the period of use and (iii) the customer directs the use of the identified assets throughout the period of use.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recognized operating lease revenue within “Tool rental” on the unaudited condensed consolidated statements of comprehensive income (loss).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Intangible assets with finite useful lives include customer relationships, trade name, patents, and developed technology. These intangible assets are amortized either on a straight-line basis over the asset’s estimated useful life or on a basis that reflects the pattern in which the economic benefits of the intangible are realized.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Goodwill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Goodwill represents the excess of purchase price paid over the fair value of the net assets of acquired businesses. We evaluate goodwill at least annually for impairment. Goodwill is considered impaired if the carrying amount of the reporting unit exceeds its estimated fair value. The Company assesses goodwill impairment annually on October 31.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1 – Valuation inputs are unadjusted quoted market prices for identical assets or liabilities in active markets.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2 – Valuation inputs are quoted prices for identical assets or liabilities in markets that are not active, quoted market prices for similar assets and liabilities in active markets and other observable inputs directly or indirectly related to the assets or liabilities being measured.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 – Valuation inputs are unobservable and significant to the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 In determining the appropriate levels, the Company performs a detailed analysis of the assets and liabilities that are measured and reported on a fair value basis. The valuation of assets and liabilities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recognized in business combinations are considered level 3 fair value measurements on the closing date of the acquisition. These assets and liabilities are not remeasured at each reporting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the Company did not have any Level 1, 2, or 3 assets or liabilities measured on a recurring basis.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financial instruments consist of cash, accounts receivable, and accounts payable. The carrying amount of such instruments approximates fair value due to their short-term nature. Additionally, the Company carries long-term debt at its amortized cost, which approximates fair value.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recorded all operating costs associated with its product sales and tool rental revenue streams in cost of product sale revenue and cost of tool rental revenue, respectively, in the unaudited condensed consolidated statements of comprehensive income (loss). All indirect operating costs, including labor, freight, contract labor and others, are included in selling, general, and administrative expense in the unaudited condensed consolidated statements of comprehensive income (loss).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accounts for stock-based compensation in accordance with ASC 718, Compensation—Stock Compensation (“ASC 718”).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with forfeitures accounted for as they occur.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restricted stock units, the grant date fair value is determined based on quoted market price for the Company's common stock as of the grant date and the grant date fair value of the awards are recognized as compensation cost as awards vest over the requisite service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performance stock units, the grant date fair value is determined based on quoted market price for the Company's common stock as of the grant date. The Company applies a graded vesting attribution method, recognizing expense over the entire tranche of awards and updating the estimate of probable achievement of performance conditions at each reporting period. Changes in estimated outcomes are recognized prospectively through cumulative catch-up adjustments to compensation expense.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uses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When the Company holds an equity method investment in a Variable Interest Entity ("VIE") and is determined to be the primary beneficiary, the VIE is consolidated in accordance with ASC 810, Consolidation. Upon consolidation, any equity interests in the VIE not held by the Company are presented as non-controlling interests in the unaudited condensed consolidated financial statements. The non-controlling interest represents the portion of the VIE’s net assets and net income attributable to other equity holders. The Company reassesses its status as the primary beneficiary of the VIE on an ongoing basis and adjusts the non-controlling interest accordingly. Changes in ownership interests that do not result in a loss of control are accounted for as equity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Earnings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Basic earnings per share is computed by dividing the net income (loss) by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end of the performance period and the result was dilutive. For the purposes of this calculation, outstanding stock options are considered potential dilutive common stock and are excluded from the computation of net loss per share if their effect is anti-dilutive.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subject to state income taxes in various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uncertain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June 30, 2026 and December 31, 2025. The Company believes there are no tax positions taken or expected to be taken that would significantly increase or decrease unrecognized tax benefits within twelve months of the reporting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records income tax related interest and penalties, if applicable, as a component of the provision for income tax expense. However, there were no amounts recognized relating to interest and penalties in the unaudited condensed consolidated statements of comprehensive income (loss) for the three and six months ended June 30, 2026 and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Operating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for each operating segment for the purposes of making operations decisions, allocating resources and evaluating financial performance.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restructuring charges in accordance with ASC 420, Exit or Disposal Cost Obligations. Restructuring costs primarily include severance and other employee-related termination benefits, as well as reorganization costs associated with strategic initiatives to streamline operations or reduce overhead. These costs are recognized when a formal plan has been approved, communicated to affected employees, and the obligation is probable and reasonably estimable.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FASB issued ASU 2024-03, Income Statement - Reporting Comprehensive Income - Expense Disaggregation Disclosures (Subtopic 220-40), which requires disclosure of specific information about costs and expenses within relevant expense captions on the face of the income statement, qualitative descriptions for expense captions not specifically disaggregated quantitatively, and the total amount and definition of selling expenses for interim and annual reporting periods. This standard is effective for the Company’s annual reporting period beginning January 1, 2027, and interim reporting periods beginning January 1, 2028. Early adoption is permitted. The Company is currently evaluating the effects of adopting this new accounting guidance.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July 2025, the FASB issued Accounting Standards Update No. 2025-05, “Financial Instruments—Credit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(“ASC 606”). The Company adopted ASU 2025-05 effective January 1, 2026 and elected to apply the guidance prospectively. Based on the short-term nature of the Company’s accounts receivable and contract assets, historical loss experience, and current credit risk management practices, the adoption of ASU 2025-05 did not have a material impact on the Company’s consolidated financial statements or related disclosures.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both"/>
        <w:rPr/>
      </w:pPr>
      <w:r>
        <w:rPr/>
        <w:t> </w:t>
      </w:r>
    </w:p>
    <w:p>
      <w:pPr>
        <w:pStyle w:val="Heading1"/>
        <w:bidi w:val="0"/>
        <w:jc w:val="both"/>
        <w:rPr>
          <w:rFonts w:ascii="Times New Roman" w:hAnsi="Times New Roman"/>
          <w:color w:val="000000"/>
          <w:sz w:val="20"/>
        </w:rPr>
      </w:pPr>
      <w:r>
        <w:rPr>
          <w:rFonts w:ascii="Times New Roman" w:hAnsi="Times New Roman"/>
          <w:color w:val="000000"/>
          <w:sz w:val="20"/>
        </w:rPr>
        <w:t>NOTE 2 – VARIABLE INTEREST ENTITY AND JOINT VENTURE ARRANGEMENT</w:t>
      </w:r>
    </w:p>
    <w:p>
      <w:pPr>
        <w:pStyle w:val="Heading1"/>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22, 2025, the Company, through its wholly owned subsidiary DTI Canada 1, LLC, entered into a Joint Venture and Shareholders’ Agreement with Upstream Energy SDN. BHD. (“Upstream Energy”), a Malaysian entity, to form Drilling Tools International SDN. BHD. (“DTI Malaysia”), a Malaysian corporation. The purpose of DTI Malaysia is to expand the Company’s geographic footprint to serve a broader customer base in the Asia-Pacific market. </w:t>
      </w:r>
    </w:p>
    <w:p>
      <w:pPr>
        <w:pStyle w:val="TextBody"/>
        <w:bidi w:val="0"/>
        <w:jc w:val="left"/>
        <w:rPr>
          <w:rFonts w:ascii="Times New Roman" w:hAnsi="Times New Roman"/>
          <w:color w:val="000000"/>
          <w:sz w:val="20"/>
        </w:rPr>
      </w:pPr>
      <w:r>
        <w:rPr>
          <w:rFonts w:ascii="Times New Roman" w:hAnsi="Times New Roman"/>
          <w:color w:val="000000"/>
          <w:sz w:val="20"/>
        </w:rPr>
        <w:t>Under the terms of the agreement, the Company contributed $11.6 thousand and Upstream Energy contributed $12.1 thousand to the initial share capital of $23.7 thousand, resulting in ownership interests of 49% and 51%, respectively. Despite holding a minority equity interest, the Company was appointed as the sole manager of DTI Malaysia under a separate Management Agreement, granting it full operational and financial control over the entity.</w:t>
      </w:r>
    </w:p>
    <w:p>
      <w:pPr>
        <w:pStyle w:val="TextBody"/>
        <w:bidi w:val="0"/>
        <w:jc w:val="left"/>
        <w:rPr>
          <w:rFonts w:ascii="Times New Roman" w:hAnsi="Times New Roman"/>
          <w:color w:val="000000"/>
          <w:sz w:val="20"/>
        </w:rPr>
      </w:pPr>
      <w:r>
        <w:rPr>
          <w:rFonts w:ascii="Times New Roman" w:hAnsi="Times New Roman"/>
          <w:color w:val="000000"/>
          <w:sz w:val="20"/>
        </w:rPr>
        <w:t>DTI Malaysia is considered a variable interest entity (“VIE”) under ASC 810 due to the disproportionality between DTI’s voting interest and its control and economic exposure. DTI has the power to direct the activities that most significantly impact the economic performance of DTI Malaysia and is entitled to receive substantially all the economic returns from its operations. As such, DTI is the primary beneficiary of DTI Malaysia and consolidates its financial results.</w:t>
      </w:r>
    </w:p>
    <w:p>
      <w:pPr>
        <w:pStyle w:val="TextBody"/>
        <w:bidi w:val="0"/>
        <w:jc w:val="left"/>
        <w:rPr>
          <w:rFonts w:ascii="Times New Roman" w:hAnsi="Times New Roman"/>
          <w:color w:val="000000"/>
          <w:sz w:val="20"/>
        </w:rPr>
      </w:pPr>
      <w:r>
        <w:rPr>
          <w:rFonts w:ascii="Times New Roman" w:hAnsi="Times New Roman"/>
          <w:color w:val="000000"/>
          <w:sz w:val="20"/>
        </w:rPr>
        <w:t>DTI consolidates 100% of DTI Malaysia’s assets, liabilities, revenues, and expenses. The portion of net assets and net income attributable to Upstream Energy is presented as a noncontrolling interest in the Company’s consolidated financial statements. There are no assets of DTI Malaysia that can be used only to settle its obligations nor are there liabilities for which creditors do not have recourse to the general credit of DTI.</w:t>
      </w:r>
    </w:p>
    <w:p>
      <w:pPr>
        <w:pStyle w:val="TextBody"/>
        <w:bidi w:val="0"/>
        <w:jc w:val="left"/>
        <w:rPr/>
      </w:pPr>
      <w:r>
        <w:rPr/>
        <w:t> </w:t>
      </w:r>
    </w:p>
    <w:p>
      <w:pPr>
        <w:pStyle w:val="Heading1"/>
        <w:bidi w:val="0"/>
        <w:jc w:val="both"/>
        <w:rPr>
          <w:rFonts w:ascii="Times New Roman" w:hAnsi="Times New Roman"/>
          <w:color w:val="000000"/>
          <w:sz w:val="20"/>
        </w:rPr>
      </w:pPr>
      <w:r>
        <w:rPr>
          <w:rFonts w:ascii="Times New Roman" w:hAnsi="Times New Roman"/>
          <w:color w:val="000000"/>
          <w:sz w:val="20"/>
        </w:rPr>
        <w:t>NOTE 3 – BUSINESS COMBINATION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Titan Tools Group Limited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 2025, the Company’s wholly owned subsidiary, Drilling Tools International, Inc., completed the acquisition of 100% of the shares of Titan Tools Group Limited (“Titan”). Titan is a full-service, down-hole tool rental company for land and offshore operations focused on wellbore construction rental items for both traditional hydrocarbon extraction and geothermal industries. Titan's primary operations are located in the United Kingdom, Europe, and Africa.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the terms of the acquisition, the closing of the acquisition occurred on January 2, 2025 (the “Titan Closing Date” or “Titan Closing”) for total consideration of $10.8 million. The consideration for the acquisition of $10.8 million is comprised of the following items (in thousands):</w:t>
      </w:r>
    </w:p>
    <w:p>
      <w:pPr>
        <w:pStyle w:val="TextBody"/>
        <w:bidi w:val="0"/>
        <w:spacing w:before="240" w:after="283"/>
        <w:jc w:val="both"/>
        <w:rPr/>
      </w:pPr>
      <w:r>
        <w:rPr/>
        <w:t> </w:t>
      </w:r>
    </w:p>
    <w:tbl>
      <w:tblPr>
        <w:tblW w:w="7124" w:type="dxa"/>
        <w:jc w:val="left"/>
        <w:tblInd w:w="0" w:type="dxa"/>
        <w:tblLayout w:type="fixed"/>
        <w:tblCellMar>
          <w:top w:w="28" w:type="dxa"/>
          <w:left w:w="28" w:type="dxa"/>
          <w:bottom w:w="28" w:type="dxa"/>
          <w:right w:w="28" w:type="dxa"/>
        </w:tblCellMar>
      </w:tblPr>
      <w:tblGrid>
        <w:gridCol w:w="6046"/>
        <w:gridCol w:w="211"/>
        <w:gridCol w:w="676"/>
        <w:gridCol w:w="191"/>
      </w:tblGrid>
      <w:tr>
        <w:trPr/>
        <w:tc>
          <w:tcPr>
            <w:tcW w:w="6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to Titan shareholders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Titan transaction costs to be paid by DTI</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Closing date equity consideration </w:t>
            </w: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Effective settlement of preexisting relationship between DTI and Titan </w:t>
            </w:r>
            <w:r>
              <w:rPr>
                <w:rFonts w:ascii="Times New Roman" w:hAnsi="Times New Roman"/>
                <w:color w:val="000000"/>
                <w:sz w:val="13"/>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Fair value of consideration transferred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(1) Represents the value, as of the Titan Closing Date, of the DTI common stock transferred as purchase consideration.</w:t>
      </w:r>
    </w:p>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(2) Represents the effective settlement of DTI’s accounts receivable from Titan and DTI’s accounts payable to Titan as Titan and DTI were customers of each other prior to the Titan Closing.</w:t>
      </w:r>
    </w:p>
    <w:p>
      <w:pPr>
        <w:pStyle w:val="TextBody"/>
        <w:bidi w:val="0"/>
        <w:jc w:val="left"/>
        <w:rPr/>
      </w:pPr>
      <w:r>
        <w:rPr/>
        <w:t> </w:t>
      </w:r>
    </w:p>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acquisition of Titan has been accounted for as a business combination in accordance with ASC 805, Business Combinations (“ASC 805”). Drilling Tools International, Inc. has been treated as the accounting acquirer. Accordingly, Titan’s tangible and identifiable intangible assets acquired, and its liabilities assumed were recorded at their estimated fair values on the Titan Closing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final allocation of the purchase price is as follows (in thousands):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934" w:type="dxa"/>
        <w:jc w:val="left"/>
        <w:tblInd w:w="0" w:type="dxa"/>
        <w:tblLayout w:type="fixed"/>
        <w:tblCellMar>
          <w:top w:w="28" w:type="dxa"/>
          <w:left w:w="28" w:type="dxa"/>
          <w:bottom w:w="28" w:type="dxa"/>
          <w:right w:w="28" w:type="dxa"/>
        </w:tblCellMar>
      </w:tblPr>
      <w:tblGrid>
        <w:gridCol w:w="3856"/>
        <w:gridCol w:w="211"/>
        <w:gridCol w:w="676"/>
        <w:gridCol w:w="191"/>
      </w:tblGrid>
      <w:tr>
        <w:trPr/>
        <w:tc>
          <w:tcPr>
            <w:tcW w:w="3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 acquired:</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 acquired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assumed:</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assumed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identifiable net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assets acquired and goodwill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excess of the fair value of the consideration transferred over the fair values of the net identifiable tangible and intangible assets acquired has been assigned to goodwill. Goodwill represents the future benefits of acquiring Titan as the acquisition not only enhances DTI's competitive edge, but also reinforces its position as a leader in providing innovative drilling solutions to the global oil and gas industry. Goodwill attributable to the acquisition of Titan is not deductible for tax purposes.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following table sets forth the amounts allocated to the identified intangible assets, the estimated useful lives of those intangible assets as of the Titan Closing Date, and the methodologies used to determine the fair values of those intangible assets (in thousands): </w:t>
      </w:r>
    </w:p>
    <w:tbl>
      <w:tblPr>
        <w:tblW w:w="7798" w:type="dxa"/>
        <w:jc w:val="left"/>
        <w:tblInd w:w="0" w:type="dxa"/>
        <w:tblLayout w:type="fixed"/>
        <w:tblCellMar>
          <w:top w:w="28" w:type="dxa"/>
          <w:left w:w="28" w:type="dxa"/>
          <w:bottom w:w="28" w:type="dxa"/>
          <w:right w:w="28" w:type="dxa"/>
        </w:tblCellMar>
      </w:tblPr>
      <w:tblGrid>
        <w:gridCol w:w="1951"/>
        <w:gridCol w:w="146"/>
        <w:gridCol w:w="146"/>
        <w:gridCol w:w="146"/>
        <w:gridCol w:w="146"/>
        <w:gridCol w:w="247"/>
        <w:gridCol w:w="668"/>
        <w:gridCol w:w="146"/>
        <w:gridCol w:w="946"/>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Useful life</w:t>
              <w:br/>
              <w:t>(in years)</w:t>
            </w:r>
          </w:p>
        </w:tc>
        <w:tc>
          <w:tcPr>
            <w:tcW w:w="325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methodology</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Multi-period Excess Earnings Method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intangible assets acquired are expected to be amortized over their useful lives on a straight-line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incurred acquisition-related costs of $0.3 million and $0.5 million, respectively, during the three and six months ended June 30, 2025, which is included in other operating and non-operating expenses, net in the condensed consolidated statements of comprehensive income (loss).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Company’s condensed consolidated statements of comprehensive income (loss) for the three and six months ended June 30, 2026, include Titan’s revenues of $2.2 million and $4.3 million, respectively, and net income of $0.1 million and $0.1 million, respectively.</w:t>
      </w:r>
    </w:p>
    <w:p>
      <w:pPr>
        <w:pStyle w:val="Heading1"/>
        <w:bidi w:val="0"/>
        <w:jc w:val="left"/>
        <w:rPr>
          <w:rFonts w:ascii="Times New Roman" w:hAnsi="Times New Roman"/>
          <w:color w:val="000000"/>
          <w:sz w:val="20"/>
        </w:rPr>
      </w:pPr>
      <w:r>
        <w:rPr>
          <w:rFonts w:ascii="Times New Roman" w:hAnsi="Times New Roman"/>
          <w:color w:val="000000"/>
          <w:sz w:val="20"/>
        </w:rPr>
        <w:t xml:space="preserve">NOTE 4 – BALANCE SHEET DETAILS - CURRENT ASSETS AND CURRENT LIABILITIES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components of inventory (in thousands):</w:t>
      </w:r>
    </w:p>
    <w:p>
      <w:pPr>
        <w:pStyle w:val="TextBody"/>
        <w:bidi w:val="0"/>
        <w:jc w:val="both"/>
        <w:rPr/>
      </w:pPr>
      <w:r>
        <w:rPr/>
        <w:t> </w:t>
      </w:r>
    </w:p>
    <w:tbl>
      <w:tblPr>
        <w:tblW w:w="5205" w:type="dxa"/>
        <w:jc w:val="left"/>
        <w:tblInd w:w="0" w:type="dxa"/>
        <w:tblLayout w:type="fixed"/>
        <w:tblCellMar>
          <w:top w:w="28" w:type="dxa"/>
          <w:left w:w="28" w:type="dxa"/>
          <w:bottom w:w="28" w:type="dxa"/>
          <w:right w:w="28" w:type="dxa"/>
        </w:tblCellMar>
      </w:tblPr>
      <w:tblGrid>
        <w:gridCol w:w="1576"/>
        <w:gridCol w:w="146"/>
        <w:gridCol w:w="303"/>
        <w:gridCol w:w="972"/>
        <w:gridCol w:w="146"/>
        <w:gridCol w:w="146"/>
        <w:gridCol w:w="409"/>
        <w:gridCol w:w="1316"/>
        <w:gridCol w:w="191"/>
      </w:tblGrid>
      <w:tr>
        <w:trPr/>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18,149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components of prepaid expenses and other current assets (in thousands):</w:t>
      </w:r>
    </w:p>
    <w:p>
      <w:pPr>
        <w:pStyle w:val="TextBody"/>
        <w:bidi w:val="0"/>
        <w:jc w:val="left"/>
        <w:rPr/>
      </w:pPr>
      <w:r>
        <w:rPr/>
        <w:t> </w:t>
      </w:r>
    </w:p>
    <w:tbl>
      <w:tblPr>
        <w:tblW w:w="6040" w:type="dxa"/>
        <w:jc w:val="left"/>
        <w:tblInd w:w="0" w:type="dxa"/>
        <w:tblLayout w:type="fixed"/>
        <w:tblCellMar>
          <w:top w:w="28" w:type="dxa"/>
          <w:left w:w="28" w:type="dxa"/>
          <w:bottom w:w="28" w:type="dxa"/>
          <w:right w:w="28" w:type="dxa"/>
        </w:tblCellMar>
      </w:tblPr>
      <w:tblGrid>
        <w:gridCol w:w="2211"/>
        <w:gridCol w:w="146"/>
        <w:gridCol w:w="344"/>
        <w:gridCol w:w="931"/>
        <w:gridCol w:w="146"/>
        <w:gridCol w:w="146"/>
        <w:gridCol w:w="465"/>
        <w:gridCol w:w="1260"/>
        <w:gridCol w:w="3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on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Accrued expenses and other current liabilities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components of accrued expenses and other current liabilities (in thousands):</w:t>
      </w:r>
    </w:p>
    <w:p>
      <w:pPr>
        <w:pStyle w:val="TextBody"/>
        <w:bidi w:val="0"/>
        <w:jc w:val="both"/>
        <w:rPr/>
      </w:pPr>
      <w:r>
        <w:rPr/>
        <w:t> </w:t>
      </w:r>
    </w:p>
    <w:tbl>
      <w:tblPr>
        <w:tblW w:w="9400" w:type="dxa"/>
        <w:jc w:val="left"/>
        <w:tblInd w:w="0" w:type="dxa"/>
        <w:tblLayout w:type="fixed"/>
        <w:tblCellMar>
          <w:top w:w="28" w:type="dxa"/>
          <w:left w:w="28" w:type="dxa"/>
          <w:bottom w:w="28" w:type="dxa"/>
          <w:right w:w="28" w:type="dxa"/>
        </w:tblCellMar>
      </w:tblPr>
      <w:tblGrid>
        <w:gridCol w:w="5571"/>
        <w:gridCol w:w="146"/>
        <w:gridCol w:w="344"/>
        <w:gridCol w:w="931"/>
        <w:gridCol w:w="146"/>
        <w:gridCol w:w="146"/>
        <w:gridCol w:w="409"/>
        <w:gridCol w:w="1316"/>
        <w:gridCol w:w="391"/>
      </w:tblGrid>
      <w:tr>
        <w:trPr/>
        <w:tc>
          <w:tcPr>
            <w:tcW w:w="5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inventory and property, plant, and equipment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property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lost-in-hole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Heading1"/>
        <w:bidi w:val="0"/>
        <w:jc w:val="left"/>
        <w:rPr>
          <w:rFonts w:ascii="Times New Roman" w:hAnsi="Times New Roman"/>
          <w:color w:val="000000"/>
          <w:sz w:val="20"/>
        </w:rPr>
      </w:pPr>
      <w:r>
        <w:rPr>
          <w:rFonts w:ascii="Times New Roman" w:hAnsi="Times New Roman"/>
          <w:color w:val="000000"/>
          <w:sz w:val="20"/>
        </w:rPr>
        <w:t>NOTE 5 – PROPERTY, PLANT AND EQUIPMENT,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components of property, plant and equipment, net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54"/>
        <w:gridCol w:w="146"/>
        <w:gridCol w:w="1416"/>
        <w:gridCol w:w="146"/>
        <w:gridCol w:w="246"/>
        <w:gridCol w:w="983"/>
        <w:gridCol w:w="166"/>
        <w:gridCol w:w="146"/>
        <w:gridCol w:w="318"/>
        <w:gridCol w:w="1270"/>
        <w:gridCol w:w="214"/>
      </w:tblGrid>
      <w:tr>
        <w:trPr/>
        <w:tc>
          <w:tcPr>
            <w:tcW w:w="5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Useful</w:t>
              <w:br/>
              <w:t>Lives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tools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215,596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fixtures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Transportation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227,317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(156,382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plant and equipment, net (excluding 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70,935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71,815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72,602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depreciation expense for the three months ended June 30, 2026 and 2025 was approximately $6.2 million and $6.1 million, respectively. Total depreciation expense for the six months ended June 30, 2026 and 2025 was approximately $12.5 million and $12.3 million, respectively. The Company has not acquired any property, plant and equipment under finance leases.</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6 – INTANGIBLE ASSETS, NET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components of intangible assets, net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4"/>
        <w:gridCol w:w="146"/>
        <w:gridCol w:w="1013"/>
        <w:gridCol w:w="3241"/>
        <w:gridCol w:w="146"/>
        <w:gridCol w:w="146"/>
        <w:gridCol w:w="278"/>
        <w:gridCol w:w="893"/>
        <w:gridCol w:w="166"/>
        <w:gridCol w:w="146"/>
        <w:gridCol w:w="360"/>
        <w:gridCol w:w="1161"/>
        <w:gridCol w:w="215"/>
      </w:tblGrid>
      <w:tr>
        <w:trPr/>
        <w:tc>
          <w:tcPr>
            <w:tcW w:w="2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remaining amortization period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39,674</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amortization expense for the three months ended June 30, 2026 and 2025 was approximately $0.7 million and $0.6 million, respectively. Total amortization expense for the six months ended June 30, 2026 and 2025 was approximately $1.4 million and $1.3 million, respectively. Estimated future amortization expense for the next five years is as follows:</w:t>
      </w:r>
    </w:p>
    <w:p>
      <w:pPr>
        <w:pStyle w:val="TextBody"/>
        <w:bidi w:val="0"/>
        <w:jc w:val="both"/>
        <w:rPr/>
      </w:pPr>
      <w:r>
        <w:rPr/>
        <w:t> </w:t>
      </w:r>
    </w:p>
    <w:tbl>
      <w:tblPr>
        <w:tblW w:w="2170" w:type="dxa"/>
        <w:jc w:val="left"/>
        <w:tblInd w:w="0" w:type="dxa"/>
        <w:tblLayout w:type="fixed"/>
        <w:tblCellMar>
          <w:top w:w="28" w:type="dxa"/>
          <w:left w:w="28" w:type="dxa"/>
          <w:bottom w:w="28" w:type="dxa"/>
          <w:right w:w="28" w:type="dxa"/>
        </w:tblCellMar>
      </w:tblPr>
      <w:tblGrid>
        <w:gridCol w:w="946"/>
        <w:gridCol w:w="146"/>
        <w:gridCol w:w="211"/>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 GOODWILL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carrying amount of goodwill for the six months ended June 30, 2026 was as follows (in thousands):</w:t>
      </w:r>
    </w:p>
    <w:p>
      <w:pPr>
        <w:pStyle w:val="TextBody"/>
        <w:bidi w:val="0"/>
        <w:jc w:val="left"/>
        <w:rPr/>
      </w:pPr>
      <w:r>
        <w:rPr/>
        <w:t> </w:t>
      </w:r>
    </w:p>
    <w:tbl>
      <w:tblPr>
        <w:tblW w:w="4545" w:type="dxa"/>
        <w:jc w:val="left"/>
        <w:tblInd w:w="0" w:type="dxa"/>
        <w:tblLayout w:type="fixed"/>
        <w:tblCellMar>
          <w:top w:w="28" w:type="dxa"/>
          <w:left w:w="28" w:type="dxa"/>
          <w:bottom w:w="28" w:type="dxa"/>
          <w:right w:w="28" w:type="dxa"/>
        </w:tblCellMar>
      </w:tblPr>
      <w:tblGrid>
        <w:gridCol w:w="3211"/>
        <w:gridCol w:w="146"/>
        <w:gridCol w:w="196"/>
        <w:gridCol w:w="601"/>
        <w:gridCol w:w="3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14,543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8 – LONG-TERM DEBT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December 2015, the Company entered into a credit facility with PNC Bank, National Association (the "Existing Credit Facility"). The facility provided for a revolving line of credit with a maximum borrowing amount totaling $60.0 million.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March 15, 2024, the Company refinanced its revolving credit facility (the “Revolving Line of Credit”) by entering into a Second Amended and Restated Revolving Credit, Term Loan and Security and Guaranty Agreement (the “Credit Facility”) with certain of the Company’s subsidiaries and PNC Bank, National Association as lender and as agent. Pursuant to the terms of the Credit Facility, the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Company will be provided a revolving line of credit in a principal amount up to $80.0 million and a single draw term loan (the "Term Loan") in a principal amount of $25.0 million. The line of credit and the Term Loan mature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Association. Additionally, the Company is required to make an annual payment of up to $5 million, to be determined based on the Excess Cash Flows generated each fiscal year commencing with the year ended December 31, 2024, as defined in the Credit Facility. Based on the calculation for Excess Cash Flows laid forth in the agreement, the Company paid $2.6 million toward the term loan in April 2026.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six months ended June 30, 2026, the interest on the amount drawn on the Revolving Line of Credit and Term Loan and the outstanding Term Loan balance are based on the Secured Overnight Financing Rate ("SOFR") or the bank’s base lending rate plus applicable margin (approximately 6.93% and 7.73%, respectively, at June 30, 2026). The Credit Facility is collateralized by substantially all the assets of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was $39.3 million drawn against the line of credit.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acquisition of European Drilling Projects in 2024, the Company issued an unsecured Promissory Note to the former parent company of EDP, totaling $5.2 million. On April 22, 2025, the First Amendment to the note was signed, reducing the balance by $0.3 million. The note bears an interest rate of 8% per annum. Additionally, on May 20, 2026, the Second Amendment to the note was signed, further reducing the balance by $0.2 million. The note matures in December 2029 and payments are made quarterly. The note is a foreign currency denominated monetary liability (issuance and payments are denominated Euro), and as such, is measured at the end of each reporting period based on the exchange rate at that date. The remaining balance on the Promissory Note was $3.4 million as of June 30, 2026. For the three months ended June 30, 2026 and 2025, the Company recognized a gain of $0.0 million and $0.4 million, respectively, on the condensed consolidated statements of comprehensive income (loss). For the six months ended June 30, 2026 and 2025 the Company recognized a gain of $0.1 million and $0.4 million, respectively, on the condensed consolidated statements of comprehensive income (loss).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future maturities of long-term debt consisted of the following (in thousands):</w:t>
      </w:r>
    </w:p>
    <w:p>
      <w:pPr>
        <w:pStyle w:val="TextBody"/>
        <w:bidi w:val="0"/>
        <w:jc w:val="both"/>
        <w:rPr/>
      </w:pPr>
      <w:r>
        <w:rPr/>
        <w:t> </w:t>
      </w:r>
    </w:p>
    <w:tbl>
      <w:tblPr>
        <w:tblW w:w="3100" w:type="dxa"/>
        <w:jc w:val="left"/>
        <w:tblInd w:w="0" w:type="dxa"/>
        <w:tblLayout w:type="fixed"/>
        <w:tblCellMar>
          <w:top w:w="28" w:type="dxa"/>
          <w:left w:w="28" w:type="dxa"/>
          <w:bottom w:w="28" w:type="dxa"/>
          <w:right w:w="28" w:type="dxa"/>
        </w:tblCellMar>
      </w:tblPr>
      <w:tblGrid>
        <w:gridCol w:w="1876"/>
        <w:gridCol w:w="146"/>
        <w:gridCol w:w="211"/>
        <w:gridCol w:w="67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Contingent Interest Embedded Derivative Liability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hAnsi="Times New Roman"/>
          <w:i/>
          <w:color w:val="000000"/>
          <w:sz w:val="20"/>
        </w:rPr>
        <w:t>Derivatives and Hedging</w:t>
      </w:r>
      <w:r>
        <w:rPr>
          <w:rFonts w:ascii="Times New Roman" w:hAnsi="Times New Roman"/>
          <w:color w:val="000000"/>
          <w:sz w:val="20"/>
        </w:rPr>
        <w:t>, and determined the Default Rate met the definition of a derivative as it is a contingent interest feature. The Company also noted that the Default 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June 30, 2026 and December 31, 2025 and therefore no amounts were recorded as of June 30, 2026 or December 31, 2025.</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 xml:space="preserve">NOTE 9 – INCOME TAXES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recorded an income tax benefit and expense on the unaudited condensed consolidated statements of comprehensive income (loss) of $0.1 million and $0.7 million for the three months ended June 30, 2026 and 2025, respectively. Additionally, the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Company recorded income tax benefit and expense on the unaudited condensed consolidated statements of comprehensive income (loss) of $0.6 million and $0.6 million for the six months ended June 30, 2026 and 2025, respectively.</w:t>
      </w:r>
    </w:p>
    <w:p>
      <w:pPr>
        <w:pStyle w:val="TextBody"/>
        <w:bidi w:val="0"/>
        <w:jc w:val="left"/>
        <w:rPr>
          <w:rFonts w:ascii="Times New Roman" w:hAnsi="Times New Roman"/>
          <w:color w:val="000000"/>
          <w:sz w:val="20"/>
        </w:rPr>
      </w:pPr>
      <w:r>
        <w:rPr>
          <w:rFonts w:ascii="Times New Roman" w:hAnsi="Times New Roman"/>
          <w:color w:val="000000"/>
          <w:sz w:val="20"/>
        </w:rPr>
        <w:t>The income tax expense for the six months ended June 30, 2026 was calculated using a discrete approach. This methodology was used because changes in the Company's results of operations and acquisitions can materially impact the estimated annual effective tax rate. The Company’s effective tax rate for the six months ended June 30, 2026 and 2025 were benefits and provisions of 16.0% and 16.8%, respectively. Such rates differed from the Federal Statutory rate of 21.0% primarily due to state taxes, foreign income taxes on the Company’s international operations, and permanent differences.</w:t>
      </w:r>
    </w:p>
    <w:p>
      <w:pPr>
        <w:pStyle w:val="TextBody"/>
        <w:bidi w:val="0"/>
        <w:jc w:val="left"/>
        <w:rPr>
          <w:rFonts w:ascii="Times New Roman" w:hAnsi="Times New Roman"/>
          <w:color w:val="000000"/>
          <w:sz w:val="20"/>
        </w:rPr>
      </w:pPr>
      <w:r>
        <w:rPr>
          <w:rFonts w:ascii="Times New Roman" w:hAnsi="Times New Roman"/>
          <w:color w:val="000000"/>
          <w:sz w:val="20"/>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change to the valuation allowance during the three and six months ended June 30, 2026 and 2025.</w:t>
      </w:r>
    </w:p>
    <w:p>
      <w:pPr>
        <w:pStyle w:val="TextBody"/>
        <w:bidi w:val="0"/>
        <w:jc w:val="both"/>
        <w:rPr/>
      </w:pPr>
      <w:r>
        <w:rPr/>
        <w:t> </w:t>
      </w:r>
    </w:p>
    <w:p>
      <w:pPr>
        <w:pStyle w:val="TextBody"/>
        <w:bidi w:val="0"/>
        <w:jc w:val="both"/>
        <w:rPr/>
      </w:pPr>
      <w:r>
        <w:rPr/>
        <w:t> </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10 – STOCK-BASED COMPENSATION</w:t>
      </w:r>
    </w:p>
    <w:p>
      <w:pPr>
        <w:pStyle w:val="Heading1"/>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20, 2023, the Company adopted the Drilling Tools International Corporation 2023 Omnibus Incentive Plan (the "2023 Plan"). The 2023 Plan became effective on the closing of the Merger. The 2023 Plan provides for the issuance of shares of Common Stock up to ten percent (10%) of the shares of outstanding Common Stock as of the closing of the Merger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June 30, 2026, there were 1,787,819 shares of Common Stock available for issuance under the 2023 Plan.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Options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stock options issued are service based with a vest term ranging from one to three years. The awards have contractual terms of ten years. The fair value of each stock option award is estimated on the date of grant using a Black-Scholes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 will use the quoted market price as of the grant date as an input into the Black-Scholes model.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stock option activity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30"/>
        <w:gridCol w:w="146"/>
        <w:gridCol w:w="146"/>
        <w:gridCol w:w="931"/>
        <w:gridCol w:w="166"/>
        <w:gridCol w:w="146"/>
        <w:gridCol w:w="525"/>
        <w:gridCol w:w="1164"/>
        <w:gridCol w:w="146"/>
        <w:gridCol w:w="146"/>
        <w:gridCol w:w="615"/>
        <w:gridCol w:w="1972"/>
        <w:gridCol w:w="146"/>
        <w:gridCol w:w="146"/>
        <w:gridCol w:w="562"/>
        <w:gridCol w:w="923"/>
        <w:gridCol w:w="195"/>
      </w:tblGrid>
      <w:tr>
        <w:trPr/>
        <w:tc>
          <w:tcPr>
            <w:tcW w:w="2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Contractual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828,330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June 30, 2026 and 2025, the Company recognized $0.4 million and $0.4 million, respectively, of stock-based compensation expense related to stock options within selling, general, and administrative expenses on the unaudited condensed consolidated statements of comprehensive income (loss). During the six months ended June 30, 2026 and 2025, the Company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recognized $0.7 million and $0.8 million, respectively, of stock-based compensation expense within selling, general, and administrative expenses on the unaudited condensed consolidated statements of comprehensive income (loss). As of June 30, 2026, total unrecognized compensation expense related to the stock options totaled $1.3 million. The unrecognized compensation expense will be recognized over the weighted average remaining vesting term of 0.9 years.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Restricted Stock Units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Restricted stock units ("RSUs") are granted to employees as well as members of the Board of Directors. RSUs vest over a one to four 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restricted stock unit activity for the six months ended June 30, 2026:</w:t>
      </w:r>
    </w:p>
    <w:p>
      <w:pPr>
        <w:pStyle w:val="TextBody"/>
        <w:bidi w:val="0"/>
        <w:jc w:val="both"/>
        <w:rPr/>
      </w:pPr>
      <w:r>
        <w:rPr/>
        <w:t> </w:t>
      </w:r>
    </w:p>
    <w:tbl>
      <w:tblPr>
        <w:tblW w:w="8147" w:type="dxa"/>
        <w:jc w:val="left"/>
        <w:tblInd w:w="0" w:type="dxa"/>
        <w:tblLayout w:type="fixed"/>
        <w:tblCellMar>
          <w:top w:w="28" w:type="dxa"/>
          <w:left w:w="28" w:type="dxa"/>
          <w:bottom w:w="28" w:type="dxa"/>
          <w:right w:w="28" w:type="dxa"/>
        </w:tblCellMar>
      </w:tblPr>
      <w:tblGrid>
        <w:gridCol w:w="2791"/>
        <w:gridCol w:w="146"/>
        <w:gridCol w:w="146"/>
        <w:gridCol w:w="931"/>
        <w:gridCol w:w="166"/>
        <w:gridCol w:w="146"/>
        <w:gridCol w:w="1129"/>
        <w:gridCol w:w="250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June 30, 2026 and 2025, the Company recognized $0.4 million and $0.2 million, respectively, of stock- based compensation related to RSUs within selling, general, and administrative expenses on the unaudited condensed consolidated statements of comprehensive income (loss). During the six months ended June 30, 2026 and 2025, the Company recognized $0.7 million and $0.4 million, respectively, of stock-based compensation related to RSUs within selling, general, and administrative expenses on the unaudited condensed consolidated statements of comprehensive income (loss). As of June 30, 2026, unrecognized compensation expense related to the RSUs totaled $3.2 million. The unrecognized compensation expense will be recognized over the weighted average remaining vesting term of 2.4 years.</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Performance Share Awards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Company granted performance-based restricted stock units (“PSUs”) under the Drilling Tools International Corporation 2023 Omnibus Incentive Plan. The Company granted 665,836 to certain employees. Each PSU represents the right to receive one share of the Company’s common stock upon vesting, subject to the achievement of specified performance conditions and continued service. The PSUs are subject to a three-year performance period and vest, if at all, based on the Company's achievement of cumulative performance goals. The PSUs are eligible to vest based on the achievement of a performance metric, with payouts at the end of the vesting period ranging from 50% to 200% of target. The performance target is established annually within the three-year cumulative performance period, and final payout is determined following certification by the Compensation Committee after the end of the performance period. During the three and six months ended June 30, 2026, the Company recognized $0.2 million and $0.2 million of stock-based compensation related to PSUs within selling, general, and administrative expenses on the unaudited condensed consolidated statements of comprehensive income (loss). As of June 30, 2026, total unrecognized compensation expense related to the PSUs totaled $1.8 million which will be recognized over the next 2.7 years.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11 – OTHER OPERATING AND NON-OPERATING EXPENSES,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components of other operating and non-operating expenses, net for the three months ended June 30, 2026 and 2025 (in thousands):</w:t>
      </w:r>
    </w:p>
    <w:p>
      <w:pPr>
        <w:pStyle w:val="TextBody"/>
        <w:bidi w:val="0"/>
        <w:spacing w:before="240" w:after="283"/>
        <w:jc w:val="both"/>
        <w:rPr/>
      </w:pPr>
      <w:r>
        <w:rPr/>
        <w:t> </w:t>
      </w:r>
    </w:p>
    <w:tbl>
      <w:tblPr>
        <w:tblW w:w="7137" w:type="dxa"/>
        <w:jc w:val="left"/>
        <w:tblInd w:w="0" w:type="dxa"/>
        <w:tblLayout w:type="fixed"/>
        <w:tblCellMar>
          <w:top w:w="28" w:type="dxa"/>
          <w:left w:w="28" w:type="dxa"/>
          <w:bottom w:w="28" w:type="dxa"/>
          <w:right w:w="28" w:type="dxa"/>
        </w:tblCellMar>
      </w:tblPr>
      <w:tblGrid>
        <w:gridCol w:w="4216"/>
        <w:gridCol w:w="146"/>
        <w:gridCol w:w="288"/>
        <w:gridCol w:w="781"/>
        <w:gridCol w:w="227"/>
        <w:gridCol w:w="199"/>
        <w:gridCol w:w="288"/>
        <w:gridCol w:w="781"/>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implementation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and non-operating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1,106</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 shows the components of other operating and non-operating expenses, net for the six months ended June 30, 2026 and 2025 (in thousands):</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4216"/>
        <w:gridCol w:w="146"/>
        <w:gridCol w:w="261"/>
        <w:gridCol w:w="707"/>
        <w:gridCol w:w="205"/>
        <w:gridCol w:w="181"/>
        <w:gridCol w:w="261"/>
        <w:gridCol w:w="707"/>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implementation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and non-operating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1,882</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12 – RELATED PARTY TRANSACTIONS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Management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June 30, 2026 and 2025, management fees paid to Hicks Holdings Operating LLC ("HHLLC"), a shareholder of the Company, were approximately $0.2 million and $0.2 million, respectively. For the six months ended June 30, 2026 and 2025, management fees paid to Hicks Holdings Operating LLC were approximately $0.4 million and $0.4 million, respectively. Management fees paid to a shareholder are included in selling, general and administrative expense in the accompanying unaudited condensed consolidated statements of comprehensive income (loss). The last payment under this arrangement is set to be made in December 2027.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Director fees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 fees for the three months ended June 30, 2026 and 2025, director fees were approximately $0.3 million and $0.1 million, respectively. Director fees for the six months ended June 30, 2026 and 2025, director fees were approximately $0.5 million and $0.2 million, respectively. Director fees are included in selling, general and administrative expense in the accompanying unaudited condensed consolidated statements of comprehensive income (loss).</w:t>
      </w:r>
    </w:p>
    <w:p>
      <w:pPr>
        <w:pStyle w:val="TextBody"/>
        <w:bidi w:val="0"/>
        <w:jc w:val="both"/>
        <w:rPr>
          <w:rFonts w:ascii="Times New Roman" w:hAnsi="Times New Roman"/>
          <w:sz w:val="20"/>
        </w:rPr>
      </w:pPr>
      <w:r>
        <w:rPr>
          <w:rFonts w:ascii="Times New Roman" w:hAnsi="Times New Roman"/>
          <w:b/>
          <w:i/>
          <w:color w:val="000000"/>
          <w:sz w:val="20"/>
        </w:rPr>
        <w:t>Related Party Note Receivable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31, 2024 ("Closing Date"), the Company entered into the Sixth Amendment and Restated Promissory Note with Tronco Energy Corporation ("Tronco"), an entity owned by employees of the Company. The face value of the note is $6.5 million. Pursuant to the Sixth Amendment and Restated Promissory Note, Tronco will make payments to the Company annually, commencing on the first anniversary of the Closing Date through the fifth anniversary of the Closing Date. Per the agreement, if the 20-day volume-weighted average price of DTI falls below $3.20 per share, the principal that otherwise would have been due shall be deferred and apportioned over the remaining payment dates specified in the agreement. The first payment due on July 31, 2025 was deferred as the 20-day volume-weighted average price of DTI was below $3.20 per share. Payment deferrals can continue for any period in which the 20-day-volume-weighted average price leading up to the anniversary date falls below $3.20 per share, up to the fifth anniversary. If at the fifth anniversary the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20-day-volume-weighted average price is below $3.20, the entire principal balance would be due upon the sixth anniversary. Any payments due and not received by the Company before the fifth day following the anniversary date will bear interest from the date of nonpayment until paid equal to 3%. In accordance with ASC 805, the receivable's fair value was measured at the present value of future cash flows upon the Closing Date. The note was discounted by $1 million based on the present value on the Closing Date. For the three months ended June 30, 2026 and six months ended June 30, 2026, interest income recognized on the discounted note totaled $0.1 million and $0.2 million, respectively. The carrying value of the note as of June 30, 2026 was $5.6 million.</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13 –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leases various facilities and vehicles under noncancelable operating lease agreements. The remaining lease terms for our leases range from 1 month to 14 years. These leases often include options to extend the term of the lease which may be for periods of up to five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the components of the Company’s lease expense were as follows (in thousands):</w:t>
      </w:r>
    </w:p>
    <w:p>
      <w:pPr>
        <w:pStyle w:val="TextBody"/>
        <w:bidi w:val="0"/>
        <w:spacing w:before="240" w:after="283"/>
        <w:jc w:val="both"/>
        <w:rPr/>
      </w:pPr>
      <w:r>
        <w:rPr/>
        <w:t> </w:t>
      </w:r>
    </w:p>
    <w:tbl>
      <w:tblPr>
        <w:tblW w:w="4700" w:type="dxa"/>
        <w:jc w:val="left"/>
        <w:tblInd w:w="0" w:type="dxa"/>
        <w:tblLayout w:type="fixed"/>
        <w:tblCellMar>
          <w:top w:w="28" w:type="dxa"/>
          <w:left w:w="28" w:type="dxa"/>
          <w:bottom w:w="28" w:type="dxa"/>
          <w:right w:w="28" w:type="dxa"/>
        </w:tblCellMar>
      </w:tblPr>
      <w:tblGrid>
        <w:gridCol w:w="1801"/>
        <w:gridCol w:w="146"/>
        <w:gridCol w:w="291"/>
        <w:gridCol w:w="789"/>
        <w:gridCol w:w="201"/>
        <w:gridCol w:w="201"/>
        <w:gridCol w:w="291"/>
        <w:gridCol w:w="789"/>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tbl>
      <w:tblPr>
        <w:tblW w:w="4460" w:type="dxa"/>
        <w:jc w:val="left"/>
        <w:tblInd w:w="0" w:type="dxa"/>
        <w:tblLayout w:type="fixed"/>
        <w:tblCellMar>
          <w:top w:w="28" w:type="dxa"/>
          <w:left w:w="28" w:type="dxa"/>
          <w:bottom w:w="28" w:type="dxa"/>
          <w:right w:w="28" w:type="dxa"/>
        </w:tblCellMar>
      </w:tblPr>
      <w:tblGrid>
        <w:gridCol w:w="1801"/>
        <w:gridCol w:w="146"/>
        <w:gridCol w:w="264"/>
        <w:gridCol w:w="715"/>
        <w:gridCol w:w="182"/>
        <w:gridCol w:w="182"/>
        <w:gridCol w:w="264"/>
        <w:gridCol w:w="715"/>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3,850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w:t>
      </w:r>
    </w:p>
    <w:p>
      <w:pPr>
        <w:pStyle w:val="TextBody"/>
        <w:bidi w:val="0"/>
        <w:jc w:val="both"/>
        <w:rPr/>
      </w:pPr>
      <w:r>
        <w:rPr/>
        <w:t> </w:t>
      </w:r>
    </w:p>
    <w:tbl>
      <w:tblPr>
        <w:tblW w:w="6229" w:type="dxa"/>
        <w:jc w:val="left"/>
        <w:tblInd w:w="0" w:type="dxa"/>
        <w:tblLayout w:type="fixed"/>
        <w:tblCellMar>
          <w:top w:w="28" w:type="dxa"/>
          <w:left w:w="28" w:type="dxa"/>
          <w:bottom w:w="28" w:type="dxa"/>
          <w:right w:w="28" w:type="dxa"/>
        </w:tblCellMar>
      </w:tblPr>
      <w:tblGrid>
        <w:gridCol w:w="4126"/>
        <w:gridCol w:w="146"/>
        <w:gridCol w:w="146"/>
        <w:gridCol w:w="466"/>
        <w:gridCol w:w="271"/>
        <w:gridCol w:w="146"/>
        <w:gridCol w:w="146"/>
        <w:gridCol w:w="466"/>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undiscounted cash flows for each of the next five years and thereafter and reconciliation to the lease liabilities recognized on the unaudited condensed consolidated balance sheet as of June 30, 2026 were as follows (in thousands):</w:t>
      </w:r>
    </w:p>
    <w:p>
      <w:pPr>
        <w:pStyle w:val="TextBody"/>
        <w:bidi w:val="0"/>
        <w:jc w:val="both"/>
        <w:rPr/>
      </w:pPr>
      <w:r>
        <w:rPr/>
        <w:t> </w:t>
      </w:r>
    </w:p>
    <w:tbl>
      <w:tblPr>
        <w:tblW w:w="4020" w:type="dxa"/>
        <w:jc w:val="left"/>
        <w:tblInd w:w="0" w:type="dxa"/>
        <w:tblLayout w:type="fixed"/>
        <w:tblCellMar>
          <w:top w:w="28" w:type="dxa"/>
          <w:left w:w="28" w:type="dxa"/>
          <w:bottom w:w="28" w:type="dxa"/>
          <w:right w:w="28" w:type="dxa"/>
        </w:tblCellMar>
      </w:tblPr>
      <w:tblGrid>
        <w:gridCol w:w="2776"/>
        <w:gridCol w:w="146"/>
        <w:gridCol w:w="211"/>
        <w:gridCol w:w="67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leases downhole drilling tools to companies in the oil and natural gas industry. Such leases are accounted for in accordance with ASC 842. For the three and six months ended June 30, 2026, tool rental revenue was approximately $29.6 million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and $58.5 million, respectively. For the three and six months ended June 30, 2025, tool rental revenue was approximately $32.8 million and $67.3 million, respectively. Our lease contract periods are short-term in nature and are typically daily, monthly, per well, or footage based. Due to the short term nature of the contracts, no maturity table is presented.</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14 – EMPLOYEE BENEFITS</w:t>
      </w:r>
    </w:p>
    <w:p>
      <w:pPr>
        <w:pStyle w:val="TextBody"/>
        <w:bidi w:val="0"/>
        <w:jc w:val="left"/>
        <w:rPr>
          <w:rFonts w:ascii="Times New Roman" w:hAnsi="Times New Roman"/>
          <w:color w:val="000000"/>
          <w:sz w:val="20"/>
        </w:rPr>
      </w:pPr>
      <w:r>
        <w:rPr>
          <w:rFonts w:ascii="Times New Roman" w:hAnsi="Times New Roman"/>
          <w:color w:val="000000"/>
          <w:sz w:val="20"/>
        </w:rPr>
        <w:t>The Company sponsors various defined contribution savings plan, primarily in the U.S., that allow employees to contribute a portion of their pre-tax and/or after-tax income in accordance with specified guidelines. Under specified conditions, the Company will make contributions to the plans and/or match a percentage of the employee contributions up to certain limits. The total expense for the three months ended June 30, 2026 and 2025 was approximately $0.2 million and $0.3 million, respectively. The total expense for the six months ended June 30, 2026 and 2025 was approximately $0.6 million and $0.6 million, respectively.</w:t>
      </w:r>
    </w:p>
    <w:p>
      <w:pPr>
        <w:pStyle w:val="Heading1"/>
        <w:bidi w:val="0"/>
        <w:spacing w:before="240" w:after="283"/>
        <w:jc w:val="both"/>
        <w:rPr>
          <w:rFonts w:ascii="Times New Roman" w:hAnsi="Times New Roman"/>
          <w:color w:val="000000"/>
          <w:sz w:val="20"/>
        </w:rPr>
      </w:pPr>
      <w:r>
        <w:rPr>
          <w:rFonts w:ascii="Times New Roman" w:hAnsi="Times New Roman"/>
          <w:color w:val="000000"/>
          <w:sz w:val="20"/>
        </w:rPr>
        <w:t>NOTE 15 – COMMITMENTS AND CONTINGENCIES</w:t>
      </w:r>
    </w:p>
    <w:p>
      <w:pPr>
        <w:pStyle w:val="Heading1"/>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maintains operating leases for various facilities and vehicles. See Note 13 - </w:t>
      </w:r>
      <w:r>
        <w:rPr>
          <w:rFonts w:ascii="Times New Roman" w:hAnsi="Times New Roman"/>
          <w:i/>
          <w:color w:val="000000"/>
          <w:sz w:val="20"/>
        </w:rPr>
        <w:t>Leases</w:t>
      </w:r>
      <w:r>
        <w:rPr>
          <w:rFonts w:ascii="Times New Roman" w:hAnsi="Times New Roman"/>
          <w:color w:val="000000"/>
          <w:sz w:val="20"/>
        </w:rPr>
        <w:t xml:space="preserve">, for further information.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Litigation</w:t>
      </w:r>
    </w:p>
    <w:p>
      <w:pPr>
        <w:pStyle w:val="TextBody"/>
        <w:bidi w:val="0"/>
        <w:jc w:val="left"/>
        <w:rPr>
          <w:rFonts w:ascii="Times New Roman" w:hAnsi="Times New Roman"/>
          <w:color w:val="000000"/>
          <w:sz w:val="20"/>
        </w:rPr>
      </w:pPr>
      <w:r>
        <w:rPr>
          <w:rFonts w:ascii="Times New Roman" w:hAnsi="Times New Roman"/>
          <w:color w:val="000000"/>
          <w:sz w:val="20"/>
        </w:rPr>
        <w:t>From time to time, the Company may become involved in various legal proceedings in the ordinary course of its business and may be subject to third-party infringement claims.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Management Fee</w:t>
      </w:r>
    </w:p>
    <w:p>
      <w:pPr>
        <w:pStyle w:val="TextBody"/>
        <w:bidi w:val="0"/>
        <w:jc w:val="left"/>
        <w:rPr>
          <w:rFonts w:ascii="Times New Roman" w:hAnsi="Times New Roman"/>
          <w:sz w:val="20"/>
        </w:rPr>
      </w:pPr>
      <w:r>
        <w:rPr>
          <w:rFonts w:ascii="Times New Roman" w:hAnsi="Times New Roman"/>
          <w:color w:val="000000"/>
          <w:sz w:val="20"/>
        </w:rPr>
        <w:t xml:space="preserve">The Company is required to pay a monthly management fee to a shareholder. The fee is based upon a percentage of the Company’s trailing twelve months earnings before interest, taxes and depreciation amount, as defined in the management agreement (refer to Note 12 – </w:t>
      </w:r>
      <w:r>
        <w:rPr>
          <w:rFonts w:ascii="Times New Roman" w:hAnsi="Times New Roman"/>
          <w:i/>
          <w:color w:val="000000"/>
          <w:sz w:val="20"/>
        </w:rPr>
        <w:t>Related Parties Transactions</w:t>
      </w:r>
      <w:r>
        <w:rPr>
          <w:rFonts w:ascii="Times New Roman" w:hAnsi="Times New Roman"/>
          <w:color w:val="000000"/>
          <w:sz w:val="20"/>
        </w:rPr>
        <w:t>).</w:t>
      </w:r>
    </w:p>
    <w:p>
      <w:pPr>
        <w:pStyle w:val="Heading1"/>
        <w:bidi w:val="0"/>
        <w:spacing w:before="240" w:after="283"/>
        <w:jc w:val="left"/>
        <w:rPr>
          <w:rFonts w:ascii="Times New Roman" w:hAnsi="Times New Roman"/>
          <w:color w:val="000000"/>
          <w:sz w:val="20"/>
        </w:rPr>
      </w:pPr>
      <w:r>
        <w:rPr>
          <w:rFonts w:ascii="Times New Roman" w:hAnsi="Times New Roman"/>
          <w:color w:val="000000"/>
          <w:sz w:val="20"/>
        </w:rPr>
        <w:t>NOTE 16 – EARNINGS PER SHARE</w:t>
      </w:r>
    </w:p>
    <w:p>
      <w:pPr>
        <w:pStyle w:val="TextBody"/>
        <w:bidi w:val="0"/>
        <w:jc w:val="left"/>
        <w:rPr>
          <w:rFonts w:ascii="Times New Roman" w:hAnsi="Times New Roman"/>
          <w:color w:val="000000"/>
          <w:sz w:val="20"/>
        </w:rPr>
      </w:pPr>
      <w:r>
        <w:rPr>
          <w:rFonts w:ascii="Times New Roman" w:hAnsi="Times New Roman"/>
          <w:color w:val="000000"/>
          <w:sz w:val="20"/>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the computation of the Company’s basic and diluted net earnings per share for the three and six months ended June 30, 2026 and 2025 (in thousands except share and per share data):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Drilling Tools International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effect of potentially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potentially dilutive time-based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potentially dilutive performance-based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potentially dilutive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35,276,155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35,573,749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35,202,327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35,583,139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Company’s potentially dilutive securities consisted of options to purchase common stock, time-based restricted stock, and performance-based restricted stock units. Based on the amounts outstanding as of the three and six months ended June 30, 2026 and 2025, the Company excluded the following potential common shares from the computation of diluted net income per share because including them would have had an anti-dilutive effect: </w:t>
      </w:r>
    </w:p>
    <w:p>
      <w:pPr>
        <w:pStyle w:val="TextBody"/>
        <w:bidi w:val="0"/>
        <w:jc w:val="both"/>
        <w:rPr/>
      </w:pPr>
      <w:r>
        <w:rPr/>
        <w:t> </w:t>
      </w:r>
    </w:p>
    <w:tbl>
      <w:tblPr>
        <w:tblW w:w="9450" w:type="dxa"/>
        <w:jc w:val="left"/>
        <w:tblInd w:w="0" w:type="dxa"/>
        <w:tblLayout w:type="fixed"/>
        <w:tblCellMar>
          <w:top w:w="28" w:type="dxa"/>
          <w:left w:w="28" w:type="dxa"/>
          <w:bottom w:w="28" w:type="dxa"/>
          <w:right w:w="28" w:type="dxa"/>
        </w:tblCellMar>
      </w:tblPr>
      <w:tblGrid>
        <w:gridCol w:w="3811"/>
        <w:gridCol w:w="146"/>
        <w:gridCol w:w="153"/>
        <w:gridCol w:w="976"/>
        <w:gridCol w:w="153"/>
        <w:gridCol w:w="153"/>
        <w:gridCol w:w="153"/>
        <w:gridCol w:w="976"/>
        <w:gridCol w:w="146"/>
        <w:gridCol w:w="146"/>
        <w:gridCol w:w="146"/>
        <w:gridCol w:w="931"/>
        <w:gridCol w:w="146"/>
        <w:gridCol w:w="146"/>
        <w:gridCol w:w="146"/>
        <w:gridCol w:w="931"/>
        <w:gridCol w:w="1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Performance-based options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534,064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options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4,366,236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4,429,563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4,396,855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Time-based restricted stock units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1,111,113</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1,052,451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6,011,413</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6,016,077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6,011,413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5,983,369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17 - SEGMENT INFORMATION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acquisition of Titan, we operated as a single operating segment which reflected how our business was managed. Upon completion of the acquisition, the Company split into two operating segments based on geography, Western Hemisphere and Eastern Hemisphere. Operating segments are identified as components of an enterprise about which discrete financial information is available for evaluation by the CODM in deciding resource allocation and assessing performance. The Company’s Chief Executive Officer serves as the CODM. The Company’s CODM reviews financial information disaggregated by hemisphere for the purposes of making operational decisions, allocating resources, and evaluating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two operating segments derive revenues from customers by providing oilfield equipment and services to operators in wellbore construction and casing installation. The CODM assesses performance for each segment individually and decides how to allocate resources by using Segment EBITDA, which is defined as net income (loss); excluding interest income; interest expense; other operating and non-operating expense, net; income tax benefit (expense); depreciation and amortization; and unallocated corporate general and administrative expenses, including stock-option expense and monitoring fees. Additionally, the Company’s CODM reviews total segment assets and capital expenditures by segment regularly in making operational decisions. The CODM uses these metrics in the annual budget and forecasting process. The CODM considers budget-to-actual variances on a quarterly basis to forecast future performance, adjust the budget, and make decisions about the allocation of operating and capital resources to the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information by segment for the three months ended June 30, 2026 and 2025 is summarized below:</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47" w:type="dxa"/>
        <w:jc w:val="left"/>
        <w:tblInd w:w="0" w:type="dxa"/>
        <w:tblLayout w:type="fixed"/>
        <w:tblCellMar>
          <w:top w:w="28" w:type="dxa"/>
          <w:left w:w="28" w:type="dxa"/>
          <w:bottom w:w="28" w:type="dxa"/>
          <w:right w:w="28" w:type="dxa"/>
        </w:tblCellMar>
      </w:tblPr>
      <w:tblGrid>
        <w:gridCol w:w="3166"/>
        <w:gridCol w:w="146"/>
        <w:gridCol w:w="394"/>
        <w:gridCol w:w="1211"/>
        <w:gridCol w:w="167"/>
        <w:gridCol w:w="167"/>
        <w:gridCol w:w="432"/>
        <w:gridCol w:w="1128"/>
        <w:gridCol w:w="167"/>
        <w:gridCol w:w="167"/>
        <w:gridCol w:w="224"/>
        <w:gridCol w:w="687"/>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Western Hemisphere</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Eastern Hemisphere</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25,529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33,013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Elimination of 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Less: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Tool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2,852</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Elimination of intersegment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Segment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Corporate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left"/>
        <w:rPr/>
      </w:pPr>
      <w:r>
        <w:rPr/>
        <w:t> </w:t>
      </w:r>
    </w:p>
    <w:tbl>
      <w:tblPr>
        <w:tblW w:w="8447" w:type="dxa"/>
        <w:jc w:val="left"/>
        <w:tblInd w:w="0" w:type="dxa"/>
        <w:tblLayout w:type="fixed"/>
        <w:tblCellMar>
          <w:top w:w="28" w:type="dxa"/>
          <w:left w:w="28" w:type="dxa"/>
          <w:bottom w:w="28" w:type="dxa"/>
          <w:right w:w="28" w:type="dxa"/>
        </w:tblCellMar>
      </w:tblPr>
      <w:tblGrid>
        <w:gridCol w:w="3166"/>
        <w:gridCol w:w="146"/>
        <w:gridCol w:w="394"/>
        <w:gridCol w:w="1211"/>
        <w:gridCol w:w="167"/>
        <w:gridCol w:w="167"/>
        <w:gridCol w:w="432"/>
        <w:gridCol w:w="1128"/>
        <w:gridCol w:w="167"/>
        <w:gridCol w:w="167"/>
        <w:gridCol w:w="224"/>
        <w:gridCol w:w="687"/>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Western Hemisphere</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Eastern Hemisphere</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37,585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Elimination of 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Less: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Tool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Elimination of intersegment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14,039</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Segment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Corporate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The significant expense categories and amounts align with the segment-level information that is regularly provided to the chief operating decision maker</w:t>
      </w:r>
    </w:p>
    <w:p>
      <w:pPr>
        <w:pStyle w:val="TextBody"/>
        <w:bidi w:val="0"/>
        <w:jc w:val="left"/>
        <w:rPr>
          <w:rFonts w:ascii="Times New Roman" w:hAnsi="Times New Roman"/>
          <w:color w:val="000000"/>
          <w:sz w:val="16"/>
        </w:rPr>
      </w:pPr>
      <w:r>
        <w:rPr>
          <w:rFonts w:ascii="Times New Roman" w:hAnsi="Times New Roman"/>
          <w:color w:val="000000"/>
          <w:sz w:val="16"/>
        </w:rPr>
        <w:t>(2) Comprised primarily of expenses not allocated to our geographical segments.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Financial information by segment for the six months ended June 30, 2026 and 2025 is summarized below:</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07" w:type="dxa"/>
        <w:jc w:val="left"/>
        <w:tblInd w:w="0" w:type="dxa"/>
        <w:tblLayout w:type="fixed"/>
        <w:tblCellMar>
          <w:top w:w="28" w:type="dxa"/>
          <w:left w:w="28" w:type="dxa"/>
          <w:bottom w:w="28" w:type="dxa"/>
          <w:right w:w="28" w:type="dxa"/>
        </w:tblCellMar>
      </w:tblPr>
      <w:tblGrid>
        <w:gridCol w:w="3166"/>
        <w:gridCol w:w="146"/>
        <w:gridCol w:w="394"/>
        <w:gridCol w:w="1211"/>
        <w:gridCol w:w="152"/>
        <w:gridCol w:w="152"/>
        <w:gridCol w:w="383"/>
        <w:gridCol w:w="1177"/>
        <w:gridCol w:w="152"/>
        <w:gridCol w:w="152"/>
        <w:gridCol w:w="204"/>
        <w:gridCol w:w="627"/>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Western Hemisphere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Eastern Hemisphere</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51,233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15,177</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66,410</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13,993</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Elimination of 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Less: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Tool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5,534</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2,165</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19,721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26,398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Elimination of intersegment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26,701</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Segment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19,987</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Corporate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loss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(3,963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tbl>
      <w:tblPr>
        <w:tblW w:w="8319" w:type="dxa"/>
        <w:jc w:val="left"/>
        <w:tblInd w:w="0" w:type="dxa"/>
        <w:tblLayout w:type="fixed"/>
        <w:tblCellMar>
          <w:top w:w="28" w:type="dxa"/>
          <w:left w:w="28" w:type="dxa"/>
          <w:bottom w:w="28" w:type="dxa"/>
          <w:right w:w="28" w:type="dxa"/>
        </w:tblCellMar>
      </w:tblPr>
      <w:tblGrid>
        <w:gridCol w:w="3166"/>
        <w:gridCol w:w="146"/>
        <w:gridCol w:w="394"/>
        <w:gridCol w:w="1211"/>
        <w:gridCol w:w="151"/>
        <w:gridCol w:w="151"/>
        <w:gridCol w:w="383"/>
        <w:gridCol w:w="1177"/>
        <w:gridCol w:w="172"/>
        <w:gridCol w:w="151"/>
        <w:gridCol w:w="203"/>
        <w:gridCol w:w="62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Western Hemisphere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Eastern Hemisphere</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Tool Rental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72,314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Reconciliation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Elimination of 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Less:</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Tool Rental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28,760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Elimination of intersegment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Total consolidated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Segment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Reconciliation of 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Corporate expenses</w:t>
            </w:r>
            <w:r>
              <w:rPr>
                <w:rFonts w:ascii="Times New Roman" w:hAnsi="Times New Roman"/>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Transaction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loss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The significant expense categories and amounts align with the segment-level information that is regularly provided to the chief operating decision maker</w:t>
      </w:r>
    </w:p>
    <w:p>
      <w:pPr>
        <w:pStyle w:val="TextBody"/>
        <w:bidi w:val="0"/>
        <w:jc w:val="left"/>
        <w:rPr>
          <w:rFonts w:ascii="Times New Roman" w:hAnsi="Times New Roman"/>
          <w:color w:val="000000"/>
          <w:sz w:val="16"/>
        </w:rPr>
      </w:pPr>
      <w:r>
        <w:rPr>
          <w:rFonts w:ascii="Times New Roman" w:hAnsi="Times New Roman"/>
          <w:color w:val="000000"/>
          <w:sz w:val="16"/>
        </w:rPr>
        <w:t>(2) Comprised primarily of expenses not allocated to our geographical segments.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financial information by operating segment as of June 30, 2026 and 2025 is summarized below:</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64" w:type="dxa"/>
        <w:jc w:val="left"/>
        <w:tblInd w:w="0" w:type="dxa"/>
        <w:tblLayout w:type="fixed"/>
        <w:tblCellMar>
          <w:top w:w="28" w:type="dxa"/>
          <w:left w:w="28" w:type="dxa"/>
          <w:bottom w:w="28" w:type="dxa"/>
          <w:right w:w="28" w:type="dxa"/>
        </w:tblCellMar>
      </w:tblPr>
      <w:tblGrid>
        <w:gridCol w:w="2251"/>
        <w:gridCol w:w="146"/>
        <w:gridCol w:w="211"/>
        <w:gridCol w:w="781"/>
        <w:gridCol w:w="146"/>
        <w:gridCol w:w="146"/>
        <w:gridCol w:w="211"/>
        <w:gridCol w:w="781"/>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Hemisphere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Eastern Hemisphere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Segment Assets</w:t>
            </w:r>
            <w:r>
              <w:rPr>
                <w:rFonts w:ascii="Times New Roman" w:hAnsi="Times New Roman"/>
                <w:b/>
                <w:color w:val="000000"/>
                <w:sz w:val="13"/>
              </w:rPr>
              <w:t>(1)</w:t>
            </w: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Hemisphere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Eastern Hemisphere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The goodwill allocated to the four</w:t>
      </w:r>
      <w:r>
        <w:rPr>
          <w:rFonts w:ascii="Times New Roman" w:hAnsi="Times New Roman"/>
          <w:color w:val="000000"/>
          <w:sz w:val="20"/>
        </w:rPr>
        <w:t xml:space="preserve"> </w:t>
      </w:r>
      <w:r>
        <w:rPr>
          <w:rFonts w:ascii="Times New Roman" w:hAnsi="Times New Roman"/>
          <w:color w:val="000000"/>
          <w:sz w:val="16"/>
        </w:rPr>
        <w:t>reporting units is included within their respective segment asset totals. The goodwill amount included in segment assets is net of impairment losses at the Western Hemisphere and Eastern Hemisphere segments.</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(2) Corporate assets consists of cash, related party notes receivables, and deferred financing costs.</w:t>
      </w:r>
    </w:p>
    <w:p>
      <w:pPr>
        <w:pStyle w:val="Heading1"/>
        <w:bidi w:val="0"/>
        <w:spacing w:before="480" w:after="240"/>
        <w:jc w:val="center"/>
        <w:rPr/>
      </w:pPr>
      <w:r>
        <w:rPr/>
        <w:t> </w:t>
      </w:r>
    </w:p>
    <w:p>
      <w:pPr>
        <w:pStyle w:val="TextBody"/>
        <w:bidi w:val="0"/>
        <w:jc w:val="left"/>
        <w:rPr/>
      </w:pPr>
      <w:r>
        <w:rPr/>
        <w:t> </w:t>
      </w:r>
    </w:p>
    <w:p>
      <w:pPr>
        <w:pStyle w:val="Heading1"/>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18 - SUPPLEMENTAL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flows related to income taxes, interest, leases, inventory purchases and capital expenditures included in accounts payable, assumed liabilities acquired in a business combination and other non-cash investing and financing activities were as follows:</w:t>
      </w:r>
    </w:p>
    <w:p>
      <w:pPr>
        <w:pStyle w:val="Heading1"/>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433"/>
        <w:gridCol w:w="146"/>
        <w:gridCol w:w="254"/>
        <w:gridCol w:w="687"/>
        <w:gridCol w:w="175"/>
        <w:gridCol w:w="175"/>
        <w:gridCol w:w="254"/>
        <w:gridCol w:w="687"/>
        <w:gridCol w:w="394"/>
      </w:tblGrid>
      <w:tr>
        <w:trPr/>
        <w:tc>
          <w:tcPr>
            <w:tcW w:w="7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Measurement period adjustment related to EDP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ROU assets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Titan liabilities assumed in Titan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consideration in Titan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obtained in exchange for shares withheld on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Reduction in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inventory included in accounts payable and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included in accounts payable and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eading1"/>
        <w:bidi w:val="0"/>
        <w:jc w:val="both"/>
        <w:rPr>
          <w:rFonts w:ascii="Times New Roman" w:hAnsi="Times New Roman"/>
          <w:color w:val="000000"/>
          <w:sz w:val="20"/>
        </w:rPr>
      </w:pPr>
      <w:r>
        <w:rPr>
          <w:rFonts w:ascii="Times New Roman" w:hAnsi="Times New Roman"/>
          <w:color w:val="000000"/>
          <w:sz w:val="20"/>
        </w:rPr>
        <w:t>NOTE 19 – SHARE REPURCHASES</w:t>
      </w:r>
    </w:p>
    <w:p>
      <w:pPr>
        <w:pStyle w:val="Heading1"/>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May 13, 2025, the Company announced a share repurchase program allowing the Company to purchase common stock held by non-affiliates, not to exceed $10.0 million in aggregate value. Share repurchases may take place in any transaction form as allowable by the SEC. The Board of Directors of the Company approved the plan to remain active until December 31, 2026. The Company did not purchase any shares during the three months ended June 30, 2026.</w:t>
      </w:r>
    </w:p>
    <w:p>
      <w:pPr>
        <w:pStyle w:val="Heading1"/>
        <w:bidi w:val="0"/>
        <w:jc w:val="both"/>
        <w:rPr/>
      </w:pPr>
      <w:r>
        <w:rPr/>
        <w:t>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left"/>
        <w:rPr>
          <w:rFonts w:ascii="Times New Roman" w:hAnsi="Times New Roman"/>
          <w:b/>
          <w:color w:val="000000"/>
          <w:sz w:val="20"/>
        </w:rPr>
      </w:pPr>
      <w:bookmarkStart w:id="10" w:name="item_2_mda"/>
      <w:bookmarkEnd w:id="10"/>
      <w:r>
        <w:rPr>
          <w:rFonts w:ascii="Times New Roman" w:hAnsi="Times New Roman"/>
          <w:b/>
          <w:color w:val="000000"/>
          <w:sz w:val="20"/>
        </w:rPr>
        <w:t>Item 2. Management’s Discussion and Analysis of Financial Condition and Results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should be read in conjunction with the accompanying unaudited condensed consolidated financial statements and related notes as of June 30, 2026, and for the three and six months ended June 30, 2026 and 2025, included elsewhere herein. For additional information pertaining to our business, including risk factors which should be considered before investing in our common stock, refer to our Annual Report on Form 10-K for the fiscal year ended December 31, 2025. Our historical results are not necessarily indicative of the results that may be expected for any period in the future. All dollar amounts are expressed in thousands of United States dollars (“$”), unless otherwise indicated. Capitalized terms used in this section, but not otherwise defined, have the meanings ascribed to them in the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15 locations in North America and 11 international service and support centers in Europe, the Middle East, and Asia-Pacific.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revenues are derived from two sources: tool rental and product sales. Tool rental revenues are derived from the rental of tools used in bottom hole assemblies (“BHA”), various wellbore optimization tools, and tubular goods for drilling, workover, and completion operations. Additionally, tool rental revenue consists of the repair and inspection of such tools. Product sale revenues are derived from the sale of target depth technologies, the manufacturing and repair of tools for external customers, and tool recovery revenue. During the three months ended June 30, 2026 and 2025, we derived 78% and 83% of total revenues from tool rentals and 22% and 17% from product sales, respectively. During the six months ended June 30, 2026 and 2025, we derived 77% and 82% from tool rentals and 23% and 18% from product sales,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operate out of 2 reporting segments, split by geography, consisting of the Western Hemisphere operations and the Eastern Hemisphere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Market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tool rental revenues are primarily dependent on drilling activity and our ability to gain or maintain market share with a sustainable pricing model.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product sales revenues are primarily dependent on oil and gas companies paying for tools that are lost or damaged in their drilling programs as well as the customers' need to replace aging or consumable products and our ability to provide competitive pricing. With the addition of Deep Casing Tools, we now sell tools to the end users for use in constructing their wells.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of these factors may be influenced by the oil and gas region in which our customers are operating. While these factors may lead to differing revenues, we have generally been able to forecast our product needs and anticipated revenue levels based on historic trends in a given region and product line.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Recent Developments and Trends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Oil and Natural Gas Prices</w:t>
      </w:r>
    </w:p>
    <w:p>
      <w:pPr>
        <w:pStyle w:val="TextBody"/>
        <w:bidi w:val="0"/>
        <w:jc w:val="left"/>
        <w:rPr>
          <w:rFonts w:ascii="Times New Roman" w:hAnsi="Times New Roman"/>
          <w:color w:val="000000"/>
          <w:sz w:val="20"/>
        </w:rPr>
      </w:pPr>
      <w:r>
        <w:rPr>
          <w:rFonts w:ascii="Times New Roman" w:hAnsi="Times New Roman"/>
          <w:color w:val="000000"/>
          <w:sz w:val="20"/>
        </w:rPr>
        <w:br/>
        <w:t xml:space="preserve">The following table summarized average oil and natural gas prices in North America over the indicated periods as well as International and Domestic industry activity levels as reflected by the average number of active onshore drilling rigs during the same periods.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73" w:type="dxa"/>
        <w:jc w:val="left"/>
        <w:tblInd w:w="0" w:type="dxa"/>
        <w:tblLayout w:type="fixed"/>
        <w:tblCellMar>
          <w:top w:w="28" w:type="dxa"/>
          <w:left w:w="28" w:type="dxa"/>
          <w:bottom w:w="28" w:type="dxa"/>
          <w:right w:w="28" w:type="dxa"/>
        </w:tblCellMar>
      </w:tblPr>
      <w:tblGrid>
        <w:gridCol w:w="3106"/>
        <w:gridCol w:w="146"/>
        <w:gridCol w:w="291"/>
        <w:gridCol w:w="789"/>
        <w:gridCol w:w="201"/>
        <w:gridCol w:w="201"/>
        <w:gridCol w:w="291"/>
        <w:gridCol w:w="789"/>
        <w:gridCol w:w="146"/>
        <w:gridCol w:w="146"/>
        <w:gridCol w:w="237"/>
        <w:gridCol w:w="514"/>
        <w:gridCol w:w="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WTI Oil Price ($/bbl.)</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Natural Gas Price ($/MMBtu)</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Western Hemisphere Drilling Rigs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Eastern Hemisphere Drilling Rigs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tbl>
      <w:tblPr>
        <w:tblW w:w="6933" w:type="dxa"/>
        <w:jc w:val="left"/>
        <w:tblInd w:w="0" w:type="dxa"/>
        <w:tblLayout w:type="fixed"/>
        <w:tblCellMar>
          <w:top w:w="28" w:type="dxa"/>
          <w:left w:w="28" w:type="dxa"/>
          <w:bottom w:w="28" w:type="dxa"/>
          <w:right w:w="28" w:type="dxa"/>
        </w:tblCellMar>
      </w:tblPr>
      <w:tblGrid>
        <w:gridCol w:w="3106"/>
        <w:gridCol w:w="146"/>
        <w:gridCol w:w="264"/>
        <w:gridCol w:w="715"/>
        <w:gridCol w:w="182"/>
        <w:gridCol w:w="182"/>
        <w:gridCol w:w="264"/>
        <w:gridCol w:w="715"/>
        <w:gridCol w:w="146"/>
        <w:gridCol w:w="146"/>
        <w:gridCol w:w="237"/>
        <w:gridCol w:w="514"/>
        <w:gridCol w:w="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WTI Oil Price ($/bbl.)</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Natural Gas Price ($/MMBtu)</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Western Hemisphere Drilling Rigs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Eastern Hemisphere Drilling Rigs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13"/>
        </w:rPr>
      </w:pPr>
      <w:r>
        <w:rPr>
          <w:rFonts w:ascii="Times New Roman" w:hAnsi="Times New Roman"/>
          <w:color w:val="000000"/>
          <w:sz w:val="13"/>
        </w:rPr>
        <w:t>(1) U.S. Energy Information Administration (“EIA”) Cushing, OK WTI (“West Texas Intermediate”) monthly average spot price per barrel of crude oil.</w:t>
      </w:r>
    </w:p>
    <w:p>
      <w:pPr>
        <w:pStyle w:val="TextBody"/>
        <w:bidi w:val="0"/>
        <w:jc w:val="left"/>
        <w:rPr>
          <w:rFonts w:ascii="Times New Roman" w:hAnsi="Times New Roman"/>
          <w:color w:val="000000"/>
          <w:sz w:val="13"/>
        </w:rPr>
      </w:pPr>
      <w:r>
        <w:rPr>
          <w:rFonts w:ascii="Times New Roman" w:hAnsi="Times New Roman"/>
          <w:color w:val="000000"/>
          <w:sz w:val="13"/>
        </w:rPr>
        <w:t>(2) EIA Henry Hub Natural Gas monthly average spot price per million British Thermal Unit (“MMBtu”).</w:t>
      </w:r>
    </w:p>
    <w:p>
      <w:pPr>
        <w:pStyle w:val="TextBody"/>
        <w:bidi w:val="0"/>
        <w:jc w:val="left"/>
        <w:rPr>
          <w:rFonts w:ascii="Times New Roman" w:hAnsi="Times New Roman"/>
          <w:color w:val="000000"/>
          <w:sz w:val="13"/>
        </w:rPr>
      </w:pPr>
      <w:r>
        <w:rPr>
          <w:rFonts w:ascii="Times New Roman" w:hAnsi="Times New Roman"/>
          <w:color w:val="000000"/>
          <w:sz w:val="13"/>
        </w:rPr>
        <w:t>(3) Baker Hughes, includes land and offshore activity and does not include miscellaneous rigs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the oil and gas market continued to be influenced by evolving supply and demand fundamentals, geopolitical developments, and broader macroeconomic conditions. U.S. crude oil production remained near record levels, supported by continued activity in key shale basins and offshore developments. While crude oil prices remained volatile during the period, customer investment decisions continued to be driven primarily by medium- and long-term commodity price expectations, particularly for offshore projects with longer development cycles.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U.S. natural gas prices remained above prior-year levels during the first half of 2026, supported by improving market fundamentals, including continued demand growth and relatively tighter inventories, despite increasing domestic production.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Operational activity remained below historical levels in certain Western and Eastern Hemisphere markets. However, longer laterals, improved drilling efficiencies, and higher productivity per rig continued to partially offset the impact of lower drilling activity, supporting demand for certain products and services.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Inflation and Increased Costs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following table set forth our results of operations for the periods presented (in thousands):</w:t>
      </w:r>
    </w:p>
    <w:p>
      <w:pPr>
        <w:pStyle w:val="TextBody"/>
        <w:bidi w:val="0"/>
        <w:jc w:val="both"/>
        <w:rPr/>
      </w:pPr>
      <w:r>
        <w:rPr/>
        <w:t> </w:t>
      </w:r>
    </w:p>
    <w:tbl>
      <w:tblPr>
        <w:tblW w:w="9277" w:type="dxa"/>
        <w:jc w:val="left"/>
        <w:tblInd w:w="0" w:type="dxa"/>
        <w:tblLayout w:type="fixed"/>
        <w:tblCellMar>
          <w:top w:w="28" w:type="dxa"/>
          <w:left w:w="28" w:type="dxa"/>
          <w:bottom w:w="28" w:type="dxa"/>
          <w:right w:w="28" w:type="dxa"/>
        </w:tblCellMar>
      </w:tblPr>
      <w:tblGrid>
        <w:gridCol w:w="3736"/>
        <w:gridCol w:w="146"/>
        <w:gridCol w:w="259"/>
        <w:gridCol w:w="831"/>
        <w:gridCol w:w="204"/>
        <w:gridCol w:w="179"/>
        <w:gridCol w:w="259"/>
        <w:gridCol w:w="831"/>
        <w:gridCol w:w="166"/>
        <w:gridCol w:w="146"/>
        <w:gridCol w:w="225"/>
        <w:gridCol w:w="676"/>
        <w:gridCol w:w="166"/>
        <w:gridCol w:w="146"/>
        <w:gridCol w:w="215"/>
        <w:gridCol w:w="776"/>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Hemisphere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Eastern Hemisphere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38,072</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Hemisphere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Eastern Hemisphere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other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and non-operating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other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9083" w:type="dxa"/>
        <w:jc w:val="left"/>
        <w:tblInd w:w="0" w:type="dxa"/>
        <w:tblLayout w:type="fixed"/>
        <w:tblCellMar>
          <w:top w:w="28" w:type="dxa"/>
          <w:left w:w="28" w:type="dxa"/>
          <w:bottom w:w="28" w:type="dxa"/>
          <w:right w:w="28" w:type="dxa"/>
        </w:tblCellMar>
      </w:tblPr>
      <w:tblGrid>
        <w:gridCol w:w="3736"/>
        <w:gridCol w:w="146"/>
        <w:gridCol w:w="235"/>
        <w:gridCol w:w="753"/>
        <w:gridCol w:w="185"/>
        <w:gridCol w:w="162"/>
        <w:gridCol w:w="235"/>
        <w:gridCol w:w="753"/>
        <w:gridCol w:w="166"/>
        <w:gridCol w:w="146"/>
        <w:gridCol w:w="211"/>
        <w:gridCol w:w="736"/>
        <w:gridCol w:w="166"/>
        <w:gridCol w:w="146"/>
        <w:gridCol w:w="255"/>
        <w:gridCol w:w="736"/>
        <w:gridCol w:w="316"/>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Hemisphere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Eastern Hemisphere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76,031</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Hemisphere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19,987</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Eastern Hemisphere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other 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Corporate and other expenses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6,771</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and non-operating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other 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Corporate and other includes stock compensation expense, monitoring expenses, and unallocated corporate expenses.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nm = not meaningful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Western Hemisphere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Western Hemisphere revenue was $33.0 million for the three months ended June 30, 2026, a decrease of $4.6 million, or 12%, compared to the three months ended June 30, 2025. The decrease in revenues was driven by a decrease in tool rental revenue as a result of lower customer activity levels and pricing pressures. Additionally, western hemisphere segment income was $9.9 million for the three months ended June 30, 2026, a decrease of $2.2 million or 18%, compared to the three months ended June 30, 2025. The decrease was in line with the decrease in revenue and a result of the same drivers.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Eastern Hemisphere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Eastern Hemisphere revenue was $7.3 million for the three months ended June 30, 2026, an increase of $1.2 million, or 20%, compared to the three months ended June 30, 2025. The increase in revenues was driven by increases in our product sales in the Eastern Hemisphere as well as increased rental activity in geographies into which the Company has expanded. Additionally, eastern hemisphere segment income was $0.8 million for the three months ended June 30, 2026, an increase of $0.7 million or 1633%, compared to the three months ended June 30, 2025. The increase was in line with the increase in revenue and a result of the same drivers.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net was $1.1 million for the three months ended June 30, 2026, a decrease of $0.2 million, or 17%, compared to the three months ended June 30, 2025. The decrease was primarily a result of the decrease in the overall debt balance of approximately $2.7 million when comparing June 30, 2026 to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operating and non-operating expense,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and non-operating expense, net was $1.1 million for the three months ended June 30, 2026, a decrease of $0.8 million, or 42%, compared to the three months ended June 30, 2025. The decrease was primarily a result of reduction in restructuring and software implementation expenses incurred in the second quarter of 2025 compared to the second quarter of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Western Hemisphere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Western Hemisphere revenue was $66.4 million for the six months ended June 30, 2026, a decrease of $12.4 million, or 16%, compared to the six months ended June 30, 2025. The decrease in revenues was driven by a decrease in tool rental revenue as a result of lower customer activity levels and pricing pressures. Additionally, western hemisphere segment income was $20.0 million for the six months ended June 30, 2026, a decrease of $5.7 million or 22%, compared to the six months ended June 30, 2025. The decrease was in line with the decrease in revenue and a result of the same drivers.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Eastern Hemisphere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Eastern Hemisphere revenue was $14.0 million for the six months ended June 30, 2026, an increase of $2.9 million, or 26% compared to the six months ended June 30, 2025. The increase in revenues was driven by the recent acquisitions of tool rental businesses located within the Eastern Hemisphere and increased rental activity in geographies into which the Company has expanded. Eastern Hemisphere segment income was $0.7 million for the six months ended June 30, 2026, an increase of $0.8 million, or 566%, compared to the six months ended June 30, 2025. The increase was in line with the increase in revenue and a result of the same drivers.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Interest Expense,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net was $2.1 million for the six months ended June 30, 2026, a decrease of $0.5 million, or 20%, compared to the six months ended June 30, 2025. The decrease was primarily a result of the decrease in the overall debt balance of approximately $2.7 million when comparing June 30, 2026 to June 30, 2025.</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Other operating and non-operating expense,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operating and non-operating expense, net was $1.9 million for the six months ended June 30, 2026, a decrease of $1.9 million, or 51%, compared to the six months ended June 30, 2025. The decrease was primarily a result of reduction in restructuring and software implementation expenses incurred in the first half of 2025 compared to the first half of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supplement our unaudited interim consolidated financial statements, which are prepared and presented in accordance with U.S.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U.S. 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use the non-GAAP financial measure Adjusted EBITDA, which is defined as net income (loss); excluding interest income; interest expense; other operating and non-operating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non-GAAP financial measure should not be considered in isolation from, or as substitutes for, financial information prepared in accordance with U.S. GAAP. There are a number of limitations related to the use of this non-GAAP financial measures compared to the closest comparable U.S.GAAP measure. Some of these limitations are that:</w:t>
      </w:r>
    </w:p>
    <w:p>
      <w:pPr>
        <w:pStyle w:val="TextBody"/>
        <w:bidi w:val="0"/>
        <w:jc w:val="left"/>
        <w:rPr>
          <w:rFonts w:ascii="Times New Roman" w:hAnsi="Times New Roman"/>
          <w:color w:val="000000"/>
          <w:sz w:val="20"/>
        </w:rPr>
      </w:pPr>
      <w:r>
        <w:rPr>
          <w:rFonts w:ascii="Times New Roman" w:hAnsi="Times New Roman"/>
          <w:color w:val="000000"/>
          <w:sz w:val="20"/>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Adjusted EBITDA excludes income tax benefit (expense).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tables present a reconciliation of Adjusted EBITDA to net income (loss) for the three and six months ended June 30, 2026 and 2025 (non-recurring transaction expenses recorded to other (income) expense are presented separately within Adjusted EBITDA): </w:t>
      </w:r>
    </w:p>
    <w:p>
      <w:pPr>
        <w:pStyle w:val="TextBody"/>
        <w:bidi w:val="0"/>
        <w:jc w:val="both"/>
        <w:rPr/>
      </w:pPr>
      <w:r>
        <w:rPr/>
        <w:t> </w:t>
      </w:r>
    </w:p>
    <w:tbl>
      <w:tblPr>
        <w:tblW w:w="7292" w:type="dxa"/>
        <w:jc w:val="left"/>
        <w:tblInd w:w="0" w:type="dxa"/>
        <w:tblLayout w:type="fixed"/>
        <w:tblCellMar>
          <w:top w:w="28" w:type="dxa"/>
          <w:left w:w="28" w:type="dxa"/>
          <w:bottom w:w="28" w:type="dxa"/>
          <w:right w:w="28" w:type="dxa"/>
        </w:tblCellMar>
      </w:tblPr>
      <w:tblGrid>
        <w:gridCol w:w="4191"/>
        <w:gridCol w:w="146"/>
        <w:gridCol w:w="271"/>
        <w:gridCol w:w="811"/>
        <w:gridCol w:w="213"/>
        <w:gridCol w:w="187"/>
        <w:gridCol w:w="271"/>
        <w:gridCol w:w="811"/>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tbl>
      <w:tblPr>
        <w:tblW w:w="7051" w:type="dxa"/>
        <w:jc w:val="left"/>
        <w:tblInd w:w="0" w:type="dxa"/>
        <w:tblLayout w:type="fixed"/>
        <w:tblCellMar>
          <w:top w:w="28" w:type="dxa"/>
          <w:left w:w="28" w:type="dxa"/>
          <w:bottom w:w="28" w:type="dxa"/>
          <w:right w:w="28" w:type="dxa"/>
        </w:tblCellMar>
      </w:tblPr>
      <w:tblGrid>
        <w:gridCol w:w="4191"/>
        <w:gridCol w:w="146"/>
        <w:gridCol w:w="235"/>
        <w:gridCol w:w="753"/>
        <w:gridCol w:w="185"/>
        <w:gridCol w:w="162"/>
        <w:gridCol w:w="235"/>
        <w:gridCol w:w="753"/>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(deduct):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and non-operating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15,885</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At June 30, 2026, we had $2.5 million of cash. Our primary sources of liquidity and capital resources are cash on hand, cash flows generated by operating activities and, if necessary, borrowings under the Credit Facility Agreement. We may use additional cash generated to execute strategic acquisitions or for general corporate purposes. We believe that our existing cash on hand, cash generated from operations and available borrowings under the Credit Facility Agreement will be sufficient for the next 12 months to meet working capital requirements and anticipated capital expenditures as well as any need beyond the next 12 months.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Credit Facility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Reference is made to the disclosure set forth in Note 8 – </w:t>
      </w:r>
      <w:r>
        <w:rPr>
          <w:rFonts w:ascii="Times New Roman" w:hAnsi="Times New Roman"/>
          <w:i/>
          <w:color w:val="000000"/>
          <w:sz w:val="20"/>
        </w:rPr>
        <w:t>Long-term Debt</w:t>
      </w:r>
      <w:r>
        <w:rPr>
          <w:rFonts w:ascii="Times New Roman" w:hAnsi="Times New Roman"/>
          <w:color w:val="000000"/>
          <w:sz w:val="20"/>
        </w:rPr>
        <w:t>, of the notes to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Capital Expenditures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material contractual obligations arise from leases of facilities and vehicles under noncancelable operating lease agreements. See Note 15 - </w:t>
      </w:r>
      <w:r>
        <w:rPr>
          <w:rFonts w:ascii="Times New Roman" w:hAnsi="Times New Roman"/>
          <w:i/>
          <w:color w:val="000000"/>
          <w:sz w:val="20"/>
        </w:rPr>
        <w:t xml:space="preserve">Commitments and Contingencies, </w:t>
      </w:r>
      <w:r>
        <w:rPr>
          <w:rFonts w:ascii="Times New Roman" w:hAnsi="Times New Roman"/>
          <w:color w:val="000000"/>
          <w:sz w:val="20"/>
        </w:rPr>
        <w:t>of the notes to the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Tax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9 - </w:t>
      </w:r>
      <w:r>
        <w:rPr>
          <w:rFonts w:ascii="Times New Roman" w:hAnsi="Times New Roman"/>
          <w:i/>
          <w:color w:val="000000"/>
          <w:sz w:val="20"/>
        </w:rPr>
        <w:t xml:space="preserve">Income Taxes, </w:t>
      </w:r>
      <w:r>
        <w:rPr>
          <w:rFonts w:ascii="Times New Roman" w:hAnsi="Times New Roman"/>
          <w:color w:val="000000"/>
          <w:sz w:val="20"/>
        </w:rPr>
        <w:t>of the notes to the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our cash flows for the period indicated: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05" w:type="dxa"/>
        <w:jc w:val="left"/>
        <w:tblInd w:w="0" w:type="dxa"/>
        <w:tblLayout w:type="fixed"/>
        <w:tblCellMar>
          <w:top w:w="28" w:type="dxa"/>
          <w:left w:w="28" w:type="dxa"/>
          <w:bottom w:w="28" w:type="dxa"/>
          <w:right w:w="28" w:type="dxa"/>
        </w:tblCellMar>
      </w:tblPr>
      <w:tblGrid>
        <w:gridCol w:w="3526"/>
        <w:gridCol w:w="146"/>
        <w:gridCol w:w="233"/>
        <w:gridCol w:w="698"/>
        <w:gridCol w:w="183"/>
        <w:gridCol w:w="161"/>
        <w:gridCol w:w="233"/>
        <w:gridCol w:w="814"/>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changes in foreign exchange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Used In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operating activities for the six months ended June 30, 2026 was $5.5 million, the driver being a net loss of $3.3 million and a decrease in net working capital of $11.6 million offset by non-cash adjustments of $9.4 million.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2025 was $4.6 million, the driver being a net loss of $4.0 million and a decrease in net working capital of $4.8 million offset by non-cash adjustments of $13.5 million.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Used In Investing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2026 was $3.7 million, resulting from purchases of property, plant, and equipment of $11.9 million and the purchase of intangible assets of $0.8 million, offset by proceeds from rental tool recovery sales of $8.9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investing activities for the six months ended June 30, 2025 was $12.1 million, resulting from purchases of property, plant, and equipment of $12.6 million, purchases of intangible assets of $1.1 million, and the acquisition of Titan for $5.6 million, partially offset by proceeds from rental tool recovery sales of $7.1 million.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Provided By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2026 was $8.0 million, resulting from net debt increases of $8.7 million offset by purchases of treasury stock of $0.7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for the six months ended June 30, 2025 was $2.4 million, resulting from net debt increases of $3.1 million offset by purchases of treasury stock of $0.6 million.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condensed consolidated financial statements included in this Report have been prepared in accordance with U.S. GAAP. The preparation of these condensed consolidated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a description of our critical accounting policies and estimates, see our Annual Report on Form 10-K for the fiscal year ended December 31, 2025. There have been no material changes to our critical accounting policies and estimates since the 2025 Form 10-K.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Recently Issued and Adopted Accounting Standards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 discussion of recent accounting pronouncements is included in Note 1 – </w:t>
      </w:r>
      <w:r>
        <w:rPr>
          <w:rFonts w:ascii="Times New Roman" w:hAnsi="Times New Roman"/>
          <w:i/>
          <w:color w:val="000000"/>
          <w:sz w:val="20"/>
        </w:rPr>
        <w:t>Summary of Significant Accounting Policies</w:t>
      </w:r>
      <w:r>
        <w:rPr>
          <w:rFonts w:ascii="Times New Roman" w:hAnsi="Times New Roman"/>
          <w:color w:val="000000"/>
          <w:sz w:val="20"/>
        </w:rPr>
        <w:t>, of the notes to the Interim condensed consolidated financial statements included elsewhere in this report.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JOBS Act Accounting Election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 </w:t>
      </w:r>
    </w:p>
    <w:p>
      <w:pPr>
        <w:pStyle w:val="TextBody"/>
        <w:bidi w:val="0"/>
        <w:jc w:val="left"/>
        <w:rPr>
          <w:rFonts w:ascii="Times New Roman" w:hAnsi="Times New Roman"/>
          <w:sz w:val="20"/>
        </w:rPr>
      </w:pPr>
      <w:bookmarkStart w:id="11" w:name="item_3_quantitative_and_qualitative"/>
      <w:bookmarkEnd w:id="11"/>
      <w:r>
        <w:rPr>
          <w:rFonts w:ascii="Times New Roman" w:hAnsi="Times New Roman"/>
          <w:b/>
          <w:color w:val="000000"/>
          <w:sz w:val="20"/>
        </w:rPr>
        <w:t>Item 3. Quantitative and Qualitative</w:t>
      </w:r>
      <w:r>
        <w:rPr>
          <w:rFonts w:ascii="Times New Roman" w:hAnsi="Times New Roman"/>
          <w:color w:val="000000"/>
          <w:sz w:val="20"/>
        </w:rPr>
        <w:t xml:space="preserve"> </w:t>
      </w:r>
      <w:r>
        <w:rPr>
          <w:rFonts w:ascii="Times New Roman" w:hAnsi="Times New Roman"/>
          <w:b/>
          <w:color w:val="000000"/>
          <w:sz w:val="20"/>
        </w:rPr>
        <w:t>Disclosures About Market Risk.</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Credit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current expected credit losses resulting from the inability of customers to make required payments.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Concentration risk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 discussion of concentration risk is included in 1 – </w:t>
      </w:r>
      <w:r>
        <w:rPr>
          <w:rFonts w:ascii="Times New Roman" w:hAnsi="Times New Roman"/>
          <w:i/>
          <w:color w:val="000000"/>
          <w:sz w:val="20"/>
        </w:rPr>
        <w:t>Summary of Significant Accounting Policies</w:t>
      </w:r>
      <w:r>
        <w:rPr>
          <w:rFonts w:ascii="Times New Roman" w:hAnsi="Times New Roman"/>
          <w:color w:val="000000"/>
          <w:sz w:val="20"/>
        </w:rPr>
        <w:t>, of the notes to the Interim condensed consolidated financial statements included elsewhere in this report.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Foreign currency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customers are primarily located in the United States, Canada, and across the Eastern Hemisphere. Therefore, foreign exchange risk exposures arise from transactions denominated in currencies other than the United States dollar, which is our functional and reporting currency. To date, a majority of our sales have been denominated in United States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believe that foreign currency risk had a material effect on our business, financial condition, or results of operations during the periods presented.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Inflation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Rising international tariffs, including any tariffs applied to goods traded between the U.S. and China, the U.S. and Mexico and the U.S. and Canada, could materially and adversely affect our business and results of operations. The U.S. government has previously and now again recently imposed tariffs on certain foreign goods from a variety of countries and regions that it perceives as engaging in unfair trade practices. Foreign governments have imposed, and may impose in the future, retaliatory tariffs on goods that their countries import from the U.S. Such changes can make it difficult or costly for us to do business in, or import our products from, those countries.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certain tariff exclusions ending and with any new tariffs, it could further negatively impact global trade and economic conditions in many of the regions where we do business. It may also adversely impact demand for our products in certain locations. It may be time-consuming and costly for us to modify our business operations to adapt to or comply with such tariffs. If we become unable to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recover a substantial portion of any increased tariff related costs, the recent or increased international tariffs could materially and adversely affect our business,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Cybersecurity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suite of controls including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 risks. There is no assurance that these efforts will fully mitigate cybersecurity risk and mitigation efforts are not an assurance that no cybersecurity incidents will occur. </w:t>
      </w:r>
    </w:p>
    <w:p>
      <w:pPr>
        <w:pStyle w:val="TextBody"/>
        <w:bidi w:val="0"/>
        <w:jc w:val="left"/>
        <w:rPr/>
      </w:pPr>
      <w:r>
        <w:rPr/>
        <w:t> </w:t>
      </w:r>
    </w:p>
    <w:p>
      <w:pPr>
        <w:pStyle w:val="TextBody"/>
        <w:bidi w:val="0"/>
        <w:jc w:val="left"/>
        <w:rPr>
          <w:rFonts w:ascii="Times New Roman" w:hAnsi="Times New Roman"/>
          <w:sz w:val="20"/>
        </w:rPr>
      </w:pPr>
      <w:bookmarkStart w:id="12" w:name="item_4_controls_and_procedures"/>
      <w:bookmarkEnd w:id="12"/>
      <w:r>
        <w:rPr>
          <w:rFonts w:ascii="Times New Roman" w:hAnsi="Times New Roman"/>
          <w:b/>
          <w:color w:val="000000"/>
          <w:sz w:val="20"/>
        </w:rPr>
        <w:t>Item 4. Controls and</w:t>
      </w:r>
      <w:r>
        <w:rPr>
          <w:rFonts w:ascii="Times New Roman" w:hAnsi="Times New Roman"/>
          <w:color w:val="000000"/>
          <w:sz w:val="20"/>
        </w:rPr>
        <w:t xml:space="preserve"> </w:t>
      </w:r>
      <w:r>
        <w:rPr>
          <w:rFonts w:ascii="Times New Roman" w:hAnsi="Times New Roman"/>
          <w:b/>
          <w:color w:val="000000"/>
          <w:sz w:val="20"/>
        </w:rPr>
        <w:t>Procedures.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Exchange Act Rules 13a-15 and 15d-15, we have evaluated, under the supervision and with the participation of our management, including our chief executive officer and chief financial officer, the effectiveness of the design and operation of our disclosure controls and procedures (as defined in Rules 13a-15(e) and 15d-15(e) under the Exchange Act) as of the end of the period covered by this report. Our disclosure controls and procedures are designed to provide reasonable assurance that the information required to be disclosed by us in reports that we file or submit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Securities and Exchange Commission ("SEC"). Based upon that evaluation, our principal executive officer and principal financial officer concluded that our disclosure controls and procedures were effective as of June 30, 2026 at the reasonable assurance level.</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three months ended June 30, 2026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4" w:name="ii_item1"/>
      <w:bookmarkEnd w:id="14"/>
      <w:r>
        <w:rPr>
          <w:rFonts w:ascii="Times New Roman" w:hAnsi="Times New Roman"/>
          <w:b/>
          <w:color w:val="000000"/>
          <w:sz w:val="20"/>
        </w:rPr>
        <w:t>Item 1. 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 Part I, Item 1, Note 15 to our condensed consolidated financial statements entitled “Commitments and Contingencies,” which is incorporated in this item by reference.</w:t>
      </w:r>
    </w:p>
    <w:p>
      <w:pPr>
        <w:pStyle w:val="TextBody"/>
        <w:bidi w:val="0"/>
        <w:spacing w:before="240" w:after="283"/>
        <w:jc w:val="both"/>
        <w:rPr>
          <w:rFonts w:ascii="Times New Roman" w:hAnsi="Times New Roman"/>
          <w:b/>
          <w:color w:val="000000"/>
          <w:sz w:val="20"/>
        </w:rPr>
      </w:pPr>
      <w:bookmarkStart w:id="15" w:name="ii_item1a"/>
      <w:bookmarkEnd w:id="15"/>
      <w:r>
        <w:rPr>
          <w:rFonts w:ascii="Times New Roman" w:hAnsi="Times New Roman"/>
          <w:b/>
          <w:color w:val="000000"/>
          <w:sz w:val="20"/>
        </w:rPr>
        <w:t>Item 1A.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Annual Report filed with the SEC on March 6, 2026,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to the risk factors that appear in the Annual Report as of the date of this Quarterly Report. Additional risks and uncertainties not currently known to us or that we currently deem to be immaterial may also materially and adversely affect our business.</w:t>
      </w:r>
    </w:p>
    <w:p>
      <w:pPr>
        <w:pStyle w:val="TextBody"/>
        <w:bidi w:val="0"/>
        <w:spacing w:before="240" w:after="283"/>
        <w:jc w:val="both"/>
        <w:rPr>
          <w:rFonts w:ascii="Times New Roman" w:hAnsi="Times New Roman"/>
          <w:b/>
          <w:color w:val="000000"/>
          <w:sz w:val="20"/>
        </w:rPr>
      </w:pPr>
      <w:bookmarkStart w:id="16" w:name="ii_item2"/>
      <w:bookmarkEnd w:id="16"/>
      <w:r>
        <w:rPr>
          <w:rFonts w:ascii="Times New Roman" w:hAnsi="Times New Roman"/>
          <w:b/>
          <w:color w:val="000000"/>
          <w:sz w:val="20"/>
        </w:rPr>
        <w:t>Item 2. Unregistered Sales of Equity Securities and Use of Proceeds.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13, 2025, the Company announced a share repurchase program allowing the Company to purchase common stock held by non-affiliates, not to exceed $10.0 million in aggregate value. There were no shares repurchased during the three months ended June 30, 2026. There were no unregistered sales of equity securities during the three months ended June 30, 2026.</w:t>
      </w:r>
    </w:p>
    <w:p>
      <w:pPr>
        <w:pStyle w:val="TextBody"/>
        <w:bidi w:val="0"/>
        <w:spacing w:before="240" w:after="283"/>
        <w:jc w:val="both"/>
        <w:rPr>
          <w:rFonts w:ascii="Times New Roman" w:hAnsi="Times New Roman"/>
          <w:b/>
          <w:color w:val="000000"/>
          <w:sz w:val="20"/>
        </w:rPr>
      </w:pPr>
      <w:bookmarkStart w:id="17" w:name="ii_item3"/>
      <w:bookmarkEnd w:id="17"/>
      <w:r>
        <w:rPr>
          <w:rFonts w:ascii="Times New Roman" w:hAnsi="Times New Roman"/>
          <w:b/>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color w:val="000000"/>
          <w:sz w:val="20"/>
        </w:rPr>
      </w:pPr>
      <w:bookmarkStart w:id="18" w:name="ii_item4"/>
      <w:bookmarkEnd w:id="18"/>
      <w:r>
        <w:rPr>
          <w:rFonts w:ascii="Times New Roman" w:hAnsi="Times New Roman"/>
          <w:b/>
          <w:color w:val="000000"/>
          <w:sz w:val="20"/>
        </w:rPr>
        <w:t>Item 4. Mine Safety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both"/>
        <w:rPr>
          <w:rFonts w:ascii="Times New Roman" w:hAnsi="Times New Roman"/>
          <w:b/>
          <w:color w:val="000000"/>
          <w:sz w:val="20"/>
        </w:rPr>
      </w:pPr>
      <w:bookmarkStart w:id="19" w:name="ii_item5"/>
      <w:bookmarkEnd w:id="19"/>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and six months ended June 30, 2026, none of our officers and directors adopted, modified, or terminated any contract, instruction, or written plan for the purchase or sale of our securities intended to satisfy the affirmative defense conditions of Rule 10b5-1(c) or any non-Rule 10b5-1 trading arrangements, as defined in Item 408(c) of Regulation S-K. </w:t>
      </w:r>
    </w:p>
    <w:p>
      <w:pPr>
        <w:pStyle w:val="TextBody"/>
        <w:bidi w:val="0"/>
        <w:jc w:val="left"/>
        <w:rPr/>
      </w:pPr>
      <w:r>
        <w:rPr/>
        <w:t> </w:t>
      </w:r>
    </w:p>
    <w:p>
      <w:pPr>
        <w:pStyle w:val="TextBody"/>
        <w:bidi w:val="0"/>
        <w:spacing w:before="240" w:after="283"/>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20" w:name="ii_item6"/>
      <w:bookmarkEnd w:id="20"/>
      <w:r>
        <w:rPr>
          <w:rFonts w:ascii="Times New Roman" w:hAnsi="Times New Roman"/>
          <w:b/>
          <w:color w:val="000000"/>
          <w:sz w:val="20"/>
        </w:rPr>
        <w:t>Item 6. Exhibits.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exhibits are filed as part of, or incorporated by reference into, this Report.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38"/>
        <w:gridCol w:w="146"/>
        <w:gridCol w:w="9221"/>
      </w:tblGrid>
      <w:tr>
        <w:trPr/>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21" w:type="dxa"/>
            <w:tcBorders/>
            <w:vAlign w:val="center"/>
          </w:tcPr>
          <w:p>
            <w:pPr>
              <w:pStyle w:val="TableContents"/>
              <w:bidi w:val="0"/>
              <w:spacing w:before="0" w:after="283"/>
              <w:jc w:val="left"/>
              <w:rPr>
                <w:sz w:val="4"/>
                <w:szCs w:val="4"/>
              </w:rPr>
            </w:pPr>
            <w:r>
              <w:rPr>
                <w:sz w:val="4"/>
                <w:szCs w:val="4"/>
              </w:rPr>
            </w:r>
          </w:p>
        </w:tc>
      </w:tr>
      <w:tr>
        <w:trPr/>
        <w:tc>
          <w:tcPr>
            <w:tcW w:w="838" w:type="dxa"/>
            <w:tcBorders>
              <w:bottom w:val="single" w:sz="2" w:space="0" w:color="000000"/>
            </w:tcBorders>
            <w:shd w:fill="FFFFFF" w:val="clear"/>
            <w:tcMar>
              <w:top w:w="0" w:type="dxa"/>
              <w:left w:w="0" w:type="dxa"/>
              <w:right w:w="0" w:type="dxa"/>
            </w:tcMar>
            <w:vAlign w:val="center"/>
          </w:tcPr>
          <w:p>
            <w:pPr>
              <w:pStyle w:val="TableContents"/>
              <w:bidi w:val="0"/>
              <w:jc w:val="both"/>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b/>
                <w:color w:val="000000"/>
                <w:sz w:val="16"/>
              </w:rPr>
            </w:pPr>
            <w:r>
              <w:rPr>
                <w:rFonts w:ascii="Times New Roman" w:hAnsi="Times New Roman"/>
                <w:b/>
                <w:color w:val="000000"/>
                <w:sz w:val="16"/>
              </w:rPr>
              <w:t>Description</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dt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3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Certain exhibits and schedules to this exhibit have been omitted in accordance with Regulation S-K Item 601(b)(2). We agree to furnish supplementally a copy of all omitted exhibits and schedules to the SEC upon its request.</w:t>
      </w:r>
    </w:p>
    <w:p>
      <w:pPr>
        <w:pStyle w:val="TextBody"/>
        <w:bidi w:val="0"/>
        <w:jc w:val="both"/>
        <w:rPr>
          <w:rFonts w:ascii="Times New Roman" w:hAnsi="Times New Roman"/>
          <w:color w:val="000000"/>
          <w:sz w:val="20"/>
        </w:rPr>
      </w:pPr>
      <w:r>
        <w:rPr>
          <w:rFonts w:ascii="Times New Roman" w:hAnsi="Times New Roman"/>
          <w:color w:val="000000"/>
          <w:sz w:val="20"/>
        </w:rPr>
        <w:t># Indicates management contract or compensatory plan or arrangement.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6434" w:type="dxa"/>
        <w:jc w:val="left"/>
        <w:tblInd w:w="0" w:type="dxa"/>
        <w:tblLayout w:type="fixed"/>
        <w:tblCellMar>
          <w:top w:w="28" w:type="dxa"/>
          <w:left w:w="28" w:type="dxa"/>
          <w:bottom w:w="28" w:type="dxa"/>
          <w:right w:w="28" w:type="dxa"/>
        </w:tblCellMar>
      </w:tblPr>
      <w:tblGrid>
        <w:gridCol w:w="1966"/>
        <w:gridCol w:w="146"/>
        <w:gridCol w:w="406"/>
        <w:gridCol w:w="391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Drilling Tools International Corporation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David R. Johnson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David R. Johnson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2" w:name="dti-ex31_1.htm"/>
      <w:bookmarkStart w:id="23" w:name="ksdtiex31_1"/>
      <w:bookmarkEnd w:id="22"/>
      <w:bookmarkEnd w:id="23"/>
      <w:r>
        <w:rPr>
          <w:rFonts w:ascii="Arial" w:hAnsi="Arial"/>
          <w:b/>
          <w:color w:val="000000"/>
          <w:sz w:val="20"/>
        </w:rPr>
        <w:t>Exhibit 31.1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both"/>
        <w:rPr>
          <w:rFonts w:ascii="Arial" w:hAnsi="Arial"/>
          <w:color w:val="000000"/>
          <w:sz w:val="20"/>
        </w:rPr>
      </w:pPr>
      <w:r>
        <w:rPr>
          <w:rFonts w:ascii="Arial" w:hAnsi="Arial"/>
          <w:color w:val="000000"/>
          <w:sz w:val="20"/>
        </w:rPr>
        <w:t>I, R. Wayne Prejean, certify that:</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I have reviewed this Form 10-Q of Drilling Tools International Corporation;</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Arial" w:hAnsi="Arial"/>
          <w:color w:val="000000"/>
          <w:sz w:val="20"/>
        </w:rPr>
      </w:pPr>
      <w:r>
        <w:rPr>
          <w:rFonts w:ascii="Arial" w:hAnsi="Arial"/>
          <w:color w:val="000000"/>
          <w:sz w:val="20"/>
        </w:rPr>
        <w:t>3.</w:t>
      </w:r>
    </w:p>
    <w:p>
      <w:pPr>
        <w:pStyle w:val="TextBody"/>
        <w:bidi w:val="0"/>
        <w:spacing w:before="24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Arial" w:hAnsi="Arial"/>
          <w:color w:val="000000"/>
          <w:sz w:val="20"/>
        </w:rPr>
      </w:pPr>
      <w:r>
        <w:rPr>
          <w:rFonts w:ascii="Arial" w:hAnsi="Arial"/>
          <w:color w:val="000000"/>
          <w:sz w:val="20"/>
        </w:rPr>
        <w:t>5.</w:t>
      </w:r>
    </w:p>
    <w:p>
      <w:pPr>
        <w:pStyle w:val="TextBody"/>
        <w:bidi w:val="0"/>
        <w:spacing w:before="240" w:after="283"/>
        <w:jc w:val="both"/>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784" w:type="dxa"/>
        <w:jc w:val="left"/>
        <w:tblInd w:w="0" w:type="dxa"/>
        <w:tblLayout w:type="fixed"/>
        <w:tblCellMar>
          <w:top w:w="28" w:type="dxa"/>
          <w:left w:w="28" w:type="dxa"/>
          <w:bottom w:w="28" w:type="dxa"/>
          <w:right w:w="28" w:type="dxa"/>
        </w:tblCellMar>
      </w:tblPr>
      <w:tblGrid>
        <w:gridCol w:w="1966"/>
        <w:gridCol w:w="146"/>
        <w:gridCol w:w="406"/>
        <w:gridCol w:w="226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 Wayne Prejean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 Wayne Prejean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bl>
    <w:p>
      <w:pPr>
        <w:pStyle w:val="TextBody"/>
        <w:bidi w:val="0"/>
        <w:spacing w:before="240" w:after="283"/>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4" w:name="dti-ex31_2.htm"/>
      <w:bookmarkStart w:id="25" w:name="ksdtiex31_2"/>
      <w:bookmarkEnd w:id="24"/>
      <w:bookmarkEnd w:id="25"/>
      <w:r>
        <w:rPr>
          <w:rFonts w:ascii="Arial" w:hAnsi="Arial"/>
          <w:b/>
          <w:color w:val="000000"/>
          <w:sz w:val="20"/>
        </w:rPr>
        <w:t>Exhibit 31.2</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RULES 13a-14(a) AND 15d-14(a) UNDER THE SECURITIES EXCHANGE ACT OF 1934,</w:t>
      </w:r>
    </w:p>
    <w:p>
      <w:pPr>
        <w:pStyle w:val="TextBody"/>
        <w:bidi w:val="0"/>
        <w:jc w:val="center"/>
        <w:rPr>
          <w:rFonts w:ascii="Arial" w:hAnsi="Arial"/>
          <w:b/>
          <w:color w:val="000000"/>
          <w:sz w:val="20"/>
        </w:rPr>
      </w:pPr>
      <w:r>
        <w:rPr>
          <w:rFonts w:ascii="Arial" w:hAnsi="Arial"/>
          <w:b/>
          <w:color w:val="000000"/>
          <w:sz w:val="20"/>
        </w:rPr>
        <w:t>AS ADOPTED PURSUANT TO SECTION 302 OF THE SARBANES-OXLEY ACT OF 2002</w:t>
      </w:r>
    </w:p>
    <w:p>
      <w:pPr>
        <w:pStyle w:val="TextBody"/>
        <w:bidi w:val="0"/>
        <w:spacing w:before="240" w:after="283"/>
        <w:jc w:val="both"/>
        <w:rPr>
          <w:rFonts w:ascii="Arial" w:hAnsi="Arial"/>
          <w:color w:val="000000"/>
          <w:sz w:val="20"/>
        </w:rPr>
      </w:pPr>
      <w:r>
        <w:rPr>
          <w:rFonts w:ascii="Arial" w:hAnsi="Arial"/>
          <w:color w:val="000000"/>
          <w:sz w:val="20"/>
        </w:rPr>
        <w:t>I, David R. Johnson, certify that:</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I have reviewed this Form 10-Q of Drilling Tools International Corporation;</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Arial" w:hAnsi="Arial"/>
          <w:color w:val="000000"/>
          <w:sz w:val="20"/>
        </w:rPr>
      </w:pPr>
      <w:r>
        <w:rPr>
          <w:rFonts w:ascii="Arial" w:hAnsi="Arial"/>
          <w:color w:val="000000"/>
          <w:sz w:val="20"/>
        </w:rPr>
        <w:t>3.</w:t>
      </w:r>
    </w:p>
    <w:p>
      <w:pPr>
        <w:pStyle w:val="TextBody"/>
        <w:bidi w:val="0"/>
        <w:spacing w:before="24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Arial" w:hAnsi="Arial"/>
          <w:color w:val="000000"/>
          <w:sz w:val="20"/>
        </w:rPr>
      </w:pPr>
      <w:r>
        <w:rPr>
          <w:rFonts w:ascii="Arial" w:hAnsi="Arial"/>
          <w:color w:val="000000"/>
          <w:sz w:val="20"/>
        </w:rPr>
        <w:t>5.</w:t>
      </w:r>
    </w:p>
    <w:p>
      <w:pPr>
        <w:pStyle w:val="TextBody"/>
        <w:bidi w:val="0"/>
        <w:spacing w:before="240" w:after="283"/>
        <w:jc w:val="both"/>
        <w:rPr>
          <w:rFonts w:ascii="Arial" w:hAnsi="Arial"/>
          <w:color w:val="000000"/>
          <w:sz w:val="20"/>
        </w:rPr>
      </w:pPr>
      <w:r>
        <w:rPr>
          <w:rFonts w:ascii="Arial" w:hAnsi="Arial"/>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739" w:type="dxa"/>
        <w:jc w:val="left"/>
        <w:tblInd w:w="0" w:type="dxa"/>
        <w:tblLayout w:type="fixed"/>
        <w:tblCellMar>
          <w:top w:w="28" w:type="dxa"/>
          <w:left w:w="28" w:type="dxa"/>
          <w:bottom w:w="28" w:type="dxa"/>
          <w:right w:w="28" w:type="dxa"/>
        </w:tblCellMar>
      </w:tblPr>
      <w:tblGrid>
        <w:gridCol w:w="1966"/>
        <w:gridCol w:w="146"/>
        <w:gridCol w:w="406"/>
        <w:gridCol w:w="222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R. Johnson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R. Johnson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6" w:name="dti-ex32_1.htm"/>
      <w:bookmarkStart w:id="27" w:name="ksdtiex32_1"/>
      <w:bookmarkEnd w:id="26"/>
      <w:bookmarkEnd w:id="27"/>
      <w:r>
        <w:rPr>
          <w:rFonts w:ascii="Arial" w:hAnsi="Arial"/>
          <w:b/>
          <w:color w:val="000000"/>
          <w:sz w:val="20"/>
        </w:rPr>
        <w:t>Exhibit 32.1</w:t>
      </w:r>
      <w:r>
        <w:br w:type="page"/>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color w:val="000000"/>
          <w:sz w:val="20"/>
        </w:rPr>
      </w:pPr>
      <w:r>
        <w:rPr>
          <w:rFonts w:ascii="Arial" w:hAnsi="Arial"/>
          <w:color w:val="000000"/>
          <w:sz w:val="20"/>
        </w:rPr>
        <w:t>In connection with the Quarterly Report of Drilling Tools International Corporation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47" w:type="dxa"/>
        <w:jc w:val="left"/>
        <w:tblInd w:w="0" w:type="dxa"/>
        <w:tblLayout w:type="fixed"/>
        <w:tblCellMar>
          <w:top w:w="28" w:type="dxa"/>
          <w:left w:w="28" w:type="dxa"/>
          <w:bottom w:w="28" w:type="dxa"/>
          <w:right w:w="28" w:type="dxa"/>
        </w:tblCellMar>
      </w:tblPr>
      <w:tblGrid>
        <w:gridCol w:w="1966"/>
        <w:gridCol w:w="109"/>
        <w:gridCol w:w="406"/>
        <w:gridCol w:w="2266"/>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2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R. Wayne Prejean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 Wayne Prejean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dti-ex32_2.htm"/>
      <w:bookmarkStart w:id="29" w:name="ksdtiex32_2"/>
      <w:bookmarkEnd w:id="28"/>
      <w:bookmarkEnd w:id="29"/>
      <w:r>
        <w:rPr/>
        <w:t> </w:t>
      </w:r>
      <w:r>
        <w:br w:type="page"/>
      </w:r>
    </w:p>
    <w:p>
      <w:pPr>
        <w:pStyle w:val="TextBody"/>
        <w:bidi w:val="0"/>
        <w:jc w:val="right"/>
        <w:rPr>
          <w:rFonts w:ascii="Arial" w:hAnsi="Arial"/>
          <w:b/>
          <w:color w:val="000000"/>
          <w:sz w:val="20"/>
        </w:rPr>
      </w:pPr>
      <w:r>
        <w:rPr>
          <w:rFonts w:ascii="Arial" w:hAnsi="Arial"/>
          <w:b/>
          <w:color w:val="000000"/>
          <w:sz w:val="20"/>
        </w:rPr>
        <w:t>Exhibit 32.2</w:t>
      </w:r>
    </w:p>
    <w:p>
      <w:pPr>
        <w:pStyle w:val="TextBody"/>
        <w:bidi w:val="0"/>
        <w:spacing w:before="360" w:after="283"/>
        <w:jc w:val="center"/>
        <w:rPr>
          <w:rFonts w:ascii="Arial" w:hAnsi="Arial"/>
          <w:b/>
          <w:color w:val="000000"/>
          <w:sz w:val="20"/>
        </w:rPr>
      </w:pPr>
      <w:r>
        <w:rPr>
          <w:rFonts w:ascii="Arial" w:hAnsi="Arial"/>
          <w:b/>
          <w:color w:val="000000"/>
          <w:sz w:val="20"/>
        </w:rPr>
        <w:t>CERTIFICATION PURSUANT TO</w:t>
      </w:r>
    </w:p>
    <w:p>
      <w:pPr>
        <w:pStyle w:val="TextBody"/>
        <w:bidi w:val="0"/>
        <w:jc w:val="center"/>
        <w:rPr>
          <w:rFonts w:ascii="Arial" w:hAnsi="Arial"/>
          <w:b/>
          <w:color w:val="000000"/>
          <w:sz w:val="20"/>
        </w:rPr>
      </w:pPr>
      <w:r>
        <w:rPr>
          <w:rFonts w:ascii="Arial" w:hAnsi="Arial"/>
          <w:b/>
          <w:color w:val="000000"/>
          <w:sz w:val="20"/>
        </w:rPr>
        <w:t>18 U.S.C. SECTION 1350, 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color w:val="000000"/>
          <w:sz w:val="20"/>
        </w:rPr>
      </w:pPr>
      <w:r>
        <w:rPr>
          <w:rFonts w:ascii="Arial" w:hAnsi="Arial"/>
          <w:color w:val="000000"/>
          <w:sz w:val="20"/>
        </w:rPr>
        <w:t>In connection with the Quarterly Report of Drilling Tools International Corporation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The Report fully complies with the requirements of section 13(a) or 15(d) of the Securities Exchange Act of 1934; and</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02" w:type="dxa"/>
        <w:jc w:val="left"/>
        <w:tblInd w:w="0" w:type="dxa"/>
        <w:tblLayout w:type="fixed"/>
        <w:tblCellMar>
          <w:top w:w="28" w:type="dxa"/>
          <w:left w:w="28" w:type="dxa"/>
          <w:bottom w:w="28" w:type="dxa"/>
          <w:right w:w="28" w:type="dxa"/>
        </w:tblCellMar>
      </w:tblPr>
      <w:tblGrid>
        <w:gridCol w:w="1966"/>
        <w:gridCol w:w="109"/>
        <w:gridCol w:w="406"/>
        <w:gridCol w:w="2221"/>
      </w:tblGrid>
      <w:tr>
        <w:trPr/>
        <w:tc>
          <w:tcPr>
            <w:tcW w:w="1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2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David R. Johnson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David R. Johnson</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21449</Words>
  <Characters>118226</Characters>
  <CharactersWithSpaces>141664</CharactersWithSpaces>
  <Paragraphs>7619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